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F306" w14:textId="7344882E" w:rsidR="00FF6BE8" w:rsidRDefault="009A39F1" w:rsidP="000D2236">
      <w:pPr>
        <w:rPr>
          <w:b/>
        </w:rPr>
      </w:pPr>
      <w:r>
        <w:rPr>
          <w:b/>
        </w:rPr>
        <w:t>“</w:t>
      </w:r>
      <w:r w:rsidR="005A7C30">
        <w:rPr>
          <w:b/>
        </w:rPr>
        <w:t>They deserve better</w:t>
      </w:r>
      <w:r>
        <w:rPr>
          <w:b/>
        </w:rPr>
        <w:t>”</w:t>
      </w:r>
      <w:r w:rsidR="004F6B4D">
        <w:rPr>
          <w:b/>
        </w:rPr>
        <w:t>:</w:t>
      </w:r>
      <w:r w:rsidR="0085630F">
        <w:rPr>
          <w:b/>
        </w:rPr>
        <w:t xml:space="preserve"> </w:t>
      </w:r>
      <w:r w:rsidR="004A3242">
        <w:rPr>
          <w:b/>
        </w:rPr>
        <w:t xml:space="preserve">Reflecting on </w:t>
      </w:r>
      <w:r w:rsidR="0085630F">
        <w:rPr>
          <w:b/>
        </w:rPr>
        <w:t>“</w:t>
      </w:r>
      <w:r w:rsidR="00B8635B" w:rsidRPr="003C2A59">
        <w:rPr>
          <w:b/>
        </w:rPr>
        <w:t>Refle</w:t>
      </w:r>
      <w:r w:rsidR="00AA0017" w:rsidRPr="003C2A59">
        <w:rPr>
          <w:b/>
        </w:rPr>
        <w:t xml:space="preserve">cting the ‘human nature’ of IVF </w:t>
      </w:r>
      <w:r w:rsidR="00B8635B" w:rsidRPr="003C2A59">
        <w:rPr>
          <w:b/>
        </w:rPr>
        <w:t>embryos</w:t>
      </w:r>
      <w:r w:rsidR="0085630F">
        <w:rPr>
          <w:b/>
        </w:rPr>
        <w:t>”</w:t>
      </w:r>
      <w:r w:rsidR="00A31119" w:rsidRPr="000D2236">
        <w:rPr>
          <w:i/>
        </w:rPr>
        <w:t xml:space="preserve"> </w:t>
      </w:r>
    </w:p>
    <w:p w14:paraId="53FEF1E3" w14:textId="379752C7" w:rsidR="00DD18C5" w:rsidRDefault="009008B7" w:rsidP="000D2236">
      <w:pPr>
        <w:rPr>
          <w:b/>
        </w:rPr>
      </w:pPr>
      <w:r>
        <w:rPr>
          <w:b/>
        </w:rPr>
        <w:t>A common framework</w:t>
      </w:r>
      <w:r w:rsidR="00786A67">
        <w:rPr>
          <w:b/>
        </w:rPr>
        <w:t xml:space="preserve"> </w:t>
      </w:r>
    </w:p>
    <w:p w14:paraId="769280F5" w14:textId="01E747D0" w:rsidR="001D1563" w:rsidRDefault="00D87644" w:rsidP="00D87644">
      <w:r>
        <w:t>Jenni Millbank emphasis</w:t>
      </w:r>
      <w:r w:rsidR="00AA3980">
        <w:t>es</w:t>
      </w:r>
      <w:r>
        <w:t xml:space="preserve"> the broad similarity of approach</w:t>
      </w:r>
      <w:r w:rsidR="00F01DD6">
        <w:t>es</w:t>
      </w:r>
      <w:r>
        <w:t xml:space="preserve"> taken by Australia and the United Kingdom in relation to the regulation of IVF. </w:t>
      </w:r>
      <w:r w:rsidR="001D1563">
        <w:t xml:space="preserve"> </w:t>
      </w:r>
      <w:r>
        <w:t>Both countries “provide fairly liberal access to a wide range of state-subsidized treatment practices”.</w:t>
      </w:r>
      <w:r w:rsidR="00C55F1A">
        <w:rPr>
          <w:rStyle w:val="FootnoteReference"/>
        </w:rPr>
        <w:footnoteReference w:id="2"/>
      </w:r>
      <w:r>
        <w:t xml:space="preserve"> </w:t>
      </w:r>
      <w:r w:rsidR="001D1563">
        <w:t xml:space="preserve"> </w:t>
      </w:r>
      <w:r>
        <w:t>Neither country has granted “specific legal protections to the human embryo”.</w:t>
      </w:r>
      <w:r w:rsidR="00C55F1A">
        <w:rPr>
          <w:rStyle w:val="FootnoteReference"/>
        </w:rPr>
        <w:footnoteReference w:id="3"/>
      </w:r>
      <w:r>
        <w:t xml:space="preserve">  And yet both </w:t>
      </w:r>
      <w:r w:rsidR="00ED28EC">
        <w:t xml:space="preserve">countries </w:t>
      </w:r>
      <w:r>
        <w:t xml:space="preserve">have </w:t>
      </w:r>
      <w:r w:rsidR="00ED28EC">
        <w:t xml:space="preserve">ethical guidance or </w:t>
      </w:r>
      <w:r>
        <w:t xml:space="preserve">regulations that </w:t>
      </w:r>
      <w:r w:rsidR="00ED28EC">
        <w:t>make</w:t>
      </w:r>
      <w:r>
        <w:t xml:space="preserve"> reference “to the ‘special status’ of the human embryo”.</w:t>
      </w:r>
      <w:r w:rsidR="00C55F1A">
        <w:rPr>
          <w:rStyle w:val="FootnoteReference"/>
        </w:rPr>
        <w:footnoteReference w:id="4"/>
      </w:r>
      <w:r w:rsidR="001D1563">
        <w:t xml:space="preserve">  In this</w:t>
      </w:r>
      <w:r w:rsidR="006D13EB">
        <w:t>,</w:t>
      </w:r>
      <w:r w:rsidR="001D1563">
        <w:t xml:space="preserve"> Australia and the UK are distinct from more restrictive regimes (such as Germany or Italy) and also (though Millbank does not make this explicit) di</w:t>
      </w:r>
      <w:r w:rsidR="00ED28EC">
        <w:t>stinct from</w:t>
      </w:r>
      <w:r w:rsidR="001D1563">
        <w:t xml:space="preserve"> the free-market approach </w:t>
      </w:r>
      <w:r w:rsidR="00AA3980">
        <w:t>of</w:t>
      </w:r>
      <w:r w:rsidR="001D1563">
        <w:t xml:space="preserve"> the United States.  </w:t>
      </w:r>
    </w:p>
    <w:p w14:paraId="6D6A1BA1" w14:textId="590F16FD" w:rsidR="004E2078" w:rsidRDefault="00234685" w:rsidP="009B01B7">
      <w:r>
        <w:t xml:space="preserve">The Warnock Report of 1984 invoked the “special status” of the human embryo as </w:t>
      </w:r>
      <w:r w:rsidR="00AA3980">
        <w:t>“the original justification”</w:t>
      </w:r>
      <w:r w:rsidR="00AA3980">
        <w:rPr>
          <w:rStyle w:val="FootnoteReference"/>
        </w:rPr>
        <w:footnoteReference w:id="5"/>
      </w:r>
      <w:r w:rsidR="00AA3980">
        <w:t xml:space="preserve"> </w:t>
      </w:r>
      <w:r>
        <w:t>for</w:t>
      </w:r>
      <w:r w:rsidR="00FE243B">
        <w:t xml:space="preserve"> </w:t>
      </w:r>
      <w:r w:rsidR="003D2E78">
        <w:t xml:space="preserve">IVF </w:t>
      </w:r>
      <w:r w:rsidR="00FE243B">
        <w:t>regulation in the</w:t>
      </w:r>
      <w:r w:rsidR="00C56B38">
        <w:t xml:space="preserve"> United Kingdom.</w:t>
      </w:r>
      <w:r w:rsidR="00ED28EC">
        <w:t xml:space="preserve"> </w:t>
      </w:r>
      <w:r w:rsidR="00C56B38">
        <w:t xml:space="preserve"> </w:t>
      </w:r>
      <w:r w:rsidR="003A77D7">
        <w:t>W</w:t>
      </w:r>
      <w:r w:rsidR="009B01B7">
        <w:t xml:space="preserve">hile </w:t>
      </w:r>
      <w:r w:rsidR="00F01DD6">
        <w:t xml:space="preserve">the </w:t>
      </w:r>
      <w:r w:rsidR="003D2E78">
        <w:t>Human Fertilisation and Embryology Act 1990</w:t>
      </w:r>
      <w:r w:rsidR="009B01B7">
        <w:t xml:space="preserve"> </w:t>
      </w:r>
      <w:r w:rsidR="003A77D7">
        <w:t>has been revi</w:t>
      </w:r>
      <w:r w:rsidR="003D2E78">
        <w:t>sited</w:t>
      </w:r>
      <w:r w:rsidR="00611160">
        <w:t xml:space="preserve"> several</w:t>
      </w:r>
      <w:r w:rsidR="003D2E78">
        <w:t xml:space="preserve"> times, it remains</w:t>
      </w:r>
      <w:r w:rsidR="003A77D7">
        <w:t xml:space="preserve"> the case that the status of the embryo </w:t>
      </w:r>
      <w:r w:rsidR="004E2078">
        <w:t>i</w:t>
      </w:r>
      <w:r w:rsidR="003A77D7">
        <w:t xml:space="preserve">s </w:t>
      </w:r>
      <w:r w:rsidR="004E2078">
        <w:t xml:space="preserve">regarded as </w:t>
      </w:r>
      <w:r w:rsidR="003A77D7">
        <w:t>the “starting point for consideration of the ethics of research on human embryos”.</w:t>
      </w:r>
      <w:r w:rsidR="00C55F1A">
        <w:rPr>
          <w:rStyle w:val="FootnoteReference"/>
        </w:rPr>
        <w:footnoteReference w:id="6"/>
      </w:r>
      <w:r w:rsidR="003A77D7">
        <w:t xml:space="preserve"> </w:t>
      </w:r>
      <w:r w:rsidR="004E2078">
        <w:t xml:space="preserve"> </w:t>
      </w:r>
      <w:r w:rsidR="003D2E78">
        <w:t xml:space="preserve">As a joint committee of both houses of parliament stated in 2007, </w:t>
      </w:r>
      <w:r w:rsidR="003A77D7">
        <w:t>“</w:t>
      </w:r>
      <w:r w:rsidR="004E2078">
        <w:t>We acknowledge that t</w:t>
      </w:r>
      <w:r w:rsidR="003A77D7">
        <w:t>he special status of the embryo means regulation of both research and treatment continues to be appropriate and desirable</w:t>
      </w:r>
      <w:r w:rsidR="00C55F1A">
        <w:t>”.</w:t>
      </w:r>
      <w:r w:rsidR="00C55F1A">
        <w:rPr>
          <w:rStyle w:val="FootnoteReference"/>
        </w:rPr>
        <w:footnoteReference w:id="7"/>
      </w:r>
      <w:r w:rsidR="004E2078">
        <w:t xml:space="preserve">  </w:t>
      </w:r>
    </w:p>
    <w:p w14:paraId="1AB2ED98" w14:textId="3FEF4C37" w:rsidR="005108ED" w:rsidRDefault="00B03CAE" w:rsidP="005108ED">
      <w:r>
        <w:t xml:space="preserve">Millbank’s critique of the framing of Australian regulation </w:t>
      </w:r>
      <w:r w:rsidR="00C56B38">
        <w:t xml:space="preserve">thus </w:t>
      </w:r>
      <w:r>
        <w:t>applies equally to regulation in the Uni</w:t>
      </w:r>
      <w:r w:rsidR="004E2078">
        <w:t xml:space="preserve">ted Kingdom.  The Warnock </w:t>
      </w:r>
      <w:r w:rsidR="00A053A7">
        <w:t>R</w:t>
      </w:r>
      <w:r w:rsidR="004E2078">
        <w:t xml:space="preserve">eport </w:t>
      </w:r>
      <w:r w:rsidR="00C56B38">
        <w:t xml:space="preserve">and subsequent parliamentary debates have </w:t>
      </w:r>
      <w:r w:rsidR="004E2078">
        <w:t xml:space="preserve">been </w:t>
      </w:r>
      <w:r>
        <w:t xml:space="preserve">“responsible for creating this space for the embryo as a contested but constantly </w:t>
      </w:r>
      <w:proofErr w:type="spellStart"/>
      <w:r>
        <w:t>centered</w:t>
      </w:r>
      <w:proofErr w:type="spellEnd"/>
      <w:r>
        <w:t xml:space="preserve"> ethical subject, not-quite-life but not-mere-cells.”</w:t>
      </w:r>
      <w:r w:rsidR="00C55F1A">
        <w:rPr>
          <w:rStyle w:val="FootnoteReference"/>
        </w:rPr>
        <w:footnoteReference w:id="8"/>
      </w:r>
      <w:r>
        <w:t xml:space="preserve">  </w:t>
      </w:r>
      <w:r w:rsidR="00C56B38">
        <w:t>A direct consequence of the focus on th</w:t>
      </w:r>
      <w:r w:rsidR="00A053A7">
        <w:t xml:space="preserve">e </w:t>
      </w:r>
      <w:r w:rsidR="004E2078">
        <w:t>seeming</w:t>
      </w:r>
      <w:r w:rsidR="00A47C3E">
        <w:t>ly interminable debate over the</w:t>
      </w:r>
      <w:r w:rsidR="00C56B38">
        <w:t xml:space="preserve"> </w:t>
      </w:r>
      <w:r w:rsidR="004E2078">
        <w:t xml:space="preserve">moral status of the human embryo </w:t>
      </w:r>
      <w:r w:rsidR="00C56B38">
        <w:t xml:space="preserve">is that </w:t>
      </w:r>
      <w:r w:rsidR="004E2078">
        <w:t xml:space="preserve">other important ethical aspects </w:t>
      </w:r>
      <w:r w:rsidR="00C56B38">
        <w:t>of IVF have been</w:t>
      </w:r>
      <w:r w:rsidR="004E2078">
        <w:t xml:space="preserve"> marginalised.  </w:t>
      </w:r>
    </w:p>
    <w:p w14:paraId="5D51AEAB" w14:textId="4A427C53" w:rsidR="00970FF5" w:rsidRDefault="005B0D72" w:rsidP="00500195">
      <w:r>
        <w:t>The most</w:t>
      </w:r>
      <w:r w:rsidR="00DD18C5">
        <w:t xml:space="preserve"> significant contribution </w:t>
      </w:r>
      <w:r w:rsidR="00A862BB">
        <w:t xml:space="preserve">of Millbank’s paper </w:t>
      </w:r>
      <w:r w:rsidR="00DD18C5">
        <w:t xml:space="preserve">is </w:t>
      </w:r>
      <w:r w:rsidR="00A862BB">
        <w:t xml:space="preserve">to </w:t>
      </w:r>
      <w:r>
        <w:t>redirect attention to “the perspective of the woman undertaking treatment”.</w:t>
      </w:r>
      <w:r w:rsidR="00C55F1A">
        <w:rPr>
          <w:rStyle w:val="FootnoteReference"/>
        </w:rPr>
        <w:footnoteReference w:id="9"/>
      </w:r>
      <w:r>
        <w:t xml:space="preserve">  </w:t>
      </w:r>
      <w:r w:rsidR="00A862BB">
        <w:t>This perspective is explored through listening to the voices of women themselves</w:t>
      </w:r>
      <w:r w:rsidR="00054C0D">
        <w:t>:  e</w:t>
      </w:r>
      <w:r w:rsidR="00500195">
        <w:t xml:space="preserve">merging from this </w:t>
      </w:r>
      <w:r w:rsidR="003D2E78">
        <w:t xml:space="preserve">exploration </w:t>
      </w:r>
      <w:r w:rsidR="00500195">
        <w:t>is a critique of “abstract notions of regard for embryos”</w:t>
      </w:r>
      <w:r w:rsidR="00C55F1A">
        <w:rPr>
          <w:rStyle w:val="FootnoteReference"/>
        </w:rPr>
        <w:footnoteReference w:id="10"/>
      </w:r>
      <w:r w:rsidR="00500195">
        <w:t xml:space="preserve"> and the development of “a relational sense of the embryo that </w:t>
      </w:r>
      <w:proofErr w:type="spellStart"/>
      <w:r w:rsidR="00500195">
        <w:t>centers</w:t>
      </w:r>
      <w:proofErr w:type="spellEnd"/>
      <w:r w:rsidR="00500195">
        <w:t xml:space="preserve"> the woman and values the… meaning of the embryo </w:t>
      </w:r>
      <w:r w:rsidR="00500195" w:rsidRPr="00500195">
        <w:rPr>
          <w:i/>
        </w:rPr>
        <w:t>to her</w:t>
      </w:r>
      <w:r w:rsidR="00500195">
        <w:t>”.</w:t>
      </w:r>
      <w:r w:rsidR="00C55F1A">
        <w:rPr>
          <w:rStyle w:val="FootnoteReference"/>
        </w:rPr>
        <w:footnoteReference w:id="11"/>
      </w:r>
      <w:r w:rsidR="00A862BB">
        <w:t xml:space="preserve"> </w:t>
      </w:r>
    </w:p>
    <w:p w14:paraId="21A6B6C8" w14:textId="42D5442C" w:rsidR="004E2078" w:rsidRDefault="00970FF5" w:rsidP="00500195">
      <w:r>
        <w:t>This c</w:t>
      </w:r>
      <w:r w:rsidR="00FF6BE8">
        <w:t>ommentary</w:t>
      </w:r>
      <w:r w:rsidR="00054C0D">
        <w:t xml:space="preserve"> </w:t>
      </w:r>
      <w:r w:rsidR="00A47C3E">
        <w:t xml:space="preserve">aims not to </w:t>
      </w:r>
      <w:r w:rsidR="00054C0D">
        <w:t xml:space="preserve">defend </w:t>
      </w:r>
      <w:r w:rsidR="003D2E78">
        <w:t>IVF regulation</w:t>
      </w:r>
      <w:r>
        <w:t xml:space="preserve"> </w:t>
      </w:r>
      <w:r w:rsidR="00171A7D">
        <w:t xml:space="preserve">in the UK or Australia </w:t>
      </w:r>
      <w:r w:rsidR="00054C0D">
        <w:t>against Millbank’</w:t>
      </w:r>
      <w:r w:rsidR="00171A7D">
        <w:t>s often justified</w:t>
      </w:r>
      <w:r w:rsidR="00A053A7">
        <w:t xml:space="preserve"> </w:t>
      </w:r>
      <w:r w:rsidR="00054C0D">
        <w:t xml:space="preserve">critique, </w:t>
      </w:r>
      <w:r w:rsidR="00A47C3E">
        <w:t>but rather to</w:t>
      </w:r>
      <w:r w:rsidR="00836A5B">
        <w:t xml:space="preserve"> </w:t>
      </w:r>
      <w:r w:rsidR="00A47C3E">
        <w:t>argue</w:t>
      </w:r>
      <w:r w:rsidR="00054C0D">
        <w:t xml:space="preserve"> that some of her </w:t>
      </w:r>
      <w:r w:rsidR="00FF6BE8">
        <w:t>argument</w:t>
      </w:r>
      <w:r w:rsidR="00054C0D">
        <w:t>s</w:t>
      </w:r>
      <w:r w:rsidR="003D2E78">
        <w:t xml:space="preserve"> </w:t>
      </w:r>
      <w:r w:rsidR="00054C0D">
        <w:t xml:space="preserve">need to </w:t>
      </w:r>
      <w:r>
        <w:t>be pursued further</w:t>
      </w:r>
      <w:r w:rsidR="003D2E78">
        <w:t xml:space="preserve"> and with more consistency</w:t>
      </w:r>
      <w:r>
        <w:t xml:space="preserve">.  </w:t>
      </w:r>
    </w:p>
    <w:p w14:paraId="13BED646" w14:textId="77777777" w:rsidR="005B0D72" w:rsidRPr="005B0D72" w:rsidRDefault="00970FF5" w:rsidP="005108ED">
      <w:pPr>
        <w:rPr>
          <w:b/>
        </w:rPr>
      </w:pPr>
      <w:r>
        <w:rPr>
          <w:b/>
        </w:rPr>
        <w:t xml:space="preserve">How the rhetoric of </w:t>
      </w:r>
      <w:r w:rsidR="009A06C0">
        <w:rPr>
          <w:b/>
        </w:rPr>
        <w:t>“</w:t>
      </w:r>
      <w:r>
        <w:rPr>
          <w:b/>
        </w:rPr>
        <w:t>special status</w:t>
      </w:r>
      <w:r w:rsidR="009A06C0">
        <w:rPr>
          <w:b/>
        </w:rPr>
        <w:t>”</w:t>
      </w:r>
      <w:r>
        <w:rPr>
          <w:b/>
        </w:rPr>
        <w:t xml:space="preserve"> functions in practice </w:t>
      </w:r>
    </w:p>
    <w:p w14:paraId="1B2EF713" w14:textId="3BC124A3" w:rsidR="00967D1F" w:rsidRDefault="00970FF5" w:rsidP="005108ED">
      <w:r>
        <w:lastRenderedPageBreak/>
        <w:t xml:space="preserve">Millbank </w:t>
      </w:r>
      <w:r w:rsidR="005E1F59">
        <w:t xml:space="preserve">argues </w:t>
      </w:r>
      <w:r w:rsidR="00F83C5F">
        <w:t xml:space="preserve">that </w:t>
      </w:r>
      <w:r w:rsidR="00A3590C">
        <w:t>a</w:t>
      </w:r>
      <w:r>
        <w:t xml:space="preserve"> focus on </w:t>
      </w:r>
      <w:r w:rsidR="009A06C0">
        <w:t>the “</w:t>
      </w:r>
      <w:r>
        <w:t>special status</w:t>
      </w:r>
      <w:r w:rsidR="009A06C0">
        <w:t>”</w:t>
      </w:r>
      <w:r>
        <w:t xml:space="preserve"> of the embryo </w:t>
      </w:r>
      <w:r w:rsidR="005E1F59">
        <w:t xml:space="preserve">has </w:t>
      </w:r>
      <w:r>
        <w:t>led to “</w:t>
      </w:r>
      <w:r w:rsidRPr="00970FF5">
        <w:t>the disappearance of women in this framework</w:t>
      </w:r>
      <w:r>
        <w:t>”.</w:t>
      </w:r>
      <w:r w:rsidR="003B6362">
        <w:rPr>
          <w:rStyle w:val="FootnoteReference"/>
        </w:rPr>
        <w:footnoteReference w:id="12"/>
      </w:r>
      <w:r>
        <w:t xml:space="preserve">  However, </w:t>
      </w:r>
      <w:r w:rsidR="009A06C0">
        <w:t xml:space="preserve">she fails to question whether the rhetoric of “special status” </w:t>
      </w:r>
      <w:r w:rsidR="00457692">
        <w:t>rea</w:t>
      </w:r>
      <w:r w:rsidR="009A06C0">
        <w:t>l</w:t>
      </w:r>
      <w:r w:rsidR="00457692">
        <w:t>l</w:t>
      </w:r>
      <w:r w:rsidR="009A06C0">
        <w:t xml:space="preserve">y functions to give </w:t>
      </w:r>
      <w:r w:rsidR="009A06C0" w:rsidRPr="009A06C0">
        <w:t>“primacy</w:t>
      </w:r>
      <w:r w:rsidR="009A06C0">
        <w:t>”</w:t>
      </w:r>
      <w:r w:rsidR="003B6362">
        <w:rPr>
          <w:rStyle w:val="FootnoteReference"/>
        </w:rPr>
        <w:footnoteReference w:id="13"/>
      </w:r>
      <w:r w:rsidR="00740553">
        <w:t xml:space="preserve"> or</w:t>
      </w:r>
      <w:r w:rsidR="009A06C0">
        <w:t xml:space="preserve"> “centrality”</w:t>
      </w:r>
      <w:r w:rsidR="003B6362">
        <w:rPr>
          <w:rStyle w:val="FootnoteReference"/>
        </w:rPr>
        <w:footnoteReference w:id="14"/>
      </w:r>
      <w:r w:rsidR="009A06C0">
        <w:t xml:space="preserve"> to the embryo </w:t>
      </w:r>
      <w:r w:rsidR="00A3590C">
        <w:t>or</w:t>
      </w:r>
      <w:r w:rsidR="00457692">
        <w:t xml:space="preserve"> to recognise </w:t>
      </w:r>
      <w:r w:rsidR="00967D1F">
        <w:t>the embryo “as a rights-bearing entity that requires protection”.</w:t>
      </w:r>
      <w:r w:rsidR="003B6362">
        <w:rPr>
          <w:rStyle w:val="FootnoteReference"/>
        </w:rPr>
        <w:footnoteReference w:id="15"/>
      </w:r>
      <w:r w:rsidR="00967D1F">
        <w:t xml:space="preserve">  </w:t>
      </w:r>
      <w:r w:rsidR="008A7AF2">
        <w:t>I</w:t>
      </w:r>
      <w:r w:rsidR="00967D1F">
        <w:t xml:space="preserve">n the context of the United Kingdom, </w:t>
      </w:r>
      <w:r w:rsidR="005E1F59">
        <w:t xml:space="preserve">at least, </w:t>
      </w:r>
      <w:r w:rsidR="00967D1F">
        <w:t xml:space="preserve">this language </w:t>
      </w:r>
      <w:r w:rsidR="008A7AF2">
        <w:t xml:space="preserve">arguably </w:t>
      </w:r>
      <w:r w:rsidR="00967D1F">
        <w:t>has the opposite function.</w:t>
      </w:r>
    </w:p>
    <w:p w14:paraId="73C95DDB" w14:textId="4AF28574" w:rsidR="00967D1F" w:rsidRDefault="00967D1F" w:rsidP="00AA6157">
      <w:r>
        <w:t xml:space="preserve">UK </w:t>
      </w:r>
      <w:r w:rsidR="005108ED">
        <w:t>p</w:t>
      </w:r>
      <w:r w:rsidR="00B03CAE">
        <w:t xml:space="preserve">ublic policy </w:t>
      </w:r>
      <w:r>
        <w:t xml:space="preserve">on IVF </w:t>
      </w:r>
      <w:r w:rsidR="00FF6BE8">
        <w:t>is</w:t>
      </w:r>
      <w:r>
        <w:t xml:space="preserve"> driven </w:t>
      </w:r>
      <w:r w:rsidR="00B03CAE">
        <w:t xml:space="preserve">by the desire of the government to </w:t>
      </w:r>
      <w:r w:rsidR="0062005C">
        <w:t xml:space="preserve">enable </w:t>
      </w:r>
      <w:r>
        <w:t>the w</w:t>
      </w:r>
      <w:r w:rsidR="00457692">
        <w:t xml:space="preserve">ork </w:t>
      </w:r>
      <w:r>
        <w:t xml:space="preserve">of </w:t>
      </w:r>
      <w:r w:rsidR="00B03CAE">
        <w:t xml:space="preserve">clinicians and scientists while </w:t>
      </w:r>
      <w:r w:rsidR="0062005C">
        <w:t xml:space="preserve">at the same time </w:t>
      </w:r>
      <w:r w:rsidR="00B03CAE">
        <w:t>maintaining public confidence.</w:t>
      </w:r>
      <w:r>
        <w:t xml:space="preserve"> </w:t>
      </w:r>
      <w:r w:rsidR="0062005C">
        <w:t xml:space="preserve"> “Public support for embryo research in the UK is high, but surveys consistently show that it is contingent on the existence of strict regulation</w:t>
      </w:r>
      <w:r w:rsidR="003B6362">
        <w:t>”</w:t>
      </w:r>
      <w:r w:rsidR="0062005C">
        <w:t>.</w:t>
      </w:r>
      <w:r w:rsidR="003B6362">
        <w:rPr>
          <w:rStyle w:val="FootnoteReference"/>
        </w:rPr>
        <w:footnoteReference w:id="16"/>
      </w:r>
      <w:r w:rsidR="0062005C">
        <w:t xml:space="preserve"> </w:t>
      </w:r>
      <w:r>
        <w:t xml:space="preserve"> R</w:t>
      </w:r>
      <w:r w:rsidRPr="00967D1F">
        <w:t>egulation</w:t>
      </w:r>
      <w:r w:rsidR="00786A67">
        <w:t xml:space="preserve">, ostensibly based on the attribution of </w:t>
      </w:r>
      <w:r w:rsidR="008A7AF2">
        <w:t>“</w:t>
      </w:r>
      <w:r w:rsidR="00786A67">
        <w:t>special status</w:t>
      </w:r>
      <w:r w:rsidR="008A7AF2">
        <w:t>”</w:t>
      </w:r>
      <w:r w:rsidR="00275A84">
        <w:t xml:space="preserve"> to the embryo</w:t>
      </w:r>
      <w:r w:rsidR="00786A67">
        <w:t xml:space="preserve">, </w:t>
      </w:r>
      <w:r w:rsidRPr="00967D1F">
        <w:t xml:space="preserve">is thus </w:t>
      </w:r>
      <w:r w:rsidR="0062005C">
        <w:t>utilised by government</w:t>
      </w:r>
      <w:r w:rsidRPr="00967D1F">
        <w:t xml:space="preserve"> not because it inhibits or restricts experimentation on human embryos but precisely because it helps facilitate such experimentation.  </w:t>
      </w:r>
      <w:r w:rsidR="0062005C">
        <w:t xml:space="preserve">This paradox has been called </w:t>
      </w:r>
      <w:r w:rsidR="0062005C" w:rsidRPr="00967D1F">
        <w:t>“deregulation via regulation”</w:t>
      </w:r>
      <w:r w:rsidR="0062005C">
        <w:t>.</w:t>
      </w:r>
      <w:r w:rsidR="003B6362">
        <w:rPr>
          <w:rStyle w:val="FootnoteReference"/>
        </w:rPr>
        <w:footnoteReference w:id="17"/>
      </w:r>
      <w:r w:rsidR="0062005C">
        <w:t xml:space="preserve">  I have argued elsewhere that d</w:t>
      </w:r>
      <w:r w:rsidR="0062005C" w:rsidRPr="00967D1F">
        <w:t>iscussion of t</w:t>
      </w:r>
      <w:r w:rsidR="0062005C">
        <w:t>he status of the human embryo in the United Kingdom therefore functions as</w:t>
      </w:r>
      <w:r w:rsidR="0062005C" w:rsidRPr="00967D1F">
        <w:t xml:space="preserve"> “a cipher for other concerns, principally the maintenance of public confidence</w:t>
      </w:r>
      <w:r w:rsidR="0062005C">
        <w:t>”</w:t>
      </w:r>
      <w:r w:rsidR="0062005C" w:rsidRPr="00967D1F">
        <w:t>.</w:t>
      </w:r>
      <w:r w:rsidR="003B6362">
        <w:rPr>
          <w:rStyle w:val="FootnoteReference"/>
        </w:rPr>
        <w:footnoteReference w:id="18"/>
      </w:r>
      <w:r w:rsidR="0062005C">
        <w:t xml:space="preserve">  </w:t>
      </w:r>
      <w:r w:rsidR="00BE5EB2">
        <w:t>This analysis</w:t>
      </w:r>
      <w:r w:rsidR="00786A67">
        <w:t xml:space="preserve"> seems at le</w:t>
      </w:r>
      <w:r w:rsidR="008A7AF2">
        <w:t xml:space="preserve">ast prima facie applicable </w:t>
      </w:r>
      <w:r w:rsidR="00786A67">
        <w:t xml:space="preserve">to discussion </w:t>
      </w:r>
      <w:r w:rsidR="00275A84">
        <w:t xml:space="preserve">of IVF </w:t>
      </w:r>
      <w:r w:rsidR="00786A67">
        <w:t>in Australia</w:t>
      </w:r>
      <w:r w:rsidR="008A7AF2">
        <w:t xml:space="preserve">, in that </w:t>
      </w:r>
      <w:r w:rsidR="00BE5EB2">
        <w:t>appeal</w:t>
      </w:r>
      <w:r w:rsidR="008A7AF2">
        <w:t>s</w:t>
      </w:r>
      <w:r w:rsidR="00BE5EB2">
        <w:t xml:space="preserve"> to </w:t>
      </w:r>
      <w:r w:rsidR="00BE5EB2" w:rsidRPr="00BE5EB2">
        <w:t>“the ‘speci</w:t>
      </w:r>
      <w:r w:rsidR="00BE5EB2">
        <w:t>al status’ of the human embryo”</w:t>
      </w:r>
      <w:r w:rsidR="003B6362">
        <w:rPr>
          <w:rStyle w:val="FootnoteReference"/>
        </w:rPr>
        <w:footnoteReference w:id="19"/>
      </w:r>
      <w:r w:rsidR="00BE5EB2">
        <w:t xml:space="preserve"> </w:t>
      </w:r>
      <w:r w:rsidR="008A7AF2">
        <w:t xml:space="preserve">also seem to function </w:t>
      </w:r>
      <w:r w:rsidR="00A3590C">
        <w:t xml:space="preserve">in Australia </w:t>
      </w:r>
      <w:r w:rsidR="008A7AF2">
        <w:t>to promote</w:t>
      </w:r>
      <w:r w:rsidR="002F6480">
        <w:t>,</w:t>
      </w:r>
      <w:r w:rsidR="005E1F59">
        <w:t xml:space="preserve"> rather than </w:t>
      </w:r>
      <w:r w:rsidR="0062005C">
        <w:t>inhibit,</w:t>
      </w:r>
      <w:r w:rsidR="00786A67">
        <w:t xml:space="preserve"> </w:t>
      </w:r>
      <w:r w:rsidR="00BE5EB2">
        <w:t>“</w:t>
      </w:r>
      <w:r w:rsidR="00BE5EB2" w:rsidRPr="00BE5EB2">
        <w:t>liberal access to a wide range of state-subsidized treatment practices”</w:t>
      </w:r>
      <w:r w:rsidR="00BE5EB2">
        <w:t>.</w:t>
      </w:r>
      <w:r w:rsidR="003B6362">
        <w:rPr>
          <w:rStyle w:val="FootnoteReference"/>
        </w:rPr>
        <w:footnoteReference w:id="20"/>
      </w:r>
      <w:r w:rsidR="00BE5EB2">
        <w:t xml:space="preserve"> </w:t>
      </w:r>
    </w:p>
    <w:p w14:paraId="0F227F1E" w14:textId="4D6E5E0A" w:rsidR="00457692" w:rsidRDefault="00457692" w:rsidP="00457692">
      <w:r>
        <w:t>From this perspective</w:t>
      </w:r>
      <w:r w:rsidR="00837F04">
        <w:t>,</w:t>
      </w:r>
      <w:r>
        <w:t xml:space="preserve"> it is not an accident or a “perverse effect”</w:t>
      </w:r>
      <w:r w:rsidR="003B6362">
        <w:rPr>
          <w:rStyle w:val="FootnoteReference"/>
        </w:rPr>
        <w:footnoteReference w:id="21"/>
      </w:r>
      <w:r>
        <w:t xml:space="preserve"> of the law that rhetorical commitment to the embryo’s welfare “may require its destruction”.</w:t>
      </w:r>
      <w:r w:rsidR="00837F04">
        <w:rPr>
          <w:rStyle w:val="FootnoteReference"/>
        </w:rPr>
        <w:footnoteReference w:id="22"/>
      </w:r>
      <w:r>
        <w:t xml:space="preserve">  The </w:t>
      </w:r>
      <w:r w:rsidR="00837F04">
        <w:t xml:space="preserve">true object of concern is not the </w:t>
      </w:r>
      <w:r w:rsidR="00FF6BE8">
        <w:t xml:space="preserve">welfare or protection of </w:t>
      </w:r>
      <w:r w:rsidR="00F01DD6">
        <w:t xml:space="preserve">the </w:t>
      </w:r>
      <w:r w:rsidR="00FF6BE8">
        <w:t xml:space="preserve">embryo </w:t>
      </w:r>
      <w:r w:rsidR="00837F04">
        <w:t>but the</w:t>
      </w:r>
      <w:r w:rsidR="00FF6BE8">
        <w:t xml:space="preserve"> management</w:t>
      </w:r>
      <w:r w:rsidR="00837F04">
        <w:t xml:space="preserve"> of </w:t>
      </w:r>
      <w:r w:rsidR="00A3590C">
        <w:t xml:space="preserve">public opinion.  The public </w:t>
      </w:r>
      <w:r w:rsidR="005E1F59">
        <w:t>is</w:t>
      </w:r>
      <w:r w:rsidR="00837F04">
        <w:t xml:space="preserve"> reassured by </w:t>
      </w:r>
      <w:r>
        <w:t xml:space="preserve">the </w:t>
      </w:r>
      <w:r w:rsidR="00837F04">
        <w:t xml:space="preserve">establishment of regulations and by the </w:t>
      </w:r>
      <w:r>
        <w:t xml:space="preserve">stipulation of </w:t>
      </w:r>
      <w:r w:rsidR="00CC2D05">
        <w:t>rules</w:t>
      </w:r>
      <w:r>
        <w:t xml:space="preserve"> </w:t>
      </w:r>
      <w:r w:rsidR="00837F04">
        <w:t>which scientists deem reaso</w:t>
      </w:r>
      <w:r w:rsidR="00CC2D05">
        <w:t>nable</w:t>
      </w:r>
      <w:r w:rsidR="00837F04">
        <w:t xml:space="preserve">. </w:t>
      </w:r>
      <w:r w:rsidR="00275A84">
        <w:t xml:space="preserve"> </w:t>
      </w:r>
      <w:r w:rsidR="00837F04">
        <w:t>It is not only the woman who is undergoing IVF who has</w:t>
      </w:r>
      <w:r w:rsidR="00E636A0">
        <w:t xml:space="preserve"> disappeared from this frame</w:t>
      </w:r>
      <w:r w:rsidR="00F01DD6">
        <w:t xml:space="preserve">; </w:t>
      </w:r>
      <w:r w:rsidR="00A3590C">
        <w:t xml:space="preserve">so </w:t>
      </w:r>
      <w:r w:rsidR="00837F04">
        <w:t xml:space="preserve">also </w:t>
      </w:r>
      <w:r w:rsidR="00A3590C">
        <w:t xml:space="preserve">has </w:t>
      </w:r>
      <w:r w:rsidR="00F83C5F">
        <w:t>the</w:t>
      </w:r>
      <w:r w:rsidR="00837F04">
        <w:t xml:space="preserve"> embryo</w:t>
      </w:r>
      <w:r w:rsidR="00171A7D">
        <w:t xml:space="preserve"> she conceives.</w:t>
      </w:r>
    </w:p>
    <w:p w14:paraId="39734C62" w14:textId="77777777" w:rsidR="00457692" w:rsidRPr="00837F04" w:rsidRDefault="00837F04" w:rsidP="00457692">
      <w:pPr>
        <w:rPr>
          <w:b/>
        </w:rPr>
      </w:pPr>
      <w:r w:rsidRPr="00837F04">
        <w:rPr>
          <w:b/>
        </w:rPr>
        <w:t xml:space="preserve">Relationality </w:t>
      </w:r>
      <w:r w:rsidR="009008B7">
        <w:rPr>
          <w:b/>
        </w:rPr>
        <w:t xml:space="preserve">implies a </w:t>
      </w:r>
      <w:r w:rsidRPr="00837F04">
        <w:rPr>
          <w:b/>
        </w:rPr>
        <w:t>relati</w:t>
      </w:r>
      <w:r w:rsidR="009008B7">
        <w:rPr>
          <w:b/>
        </w:rPr>
        <w:t xml:space="preserve">on with the other </w:t>
      </w:r>
    </w:p>
    <w:p w14:paraId="17462512" w14:textId="375E8D61" w:rsidR="000A11DA" w:rsidRDefault="008A7AF2" w:rsidP="005108ED">
      <w:r>
        <w:t xml:space="preserve">It is therefore not the case that </w:t>
      </w:r>
      <w:r w:rsidR="003B6362">
        <w:t>in the United Kingdom and Australia</w:t>
      </w:r>
      <w:r>
        <w:t xml:space="preserve"> “law and policy prioritize a universalized and disembodied respect for the embryo over and above the feelings and wishes of those who created them”.</w:t>
      </w:r>
      <w:r w:rsidR="003B6362">
        <w:rPr>
          <w:rStyle w:val="FootnoteReference"/>
        </w:rPr>
        <w:footnoteReference w:id="23"/>
      </w:r>
      <w:r>
        <w:t xml:space="preserve">  Law and policy </w:t>
      </w:r>
      <w:r w:rsidR="00A3590C">
        <w:t xml:space="preserve">on IVF </w:t>
      </w:r>
      <w:r w:rsidR="003B6362">
        <w:t xml:space="preserve">in these jurisdictions </w:t>
      </w:r>
      <w:r w:rsidR="00A3590C">
        <w:t>show scant regard either for human</w:t>
      </w:r>
      <w:r>
        <w:t xml:space="preserve"> embryo</w:t>
      </w:r>
      <w:r w:rsidR="00A3590C">
        <w:t>s</w:t>
      </w:r>
      <w:r>
        <w:t xml:space="preserve"> or for the</w:t>
      </w:r>
      <w:r w:rsidR="006D13EB">
        <w:t xml:space="preserve"> feelings</w:t>
      </w:r>
      <w:r w:rsidR="00F83C5F">
        <w:t>,</w:t>
      </w:r>
      <w:r w:rsidR="009754DC">
        <w:t xml:space="preserve"> rights, duties and </w:t>
      </w:r>
      <w:r w:rsidR="00F83C5F">
        <w:t xml:space="preserve">relationships </w:t>
      </w:r>
      <w:r w:rsidR="006D13EB">
        <w:t>of</w:t>
      </w:r>
      <w:r>
        <w:t xml:space="preserve"> those from whom and for whom they were conceived.</w:t>
      </w:r>
      <w:r w:rsidR="00F96CEE">
        <w:t xml:space="preserve">  </w:t>
      </w:r>
      <w:r w:rsidR="00415C2D">
        <w:t>Hence, i</w:t>
      </w:r>
      <w:r w:rsidR="00F96CEE">
        <w:t xml:space="preserve">f the human nature of the embryo is not </w:t>
      </w:r>
      <w:r w:rsidR="009048D2">
        <w:t>currently respected, then it can</w:t>
      </w:r>
      <w:r w:rsidR="00415C2D">
        <w:t xml:space="preserve">not </w:t>
      </w:r>
      <w:r w:rsidR="009048D2">
        <w:t>be</w:t>
      </w:r>
      <w:r w:rsidR="006D13EB">
        <w:t xml:space="preserve"> such </w:t>
      </w:r>
      <w:r w:rsidR="008022DB">
        <w:t>alleg</w:t>
      </w:r>
      <w:r w:rsidR="00A3590C">
        <w:t>ed</w:t>
      </w:r>
      <w:r w:rsidR="00171A7D">
        <w:t xml:space="preserve"> (but </w:t>
      </w:r>
      <w:r w:rsidR="006D13EB">
        <w:t>in fact absent</w:t>
      </w:r>
      <w:r w:rsidR="00171A7D">
        <w:t>)</w:t>
      </w:r>
      <w:r w:rsidR="00054C0D">
        <w:t xml:space="preserve"> </w:t>
      </w:r>
      <w:r w:rsidR="00F96CEE">
        <w:t xml:space="preserve">respect that is impeding greater respect for the </w:t>
      </w:r>
      <w:r w:rsidR="000A11DA">
        <w:lastRenderedPageBreak/>
        <w:t xml:space="preserve">woman.  </w:t>
      </w:r>
      <w:r w:rsidR="006D13EB">
        <w:t>While</w:t>
      </w:r>
      <w:r w:rsidR="003B677A">
        <w:t>,</w:t>
      </w:r>
      <w:r w:rsidR="006D13EB">
        <w:t xml:space="preserve"> i</w:t>
      </w:r>
      <w:r w:rsidR="000A11DA">
        <w:t xml:space="preserve">n specific circumstances, there can of course be </w:t>
      </w:r>
      <w:r w:rsidR="006D13EB">
        <w:t xml:space="preserve">some </w:t>
      </w:r>
      <w:r w:rsidR="000A11DA">
        <w:t xml:space="preserve">conflict in the prioritising of the interests of the embryo and those of </w:t>
      </w:r>
      <w:r w:rsidR="00F96CEE">
        <w:t>his or her mother</w:t>
      </w:r>
      <w:r w:rsidR="00054C0D">
        <w:t xml:space="preserve">, in many </w:t>
      </w:r>
      <w:r w:rsidR="006D13EB">
        <w:t>more circumstance</w:t>
      </w:r>
      <w:r w:rsidR="003B677A">
        <w:t>s, these interests “march together”</w:t>
      </w:r>
      <w:r w:rsidR="006D13EB">
        <w:t xml:space="preserve"> in a way not recognised by </w:t>
      </w:r>
      <w:r w:rsidR="00054C0D">
        <w:t>regulators</w:t>
      </w:r>
      <w:r w:rsidR="009754DC">
        <w:t>, who</w:t>
      </w:r>
      <w:r w:rsidR="00BE3956">
        <w:t xml:space="preserve"> either see</w:t>
      </w:r>
      <w:r w:rsidR="00171A7D">
        <w:t xml:space="preserve"> these interests</w:t>
      </w:r>
      <w:r w:rsidR="006D13EB">
        <w:t xml:space="preserve"> </w:t>
      </w:r>
      <w:r w:rsidR="00836A5B">
        <w:t xml:space="preserve">as </w:t>
      </w:r>
      <w:r w:rsidR="006D13EB">
        <w:t>in confl</w:t>
      </w:r>
      <w:r w:rsidR="00BE3956">
        <w:t>ict or</w:t>
      </w:r>
      <w:r w:rsidR="0004622A">
        <w:t>,</w:t>
      </w:r>
      <w:r w:rsidR="00BE3956">
        <w:t xml:space="preserve"> </w:t>
      </w:r>
      <w:r w:rsidR="009754DC">
        <w:t xml:space="preserve">more often, </w:t>
      </w:r>
      <w:r w:rsidR="00836A5B">
        <w:t>ignor</w:t>
      </w:r>
      <w:r w:rsidR="00020022">
        <w:t xml:space="preserve">e </w:t>
      </w:r>
      <w:r w:rsidR="009E1A44">
        <w:t>both sets of interests</w:t>
      </w:r>
      <w:r w:rsidR="006D13EB">
        <w:t xml:space="preserve">.  </w:t>
      </w:r>
    </w:p>
    <w:p w14:paraId="7908D25E" w14:textId="4D7A7717" w:rsidR="00F96CEE" w:rsidRDefault="000A11DA" w:rsidP="0095503E">
      <w:r>
        <w:t xml:space="preserve">Millbank </w:t>
      </w:r>
      <w:r w:rsidR="00F96CEE">
        <w:t xml:space="preserve">argues at length, drawing support </w:t>
      </w:r>
      <w:r w:rsidR="0007677B">
        <w:t xml:space="preserve">from the language of the women she quotes, </w:t>
      </w:r>
      <w:r w:rsidR="00275A84">
        <w:t xml:space="preserve">that </w:t>
      </w:r>
      <w:r w:rsidR="0007677B">
        <w:t xml:space="preserve">the embryo </w:t>
      </w:r>
      <w:r w:rsidR="00275A84">
        <w:t xml:space="preserve">can and should </w:t>
      </w:r>
      <w:r w:rsidR="0007677B">
        <w:t>be unders</w:t>
      </w:r>
      <w:r w:rsidR="00275A84">
        <w:t xml:space="preserve">tood in relation to the woman, </w:t>
      </w:r>
      <w:r w:rsidR="00415C2D">
        <w:t xml:space="preserve">and perhaps also </w:t>
      </w:r>
      <w:r w:rsidR="0007677B">
        <w:t>in relation to the couple</w:t>
      </w:r>
      <w:r w:rsidR="00415C2D">
        <w:t>, and perhaps also in relation</w:t>
      </w:r>
      <w:r w:rsidR="0007677B">
        <w:t xml:space="preserve"> to siblings</w:t>
      </w:r>
      <w:r w:rsidR="00415C2D">
        <w:t xml:space="preserve"> rather than being understood in</w:t>
      </w:r>
      <w:r w:rsidR="00F96CEE">
        <w:t xml:space="preserve"> </w:t>
      </w:r>
      <w:r w:rsidR="00E636A0">
        <w:t xml:space="preserve">the abstract or in </w:t>
      </w:r>
      <w:r w:rsidR="00F96CEE">
        <w:t>relation to wider society</w:t>
      </w:r>
      <w:r w:rsidR="00275A84">
        <w:t xml:space="preserve">.  </w:t>
      </w:r>
      <w:r w:rsidR="00F96CEE">
        <w:t xml:space="preserve">However, this </w:t>
      </w:r>
      <w:r w:rsidR="00415C2D">
        <w:t xml:space="preserve">very emphasis on </w:t>
      </w:r>
      <w:r w:rsidR="00F96CEE">
        <w:t>relational</w:t>
      </w:r>
      <w:r w:rsidR="00415C2D">
        <w:t xml:space="preserve">ity </w:t>
      </w:r>
      <w:r w:rsidR="00F96CEE">
        <w:t xml:space="preserve">does not sit easily with the </w:t>
      </w:r>
      <w:r w:rsidR="00415C2D">
        <w:t xml:space="preserve">determination </w:t>
      </w:r>
      <w:r w:rsidR="00275A84">
        <w:t xml:space="preserve">to focus </w:t>
      </w:r>
      <w:r w:rsidR="0007677B" w:rsidRPr="0007677B">
        <w:t>“exclusively on the perspective of the woman undertaking treatment</w:t>
      </w:r>
      <w:r w:rsidR="003B6362">
        <w:t>”</w:t>
      </w:r>
      <w:r w:rsidR="0007677B">
        <w:t>.</w:t>
      </w:r>
      <w:r w:rsidR="003B6362">
        <w:rPr>
          <w:rStyle w:val="FootnoteReference"/>
        </w:rPr>
        <w:footnoteReference w:id="24"/>
      </w:r>
      <w:r w:rsidR="0095503E">
        <w:t xml:space="preserve"> </w:t>
      </w:r>
      <w:r w:rsidR="00275A84">
        <w:t xml:space="preserve"> </w:t>
      </w:r>
      <w:r w:rsidR="00F11076">
        <w:t xml:space="preserve">How can </w:t>
      </w:r>
      <w:r w:rsidR="00F96CEE">
        <w:t xml:space="preserve">selfhood </w:t>
      </w:r>
      <w:r w:rsidR="00F11076">
        <w:t xml:space="preserve">be acknowledged as </w:t>
      </w:r>
      <w:r w:rsidR="00F96CEE">
        <w:t xml:space="preserve">relational </w:t>
      </w:r>
      <w:r w:rsidR="00F11076">
        <w:t xml:space="preserve">if it is understood “exclusively” </w:t>
      </w:r>
      <w:r w:rsidR="00415C2D">
        <w:t xml:space="preserve">from the perspective of one person </w:t>
      </w:r>
      <w:r w:rsidR="00F11076">
        <w:t>and thus in isola</w:t>
      </w:r>
      <w:r w:rsidR="0058291F">
        <w:t>tion from those to whom the person</w:t>
      </w:r>
      <w:r w:rsidR="00F11076">
        <w:t xml:space="preserve"> relates?</w:t>
      </w:r>
    </w:p>
    <w:p w14:paraId="627B4E24" w14:textId="5D030C52" w:rsidR="00275A84" w:rsidRDefault="00F11076" w:rsidP="0095503E">
      <w:r>
        <w:t>I</w:t>
      </w:r>
      <w:r w:rsidR="00F96CEE" w:rsidRPr="00F96CEE">
        <w:t>t may be true</w:t>
      </w:r>
      <w:r w:rsidR="008022DB">
        <w:t>, for example,</w:t>
      </w:r>
      <w:r w:rsidR="00F96CEE" w:rsidRPr="00F96CEE">
        <w:t xml:space="preserve"> </w:t>
      </w:r>
      <w:r w:rsidR="00CC2D05">
        <w:t xml:space="preserve">that </w:t>
      </w:r>
      <w:r w:rsidR="00F96CEE" w:rsidRPr="00F96CEE">
        <w:t>women</w:t>
      </w:r>
      <w:r w:rsidR="00794C26">
        <w:t xml:space="preserve"> general</w:t>
      </w:r>
      <w:r w:rsidR="00D80C30">
        <w:t>ly</w:t>
      </w:r>
      <w:r w:rsidR="00CC2D05">
        <w:t xml:space="preserve"> </w:t>
      </w:r>
      <w:r w:rsidR="00F96CEE" w:rsidRPr="00F96CEE">
        <w:t>“experience a greater sense of connectedness to, and investment in, stored IVF embryos,”</w:t>
      </w:r>
      <w:r w:rsidR="003B6362">
        <w:rPr>
          <w:rStyle w:val="FootnoteReference"/>
        </w:rPr>
        <w:footnoteReference w:id="25"/>
      </w:r>
      <w:r w:rsidR="00F96CEE" w:rsidRPr="00F96CEE">
        <w:t xml:space="preserve"> than do their partners</w:t>
      </w:r>
      <w:r>
        <w:t xml:space="preserve">.  However, women also </w:t>
      </w:r>
      <w:r w:rsidR="00F96CEE" w:rsidRPr="00F96CEE">
        <w:t>relate to their partners</w:t>
      </w:r>
      <w:r>
        <w:t xml:space="preserve"> and </w:t>
      </w:r>
      <w:r w:rsidR="0058291F">
        <w:t xml:space="preserve">may </w:t>
      </w:r>
      <w:r>
        <w:t xml:space="preserve">understand their embryos </w:t>
      </w:r>
      <w:r w:rsidR="0058291F">
        <w:t xml:space="preserve">also </w:t>
      </w:r>
      <w:r>
        <w:t>in relation to their partners</w:t>
      </w:r>
      <w:r w:rsidR="00F96CEE" w:rsidRPr="00F96CEE">
        <w:t>.  Indeed, a partner</w:t>
      </w:r>
      <w:r>
        <w:t>’</w:t>
      </w:r>
      <w:r w:rsidR="00F96CEE" w:rsidRPr="00F96CEE">
        <w:t>s relative</w:t>
      </w:r>
      <w:r>
        <w:t xml:space="preserve"> lack of connectedness may </w:t>
      </w:r>
      <w:r w:rsidR="00F96CEE" w:rsidRPr="00F96CEE">
        <w:t>be an important part of the</w:t>
      </w:r>
      <w:r w:rsidR="005A185F">
        <w:t xml:space="preserve"> woman’s</w:t>
      </w:r>
      <w:r w:rsidR="008022DB">
        <w:t xml:space="preserve"> own</w:t>
      </w:r>
      <w:r w:rsidR="00CC2D05">
        <w:t xml:space="preserve"> narrative.</w:t>
      </w:r>
    </w:p>
    <w:p w14:paraId="2F71ADCB" w14:textId="12F424AF" w:rsidR="00947938" w:rsidRDefault="00F11076" w:rsidP="00947938">
      <w:r>
        <w:t>A greater appreciation of relationality might also have saved the paper from setting up so many false dichotomies.  Recognising that the embryo has</w:t>
      </w:r>
      <w:r w:rsidR="00415C2D">
        <w:t xml:space="preserve"> a</w:t>
      </w:r>
      <w:r>
        <w:t xml:space="preserve"> “specific significance to the woman undertaking treatment”</w:t>
      </w:r>
      <w:r w:rsidR="003B6362">
        <w:rPr>
          <w:rStyle w:val="FootnoteReference"/>
        </w:rPr>
        <w:footnoteReference w:id="26"/>
      </w:r>
      <w:r>
        <w:t xml:space="preserve"> does not imply that the embryo </w:t>
      </w:r>
      <w:r w:rsidR="00415C2D">
        <w:t xml:space="preserve">has no </w:t>
      </w:r>
      <w:r>
        <w:t>“</w:t>
      </w:r>
      <w:r w:rsidRPr="00F11076">
        <w:t>significance to society at large</w:t>
      </w:r>
      <w:r>
        <w:t>”.</w:t>
      </w:r>
      <w:r w:rsidR="003B6362">
        <w:rPr>
          <w:rStyle w:val="FootnoteReference"/>
        </w:rPr>
        <w:footnoteReference w:id="27"/>
      </w:r>
      <w:r w:rsidR="00947938">
        <w:t xml:space="preserve">  Recognising that “it</w:t>
      </w:r>
      <w:r>
        <w:t xml:space="preserve"> is her body in which the hope of implantation rests</w:t>
      </w:r>
      <w:r w:rsidR="00947938">
        <w:t>”</w:t>
      </w:r>
      <w:r w:rsidR="003B6362">
        <w:rPr>
          <w:rStyle w:val="FootnoteReference"/>
        </w:rPr>
        <w:footnoteReference w:id="28"/>
      </w:r>
      <w:r w:rsidR="00947938">
        <w:t xml:space="preserve"> does not imply that the embryo </w:t>
      </w:r>
      <w:r w:rsidR="00794C26">
        <w:t xml:space="preserve">is not “an object of concern with a future potentiality that should </w:t>
      </w:r>
      <w:r>
        <w:t xml:space="preserve">be </w:t>
      </w:r>
      <w:r w:rsidR="00794C26">
        <w:t>protected”</w:t>
      </w:r>
      <w:r>
        <w:t>.</w:t>
      </w:r>
      <w:r w:rsidR="00794C26">
        <w:rPr>
          <w:rStyle w:val="FootnoteReference"/>
        </w:rPr>
        <w:footnoteReference w:id="29"/>
      </w:r>
      <w:r w:rsidR="00947938" w:rsidRPr="00947938">
        <w:t xml:space="preserve"> </w:t>
      </w:r>
      <w:r w:rsidR="00947938">
        <w:t xml:space="preserve"> </w:t>
      </w:r>
      <w:r w:rsidR="009048D2">
        <w:t xml:space="preserve">Starting with </w:t>
      </w:r>
      <w:r w:rsidR="00947938">
        <w:t>the question</w:t>
      </w:r>
      <w:r w:rsidR="007E2E62">
        <w:t>,</w:t>
      </w:r>
      <w:r w:rsidR="00947938">
        <w:t xml:space="preserve"> </w:t>
      </w:r>
      <w:r w:rsidR="007E2E62">
        <w:t>“w</w:t>
      </w:r>
      <w:r w:rsidR="00947938">
        <w:t>hat is the respect due to th</w:t>
      </w:r>
      <w:r w:rsidR="007E2E62">
        <w:t>e woman undertaking treatment?”</w:t>
      </w:r>
      <w:r w:rsidR="003B6362">
        <w:rPr>
          <w:rStyle w:val="FootnoteReference"/>
        </w:rPr>
        <w:footnoteReference w:id="30"/>
      </w:r>
      <w:r w:rsidR="00947938">
        <w:t xml:space="preserve"> does not imply that one cannot </w:t>
      </w:r>
      <w:r w:rsidR="00415C2D">
        <w:t xml:space="preserve">also </w:t>
      </w:r>
      <w:r w:rsidR="00947938">
        <w:t xml:space="preserve">ask the question </w:t>
      </w:r>
      <w:r w:rsidR="007E2E62">
        <w:t>“w</w:t>
      </w:r>
      <w:r w:rsidR="00947938">
        <w:t>hat is the respect due to the human embryo?</w:t>
      </w:r>
      <w:r w:rsidR="007E2E62">
        <w:t>”</w:t>
      </w:r>
      <w:r w:rsidR="003B6362">
        <w:rPr>
          <w:rStyle w:val="FootnoteReference"/>
        </w:rPr>
        <w:footnoteReference w:id="31"/>
      </w:r>
    </w:p>
    <w:p w14:paraId="3725221C" w14:textId="4A2EB82A" w:rsidR="006C40F4" w:rsidRDefault="007E2E62" w:rsidP="00043D24">
      <w:r>
        <w:t xml:space="preserve">Persons exist in </w:t>
      </w:r>
      <w:r w:rsidR="00D80C30">
        <w:t>relation</w:t>
      </w:r>
      <w:r w:rsidR="00CB38BE">
        <w:t xml:space="preserve"> </w:t>
      </w:r>
      <w:r>
        <w:t xml:space="preserve">and </w:t>
      </w:r>
      <w:r w:rsidR="00CB38BE">
        <w:t xml:space="preserve">if </w:t>
      </w:r>
      <w:r>
        <w:t xml:space="preserve">human beings </w:t>
      </w:r>
      <w:r w:rsidR="00CB38BE">
        <w:t>are rational</w:t>
      </w:r>
      <w:r w:rsidR="00D80C30">
        <w:t xml:space="preserve"> being</w:t>
      </w:r>
      <w:r w:rsidR="00CB38BE">
        <w:t>s</w:t>
      </w:r>
      <w:r w:rsidR="00BE3956">
        <w:t xml:space="preserve">, </w:t>
      </w:r>
      <w:r w:rsidR="00CB38BE">
        <w:t xml:space="preserve">they are </w:t>
      </w:r>
      <w:r w:rsidR="009754DC">
        <w:t xml:space="preserve">also </w:t>
      </w:r>
      <w:r w:rsidRPr="006F3398">
        <w:rPr>
          <w:i/>
        </w:rPr>
        <w:t>dependent</w:t>
      </w:r>
      <w:r w:rsidR="00CB38BE" w:rsidRPr="006F3398">
        <w:rPr>
          <w:i/>
        </w:rPr>
        <w:t xml:space="preserve"> </w:t>
      </w:r>
      <w:r w:rsidR="00CB38BE">
        <w:t xml:space="preserve">rational </w:t>
      </w:r>
      <w:r w:rsidR="00D80C30">
        <w:t>beings</w:t>
      </w:r>
      <w:r>
        <w:t>.</w:t>
      </w:r>
      <w:r w:rsidR="003B6362">
        <w:rPr>
          <w:rStyle w:val="FootnoteReference"/>
        </w:rPr>
        <w:footnoteReference w:id="32"/>
      </w:r>
      <w:r>
        <w:t xml:space="preserve">  </w:t>
      </w:r>
      <w:r w:rsidR="00415C2D">
        <w:t xml:space="preserve">Nevertheless, </w:t>
      </w:r>
      <w:r>
        <w:t xml:space="preserve">this </w:t>
      </w:r>
      <w:r w:rsidR="00CB38BE">
        <w:t xml:space="preserve">relationality and dependence </w:t>
      </w:r>
      <w:r>
        <w:t xml:space="preserve">does not imply that the moral status of human beings is </w:t>
      </w:r>
      <w:r w:rsidR="009671B1">
        <w:t xml:space="preserve">something </w:t>
      </w:r>
      <w:r w:rsidR="00CB38BE">
        <w:t xml:space="preserve">granted </w:t>
      </w:r>
      <w:r w:rsidR="00D80C30">
        <w:t xml:space="preserve">by </w:t>
      </w:r>
      <w:r w:rsidR="00CB38BE">
        <w:t>or constructed by others.</w:t>
      </w:r>
      <w:r w:rsidR="009671B1">
        <w:t xml:space="preserve">  </w:t>
      </w:r>
      <w:r w:rsidR="00A90CB7">
        <w:t>W</w:t>
      </w:r>
      <w:r w:rsidR="009671B1">
        <w:t>e come to recognize the moral status of others</w:t>
      </w:r>
      <w:r w:rsidR="00A90CB7">
        <w:t>,</w:t>
      </w:r>
      <w:r w:rsidR="009671B1">
        <w:t xml:space="preserve"> and come to be recognized</w:t>
      </w:r>
      <w:r w:rsidR="00043D24">
        <w:t xml:space="preserve"> by others</w:t>
      </w:r>
      <w:r w:rsidR="009671B1">
        <w:t xml:space="preserve">, </w:t>
      </w:r>
      <w:r w:rsidR="00A90CB7">
        <w:t xml:space="preserve">through our relations with them, </w:t>
      </w:r>
      <w:r w:rsidR="009671B1">
        <w:t xml:space="preserve">but </w:t>
      </w:r>
      <w:r w:rsidR="00A90CB7">
        <w:t xml:space="preserve">we have an inherent </w:t>
      </w:r>
      <w:r w:rsidR="009671B1">
        <w:t>moral status</w:t>
      </w:r>
      <w:r w:rsidR="00043D24">
        <w:t xml:space="preserve"> </w:t>
      </w:r>
      <w:r w:rsidR="00A90CB7">
        <w:t xml:space="preserve">before </w:t>
      </w:r>
      <w:r w:rsidR="00F01DD6">
        <w:t>this status</w:t>
      </w:r>
      <w:r w:rsidR="00043D24">
        <w:t xml:space="preserve"> is </w:t>
      </w:r>
      <w:r w:rsidR="009671B1">
        <w:t xml:space="preserve">acknowledged. </w:t>
      </w:r>
      <w:r w:rsidR="00A90CB7">
        <w:t xml:space="preserve"> </w:t>
      </w:r>
    </w:p>
    <w:p w14:paraId="269A4C16" w14:textId="07E43759" w:rsidR="00035621" w:rsidRDefault="001C2030" w:rsidP="001C2030">
      <w:r>
        <w:t>Helen Watt</w:t>
      </w:r>
      <w:r w:rsidR="00E636A0">
        <w:t xml:space="preserve"> </w:t>
      </w:r>
      <w:r>
        <w:t xml:space="preserve">has </w:t>
      </w:r>
      <w:r w:rsidR="00B45B2F">
        <w:t xml:space="preserve">argued </w:t>
      </w:r>
      <w:r w:rsidR="00CC2D05">
        <w:t xml:space="preserve">at length </w:t>
      </w:r>
      <w:r w:rsidR="00B45B2F">
        <w:t xml:space="preserve">that an adequate ethical understanding of pregnancy requires both a recognition of the </w:t>
      </w:r>
      <w:r>
        <w:t>inherent moral status of the embryo or foetus</w:t>
      </w:r>
      <w:r w:rsidR="00B45B2F">
        <w:t xml:space="preserve"> and a recognition </w:t>
      </w:r>
      <w:r>
        <w:t>that “</w:t>
      </w:r>
      <w:r w:rsidR="00947938">
        <w:t xml:space="preserve">the embryo’s potential or orientation </w:t>
      </w:r>
      <w:r>
        <w:t xml:space="preserve">[is] </w:t>
      </w:r>
      <w:r w:rsidR="00947938">
        <w:t>precisely in relation to the body of a woman who is, or who could be, pregnant.</w:t>
      </w:r>
      <w:r>
        <w:t>”</w:t>
      </w:r>
      <w:r w:rsidR="003B6362">
        <w:rPr>
          <w:rStyle w:val="FootnoteReference"/>
        </w:rPr>
        <w:footnoteReference w:id="33"/>
      </w:r>
      <w:r w:rsidR="00436884">
        <w:t xml:space="preserve"> Indeed, </w:t>
      </w:r>
      <w:r w:rsidR="009008B7">
        <w:t xml:space="preserve">according to Watt, </w:t>
      </w:r>
      <w:r w:rsidR="00B45B2F">
        <w:t xml:space="preserve">it is not possible to explain the </w:t>
      </w:r>
      <w:r w:rsidR="00B45B2F" w:rsidRPr="00B45B2F">
        <w:rPr>
          <w:i/>
        </w:rPr>
        <w:t>rights conferred</w:t>
      </w:r>
      <w:r w:rsidR="00B45B2F">
        <w:t xml:space="preserve"> by pregnancy</w:t>
      </w:r>
      <w:r w:rsidR="00F01DD6">
        <w:t xml:space="preserve"> on the woman</w:t>
      </w:r>
      <w:r w:rsidR="00B45B2F">
        <w:t xml:space="preserve"> if pregnancy is understood only as a </w:t>
      </w:r>
      <w:r w:rsidR="009048D2">
        <w:t>matter</w:t>
      </w:r>
      <w:r w:rsidR="009008B7">
        <w:t xml:space="preserve"> of </w:t>
      </w:r>
      <w:r w:rsidR="005D16E9">
        <w:t xml:space="preserve">location or </w:t>
      </w:r>
      <w:r w:rsidR="009008B7">
        <w:t xml:space="preserve">beneficence.  </w:t>
      </w:r>
      <w:r w:rsidR="009008B7">
        <w:lastRenderedPageBreak/>
        <w:t xml:space="preserve">“The child </w:t>
      </w:r>
      <w:r w:rsidR="00B45B2F">
        <w:t>either is, or risks being, or is perhaps appropriately, more to the woman socially and emotionally than that</w:t>
      </w:r>
      <w:r w:rsidR="003B6362">
        <w:t>”</w:t>
      </w:r>
      <w:r w:rsidR="00B45B2F">
        <w:t>.</w:t>
      </w:r>
      <w:r w:rsidR="003B6362">
        <w:rPr>
          <w:rStyle w:val="FootnoteReference"/>
        </w:rPr>
        <w:footnoteReference w:id="34"/>
      </w:r>
      <w:r w:rsidR="00A90CB7">
        <w:t xml:space="preserve">  </w:t>
      </w:r>
    </w:p>
    <w:p w14:paraId="0865BF83" w14:textId="4C47F16A" w:rsidR="001C6D7A" w:rsidRDefault="004F51FC" w:rsidP="001C2030">
      <w:r>
        <w:t>The human nature of the human embryo</w:t>
      </w:r>
      <w:r w:rsidR="005D16E9">
        <w:t xml:space="preserve"> is</w:t>
      </w:r>
      <w:r>
        <w:t xml:space="preserve"> </w:t>
      </w:r>
      <w:r w:rsidR="008022DB">
        <w:t xml:space="preserve">thus </w:t>
      </w:r>
      <w:r>
        <w:t>to be understood relationally.  This is not because the embryo lacks a human nature but is because the human nature</w:t>
      </w:r>
      <w:r w:rsidR="00CC2D05">
        <w:t xml:space="preserve"> of all human beings is</w:t>
      </w:r>
      <w:r>
        <w:t xml:space="preserve"> to be understood relationally.  </w:t>
      </w:r>
      <w:r w:rsidR="008022DB">
        <w:t>The</w:t>
      </w:r>
      <w:r w:rsidR="00B10D1F">
        <w:t xml:space="preserve"> </w:t>
      </w:r>
      <w:r w:rsidR="008022DB">
        <w:t>recognition that</w:t>
      </w:r>
      <w:r w:rsidR="00B10D1F">
        <w:t xml:space="preserve"> the human embryo </w:t>
      </w:r>
      <w:r w:rsidR="008022DB">
        <w:t>i</w:t>
      </w:r>
      <w:r w:rsidR="00B10D1F">
        <w:t xml:space="preserve">s </w:t>
      </w:r>
      <w:r w:rsidR="00CC2D05">
        <w:t xml:space="preserve">an embryonic human being and </w:t>
      </w:r>
      <w:r w:rsidR="005D16E9">
        <w:t xml:space="preserve">thus </w:t>
      </w:r>
      <w:r w:rsidR="00B10D1F">
        <w:t>“</w:t>
      </w:r>
      <w:r w:rsidR="00B10D1F" w:rsidRPr="00B10D1F">
        <w:t>a rights-bearing entity that requires protection</w:t>
      </w:r>
      <w:r w:rsidR="00B10D1F">
        <w:t>”</w:t>
      </w:r>
      <w:r w:rsidR="003B6362">
        <w:rPr>
          <w:rStyle w:val="FootnoteReference"/>
        </w:rPr>
        <w:footnoteReference w:id="35"/>
      </w:r>
      <w:r w:rsidR="00B10D1F">
        <w:t xml:space="preserve"> will </w:t>
      </w:r>
      <w:r w:rsidR="005D16E9">
        <w:t xml:space="preserve">nevertheless </w:t>
      </w:r>
      <w:r w:rsidR="00B10D1F">
        <w:t xml:space="preserve">have different </w:t>
      </w:r>
      <w:r w:rsidR="008022DB">
        <w:t xml:space="preserve">ethical </w:t>
      </w:r>
      <w:r w:rsidR="00B10D1F">
        <w:t xml:space="preserve">implications for the </w:t>
      </w:r>
      <w:r>
        <w:t xml:space="preserve">dislocated embryo </w:t>
      </w:r>
      <w:r w:rsidR="00B10D1F">
        <w:t>in vitro and</w:t>
      </w:r>
      <w:r>
        <w:t xml:space="preserve"> the embryo in utero</w:t>
      </w:r>
      <w:r w:rsidR="00B10D1F">
        <w:t>.  For example, if an embryo cannot be transferred to the woman from whos</w:t>
      </w:r>
      <w:r w:rsidR="00EC6DF5">
        <w:t>e egg the em</w:t>
      </w:r>
      <w:r w:rsidR="008022DB">
        <w:t>bryo was conceived,</w:t>
      </w:r>
      <w:r w:rsidR="00EC6DF5">
        <w:t xml:space="preserve"> </w:t>
      </w:r>
      <w:r w:rsidR="00B10D1F">
        <w:t xml:space="preserve">then there is no other woman who has </w:t>
      </w:r>
      <w:r w:rsidR="009D032B">
        <w:t>the</w:t>
      </w:r>
      <w:r w:rsidR="00B10D1F">
        <w:t xml:space="preserve"> </w:t>
      </w:r>
      <w:r w:rsidR="00D80C30">
        <w:t>right or</w:t>
      </w:r>
      <w:r w:rsidR="00BE3956">
        <w:t xml:space="preserve"> </w:t>
      </w:r>
      <w:r w:rsidR="00F01DD6">
        <w:t>responsibility</w:t>
      </w:r>
      <w:r w:rsidR="00B10D1F">
        <w:t xml:space="preserve"> to receive the embryo</w:t>
      </w:r>
      <w:r w:rsidR="005D16E9">
        <w:t xml:space="preserve">.  </w:t>
      </w:r>
      <w:r w:rsidR="009A6D81">
        <w:t>Watt</w:t>
      </w:r>
      <w:r w:rsidR="008022DB">
        <w:t>,</w:t>
      </w:r>
      <w:r w:rsidR="009A6D81">
        <w:t xml:space="preserve"> who argues that human embryos are </w:t>
      </w:r>
      <w:r w:rsidR="00EC6DF5">
        <w:t>rights-bearers</w:t>
      </w:r>
      <w:r w:rsidR="005D16E9">
        <w:t>,</w:t>
      </w:r>
      <w:r w:rsidR="008022DB">
        <w:t xml:space="preserve"> </w:t>
      </w:r>
      <w:r w:rsidR="00EC6DF5">
        <w:t xml:space="preserve">argues against embryo </w:t>
      </w:r>
      <w:r w:rsidR="009F56AF">
        <w:t>“adoption” or “</w:t>
      </w:r>
      <w:r w:rsidR="00EC6DF5">
        <w:t>donation</w:t>
      </w:r>
      <w:r w:rsidR="00A53816">
        <w:t>”</w:t>
      </w:r>
      <w:r w:rsidR="00EC6DF5">
        <w:t xml:space="preserve"> because of the </w:t>
      </w:r>
      <w:r w:rsidR="008022DB">
        <w:t xml:space="preserve">moral </w:t>
      </w:r>
      <w:r w:rsidR="00EC6DF5">
        <w:t>significance of pregnancy.</w:t>
      </w:r>
      <w:r w:rsidR="003B6362">
        <w:rPr>
          <w:rStyle w:val="FootnoteReference"/>
        </w:rPr>
        <w:footnoteReference w:id="36"/>
      </w:r>
      <w:r w:rsidR="00EC6DF5">
        <w:t xml:space="preserve">  </w:t>
      </w:r>
      <w:r w:rsidR="005D16E9">
        <w:t>Nevertheless</w:t>
      </w:r>
      <w:r w:rsidR="008022DB">
        <w:t>, o</w:t>
      </w:r>
      <w:r w:rsidR="00EC6DF5">
        <w:t xml:space="preserve">n Watt’s view, if an embryo </w:t>
      </w:r>
      <w:r w:rsidR="005D16E9">
        <w:t xml:space="preserve">is transferred to another </w:t>
      </w:r>
      <w:r w:rsidR="008022DB">
        <w:t>woman</w:t>
      </w:r>
      <w:r w:rsidR="00EC6DF5">
        <w:t xml:space="preserve"> then</w:t>
      </w:r>
      <w:r w:rsidR="005D16E9">
        <w:t xml:space="preserve"> that woman</w:t>
      </w:r>
      <w:r w:rsidR="00EC6DF5">
        <w:t xml:space="preserve"> becomes the gestational mother</w:t>
      </w:r>
      <w:r w:rsidR="005D16E9">
        <w:t xml:space="preserve"> and acquires maternal rights</w:t>
      </w:r>
      <w:r w:rsidR="00EC6DF5">
        <w:t xml:space="preserve">.  </w:t>
      </w:r>
      <w:r w:rsidR="008022DB">
        <w:t>Pregnancy makes someone a mother and motherhood brings with it not only responsibilities but also rights.</w:t>
      </w:r>
      <w:r w:rsidR="00B70035">
        <w:rPr>
          <w:rStyle w:val="FootnoteReference"/>
        </w:rPr>
        <w:footnoteReference w:id="37"/>
      </w:r>
    </w:p>
    <w:p w14:paraId="4270BE0F" w14:textId="77777777" w:rsidR="00840012" w:rsidRPr="002D4C90" w:rsidRDefault="00840012" w:rsidP="00840012">
      <w:pPr>
        <w:rPr>
          <w:b/>
        </w:rPr>
      </w:pPr>
      <w:r>
        <w:rPr>
          <w:b/>
        </w:rPr>
        <w:t xml:space="preserve">Unacknowledged women </w:t>
      </w:r>
    </w:p>
    <w:p w14:paraId="7A382B80" w14:textId="353A2C01" w:rsidR="00E636A0" w:rsidRDefault="00E636A0" w:rsidP="00840012">
      <w:r>
        <w:t xml:space="preserve">Even before the embryo is transferred to a woman there </w:t>
      </w:r>
      <w:r w:rsidR="00020022">
        <w:t xml:space="preserve">are </w:t>
      </w:r>
      <w:r>
        <w:t xml:space="preserve">rights that accrue </w:t>
      </w:r>
      <w:r w:rsidR="00A53816">
        <w:t xml:space="preserve">to </w:t>
      </w:r>
      <w:r w:rsidR="00020022">
        <w:t>the</w:t>
      </w:r>
      <w:r w:rsidR="00A53816">
        <w:t xml:space="preserve"> woman </w:t>
      </w:r>
      <w:r w:rsidR="005D16E9">
        <w:t>from whom and for whom</w:t>
      </w:r>
      <w:r>
        <w:t xml:space="preserve"> the embryo was conceived</w:t>
      </w:r>
      <w:r w:rsidR="00A53816">
        <w:t>.  However, i</w:t>
      </w:r>
      <w:r>
        <w:t xml:space="preserve">t is a feature of IVF that not only is the embryo dislocated, being conceived outside the body of </w:t>
      </w:r>
      <w:r w:rsidR="009D032B">
        <w:t xml:space="preserve">the genetic </w:t>
      </w:r>
      <w:r>
        <w:t xml:space="preserve">mother, but motherhood is also fractured, at least potentially, with genetic, gestational and social </w:t>
      </w:r>
      <w:r w:rsidR="005C33E5">
        <w:t>maternity</w:t>
      </w:r>
      <w:r>
        <w:t xml:space="preserve"> potentially lying with different women.</w:t>
      </w:r>
    </w:p>
    <w:p w14:paraId="57E9B679" w14:textId="3E27EC12" w:rsidR="008E547B" w:rsidRDefault="008E547B" w:rsidP="00840012">
      <w:r>
        <w:t xml:space="preserve">The question </w:t>
      </w:r>
      <w:r w:rsidRPr="008E547B">
        <w:t xml:space="preserve">“what is the respect due to </w:t>
      </w:r>
      <w:r w:rsidRPr="005C33E5">
        <w:rPr>
          <w:i/>
        </w:rPr>
        <w:t>the</w:t>
      </w:r>
      <w:r w:rsidRPr="008E547B">
        <w:t xml:space="preserve"> woman undertaking treatment?”</w:t>
      </w:r>
      <w:r w:rsidR="003B6362">
        <w:rPr>
          <w:rStyle w:val="FootnoteReference"/>
        </w:rPr>
        <w:footnoteReference w:id="38"/>
      </w:r>
      <w:r>
        <w:t xml:space="preserve"> seems to imply that there is but one woman who is </w:t>
      </w:r>
      <w:r w:rsidR="002E38BF">
        <w:t>“</w:t>
      </w:r>
      <w:r>
        <w:t>undertaking</w:t>
      </w:r>
      <w:r w:rsidR="006F3398">
        <w:t>”</w:t>
      </w:r>
      <w:r w:rsidR="009D032B">
        <w:t xml:space="preserve"> </w:t>
      </w:r>
      <w:r>
        <w:t xml:space="preserve">IVF.  In cases of “egg donation” the effect of Millbank’s question is thus to further marginalise the status of the woman from whose egg the child is conceived.  </w:t>
      </w:r>
      <w:r w:rsidR="00BF5E79">
        <w:t xml:space="preserve">This is the </w:t>
      </w:r>
      <w:r>
        <w:t xml:space="preserve">woman </w:t>
      </w:r>
      <w:r w:rsidR="00BF5E79">
        <w:t>that</w:t>
      </w:r>
      <w:r>
        <w:t xml:space="preserve"> Donna Dickenson had in mind in her essay </w:t>
      </w:r>
      <w:r w:rsidR="006F3398">
        <w:t>The</w:t>
      </w:r>
      <w:r>
        <w:t xml:space="preserve"> </w:t>
      </w:r>
      <w:r w:rsidR="006F3398">
        <w:t>L</w:t>
      </w:r>
      <w:r>
        <w:t xml:space="preserve">ady </w:t>
      </w:r>
      <w:r w:rsidR="006F3398">
        <w:t>V</w:t>
      </w:r>
      <w:r>
        <w:t>anishes</w:t>
      </w:r>
      <w:r w:rsidR="00BF5E79">
        <w:t>.</w:t>
      </w:r>
      <w:r w:rsidR="003B6362">
        <w:rPr>
          <w:rStyle w:val="FootnoteReference"/>
        </w:rPr>
        <w:footnoteReference w:id="39"/>
      </w:r>
      <w:r w:rsidR="00BF5E79">
        <w:t xml:space="preserve"> Th</w:t>
      </w:r>
      <w:r w:rsidR="005C33E5">
        <w:t>e</w:t>
      </w:r>
      <w:r w:rsidR="00BF5E79">
        <w:t xml:space="preserve"> invisibility of this “other woman”</w:t>
      </w:r>
      <w:r w:rsidR="003B6362">
        <w:rPr>
          <w:rStyle w:val="FootnoteReference"/>
        </w:rPr>
        <w:footnoteReference w:id="40"/>
      </w:r>
      <w:r w:rsidR="00BF5E79">
        <w:t xml:space="preserve"> is rendered complete in the case of “mitochondrial replacement”</w:t>
      </w:r>
      <w:r w:rsidR="00714508">
        <w:rPr>
          <w:rStyle w:val="FootnoteReference"/>
        </w:rPr>
        <w:footnoteReference w:id="41"/>
      </w:r>
      <w:r w:rsidR="00BF5E79">
        <w:t xml:space="preserve"> </w:t>
      </w:r>
      <w:r w:rsidR="00A53816">
        <w:t xml:space="preserve">techniques </w:t>
      </w:r>
      <w:r w:rsidR="00BF5E79">
        <w:t xml:space="preserve">when the role of the woman </w:t>
      </w:r>
      <w:r w:rsidR="00A53816">
        <w:t>who provides the egg may be</w:t>
      </w:r>
      <w:r w:rsidR="00BF5E79">
        <w:t xml:space="preserve"> denied all maternal or generative significance.</w:t>
      </w:r>
    </w:p>
    <w:p w14:paraId="3C0A2C3B" w14:textId="53992D56" w:rsidR="00840012" w:rsidRPr="001315E9" w:rsidRDefault="00A53816" w:rsidP="00840012">
      <w:r>
        <w:t xml:space="preserve">In some cases, both an egg or embryo donor </w:t>
      </w:r>
      <w:r w:rsidR="005C33E5">
        <w:t xml:space="preserve">and a “surrogate mother” </w:t>
      </w:r>
      <w:r>
        <w:t xml:space="preserve">will be used and the commissioning couple may have no biological link to the child.  </w:t>
      </w:r>
      <w:r w:rsidR="0007501B">
        <w:t xml:space="preserve">Such arrangements raise serious questions of exploitation, especially where the surrogate mother </w:t>
      </w:r>
      <w:r w:rsidR="00BE3956">
        <w:t xml:space="preserve">is from a lower socioeconomic background </w:t>
      </w:r>
      <w:r w:rsidR="00D80C30">
        <w:t>and perhaps lives in a</w:t>
      </w:r>
      <w:r w:rsidR="00BE3956">
        <w:t xml:space="preserve"> poorer country</w:t>
      </w:r>
      <w:r w:rsidR="0007501B">
        <w:t xml:space="preserve">.  The relational approach suggested by Millbank has the potential to provide a richer ethical account that could inform </w:t>
      </w:r>
      <w:proofErr w:type="spellStart"/>
      <w:r w:rsidR="002E38BF">
        <w:t>lawmaking</w:t>
      </w:r>
      <w:proofErr w:type="spellEnd"/>
      <w:r w:rsidR="0007501B">
        <w:t xml:space="preserve"> in this area, both in re</w:t>
      </w:r>
      <w:r w:rsidR="007338B8">
        <w:t>gard</w:t>
      </w:r>
      <w:r w:rsidR="0007501B">
        <w:t xml:space="preserve"> to which activities should be legally prohibited and in re</w:t>
      </w:r>
      <w:r w:rsidR="007338B8">
        <w:t>gard</w:t>
      </w:r>
      <w:r w:rsidR="0007501B">
        <w:t xml:space="preserve"> to managing the consequences when children are born to such arrangements.  However, </w:t>
      </w:r>
      <w:r w:rsidR="005C33E5">
        <w:t xml:space="preserve">to provide such resources, </w:t>
      </w:r>
      <w:r w:rsidR="001315E9">
        <w:t xml:space="preserve">the focus </w:t>
      </w:r>
      <w:r w:rsidR="005C33E5">
        <w:t xml:space="preserve">needs to </w:t>
      </w:r>
      <w:r w:rsidR="001315E9">
        <w:t xml:space="preserve">be widened to include not only the woman undertaking treatment but also the </w:t>
      </w:r>
      <w:r w:rsidR="001315E9">
        <w:lastRenderedPageBreak/>
        <w:t>woman from whose egg the embryo is conceived, the genetic father, the embryo</w:t>
      </w:r>
      <w:r w:rsidR="008752D9">
        <w:t xml:space="preserve"> in vitro and</w:t>
      </w:r>
      <w:r w:rsidR="001315E9">
        <w:t xml:space="preserve"> in utero, the child </w:t>
      </w:r>
      <w:r w:rsidR="005A185F">
        <w:t>born in these circumstances,</w:t>
      </w:r>
      <w:r w:rsidR="001315E9">
        <w:t xml:space="preserve"> the person or persons who were seeking to bring up the child</w:t>
      </w:r>
      <w:r w:rsidR="008752D9">
        <w:t>, and the impact on wider society</w:t>
      </w:r>
      <w:r w:rsidR="001315E9">
        <w:t>.</w:t>
      </w:r>
      <w:r w:rsidR="005C33E5">
        <w:t xml:space="preserve">  </w:t>
      </w:r>
      <w:r w:rsidR="001315E9">
        <w:t xml:space="preserve"> </w:t>
      </w:r>
      <w:bookmarkStart w:id="0" w:name="_GoBack"/>
      <w:bookmarkEnd w:id="0"/>
    </w:p>
    <w:p w14:paraId="6D4F98F7" w14:textId="77777777" w:rsidR="009B01B7" w:rsidRDefault="009B01B7" w:rsidP="002D4C90">
      <w:pPr>
        <w:rPr>
          <w:b/>
        </w:rPr>
      </w:pPr>
      <w:r>
        <w:rPr>
          <w:b/>
        </w:rPr>
        <w:t>“T</w:t>
      </w:r>
      <w:r w:rsidRPr="009B01B7">
        <w:rPr>
          <w:b/>
        </w:rPr>
        <w:t>hey deserve better</w:t>
      </w:r>
      <w:r>
        <w:rPr>
          <w:b/>
        </w:rPr>
        <w:t>”</w:t>
      </w:r>
      <w:r w:rsidRPr="009B01B7">
        <w:rPr>
          <w:b/>
        </w:rPr>
        <w:t xml:space="preserve"> </w:t>
      </w:r>
    </w:p>
    <w:p w14:paraId="21AC2B27" w14:textId="056AE428" w:rsidR="00AC611A" w:rsidRDefault="001315E9" w:rsidP="00AC611A">
      <w:r>
        <w:t xml:space="preserve">The </w:t>
      </w:r>
      <w:r w:rsidR="00AC611A">
        <w:t xml:space="preserve">greatest strength of Millbank’s paper is in giving access to the self-understanding of </w:t>
      </w:r>
      <w:r w:rsidR="003B1143">
        <w:t>eight</w:t>
      </w:r>
      <w:r w:rsidR="00AC611A">
        <w:t xml:space="preserve"> women who h</w:t>
      </w:r>
      <w:r w:rsidR="008752D9">
        <w:t>ave undergone IVF and who have</w:t>
      </w:r>
      <w:r w:rsidR="00AC611A">
        <w:t xml:space="preserve"> embryos in storage</w:t>
      </w:r>
      <w:r w:rsidR="008752D9">
        <w:t>:</w:t>
      </w:r>
      <w:r w:rsidR="00AC611A" w:rsidRPr="00AC611A">
        <w:t xml:space="preserve"> </w:t>
      </w:r>
      <w:r w:rsidR="00AC611A">
        <w:t xml:space="preserve">Ruby, Clarice, Danielle, </w:t>
      </w:r>
      <w:r w:rsidR="003B1143">
        <w:t xml:space="preserve">Rose, </w:t>
      </w:r>
      <w:r w:rsidR="00AC611A">
        <w:t xml:space="preserve">Apple, </w:t>
      </w:r>
      <w:r w:rsidR="003B1143">
        <w:t xml:space="preserve">Phoebe, </w:t>
      </w:r>
      <w:r w:rsidR="00AC611A">
        <w:t xml:space="preserve">Scarlet, and Chloe.  Their words, which comprise some 12.5% of the paper, are a rich source of insight.  </w:t>
      </w:r>
      <w:r w:rsidR="005C33E5">
        <w:t>T</w:t>
      </w:r>
      <w:r w:rsidR="00AC611A">
        <w:t>he</w:t>
      </w:r>
      <w:r w:rsidR="00BE3956">
        <w:t>se eight women</w:t>
      </w:r>
      <w:r w:rsidR="00AC611A">
        <w:t xml:space="preserve"> </w:t>
      </w:r>
      <w:r w:rsidR="005C33E5">
        <w:t xml:space="preserve">should not </w:t>
      </w:r>
      <w:r w:rsidR="00AC611A">
        <w:t>be taken as representative</w:t>
      </w:r>
      <w:r w:rsidR="005C33E5">
        <w:t xml:space="preserve"> and </w:t>
      </w:r>
      <w:r w:rsidR="00291D46">
        <w:t>do not speak with one voice</w:t>
      </w:r>
      <w:r w:rsidR="00C8323C">
        <w:t>;</w:t>
      </w:r>
      <w:r w:rsidR="00291D46">
        <w:t xml:space="preserve"> nor are they </w:t>
      </w:r>
      <w:r w:rsidR="005C33E5">
        <w:t xml:space="preserve">always </w:t>
      </w:r>
      <w:r w:rsidR="00291D46">
        <w:t xml:space="preserve">clear or consistent in expressing their thoughts.  Nevertheless, they each speak from experience and there is a freshness in their words which come without the constraints of a strong theoretic frame.  Such material can help challenge the adequacy of </w:t>
      </w:r>
      <w:r w:rsidR="00C8323C">
        <w:t>common notions</w:t>
      </w:r>
      <w:r w:rsidR="00891F06">
        <w:t xml:space="preserve"> of women’</w:t>
      </w:r>
      <w:r w:rsidR="00020022">
        <w:t>s relationships</w:t>
      </w:r>
      <w:r w:rsidR="00891F06">
        <w:t xml:space="preserve"> to their embryos</w:t>
      </w:r>
      <w:r w:rsidR="00291D46">
        <w:t xml:space="preserve">. </w:t>
      </w:r>
      <w:r w:rsidR="00AC611A">
        <w:t xml:space="preserve"> </w:t>
      </w:r>
    </w:p>
    <w:p w14:paraId="65002E8A" w14:textId="6666692A" w:rsidR="005C54D4" w:rsidRDefault="005C33E5" w:rsidP="00344FB9">
      <w:r>
        <w:t>Millbank helpfully arranges</w:t>
      </w:r>
      <w:r w:rsidR="003B1143">
        <w:t xml:space="preserve"> the material, considering issues thematically but also providing extended quotations</w:t>
      </w:r>
      <w:r>
        <w:t>, especially</w:t>
      </w:r>
      <w:r w:rsidR="003B1143">
        <w:t xml:space="preserve"> from Phoebe, Scarlet, and Chloe.  </w:t>
      </w:r>
      <w:r w:rsidR="009A748B">
        <w:t>This help</w:t>
      </w:r>
      <w:r>
        <w:t>s</w:t>
      </w:r>
      <w:r w:rsidR="009A748B">
        <w:t xml:space="preserve"> bring out some strong common t</w:t>
      </w:r>
      <w:r w:rsidR="005A185F">
        <w:t>hemes.  Two themes are particularly noteworthy</w:t>
      </w:r>
      <w:r w:rsidR="00BE3956">
        <w:t xml:space="preserve">: </w:t>
      </w:r>
      <w:r w:rsidR="009A748B">
        <w:t xml:space="preserve"> first</w:t>
      </w:r>
      <w:r w:rsidR="00BE3956">
        <w:t>,</w:t>
      </w:r>
      <w:r w:rsidR="009A748B">
        <w:t xml:space="preserve"> the </w:t>
      </w:r>
      <w:r w:rsidR="008752D9">
        <w:t xml:space="preserve">added </w:t>
      </w:r>
      <w:r w:rsidR="009A748B">
        <w:t xml:space="preserve">significance of the embryo due to the birth of a sibling from the same “batch”.  </w:t>
      </w:r>
      <w:r>
        <w:t>A</w:t>
      </w:r>
      <w:r w:rsidR="009A748B">
        <w:t xml:space="preserve"> number of examples </w:t>
      </w:r>
      <w:r>
        <w:t xml:space="preserve">are given </w:t>
      </w:r>
      <w:r w:rsidR="009A748B">
        <w:t>but perhaps the most striking is from Ruby: “I look at my Claudia and I go, ‘My god they’re all potential Claudia’s’”.</w:t>
      </w:r>
      <w:r w:rsidR="00740553">
        <w:rPr>
          <w:rStyle w:val="FootnoteReference"/>
        </w:rPr>
        <w:footnoteReference w:id="42"/>
      </w:r>
      <w:r w:rsidR="009A748B">
        <w:t xml:space="preserve">  </w:t>
      </w:r>
    </w:p>
    <w:p w14:paraId="530646E3" w14:textId="54C16F71" w:rsidR="009A748B" w:rsidRDefault="009A748B" w:rsidP="00344FB9">
      <w:r>
        <w:t xml:space="preserve">A second theme, of which Millbank provides several examples, is the </w:t>
      </w:r>
      <w:r w:rsidR="005C54D4">
        <w:t xml:space="preserve">women’s </w:t>
      </w:r>
      <w:r>
        <w:t>aversion</w:t>
      </w:r>
      <w:r w:rsidR="005C54D4">
        <w:t xml:space="preserve"> </w:t>
      </w:r>
      <w:r>
        <w:t>to treating the embryo as waste, to be “chucked” in the bin or “flushed down the sink”.</w:t>
      </w:r>
      <w:r w:rsidR="00740553">
        <w:rPr>
          <w:rStyle w:val="FootnoteReference"/>
        </w:rPr>
        <w:footnoteReference w:id="43"/>
      </w:r>
      <w:r>
        <w:t xml:space="preserve">  It is striking that </w:t>
      </w:r>
      <w:r w:rsidR="00344FB9">
        <w:t>Mary Warnock uses this same example to show how current regulation and practice does not in fact respect</w:t>
      </w:r>
      <w:r w:rsidR="00BE3956">
        <w:t xml:space="preserve"> </w:t>
      </w:r>
      <w:r w:rsidR="00344FB9">
        <w:t>the human embryo</w:t>
      </w:r>
      <w:r w:rsidR="00BE3956">
        <w:t xml:space="preserve">:  </w:t>
      </w:r>
      <w:r w:rsidR="00344FB9">
        <w:t>“You cannot respectfully pour something down the sink”.</w:t>
      </w:r>
      <w:r w:rsidR="00740553">
        <w:rPr>
          <w:rStyle w:val="FootnoteReference"/>
        </w:rPr>
        <w:footnoteReference w:id="44"/>
      </w:r>
      <w:r w:rsidR="00344FB9">
        <w:t xml:space="preserve">  </w:t>
      </w:r>
      <w:r w:rsidR="005C54D4">
        <w:t xml:space="preserve">Warnock seems to have thought </w:t>
      </w:r>
      <w:r w:rsidR="00530D75">
        <w:t>that</w:t>
      </w:r>
      <w:r w:rsidR="007338B8">
        <w:t xml:space="preserve">, apart from transfer to a woman, no </w:t>
      </w:r>
      <w:r w:rsidR="005C54D4">
        <w:t>use</w:t>
      </w:r>
      <w:r w:rsidR="007338B8">
        <w:t xml:space="preserve"> of</w:t>
      </w:r>
      <w:r w:rsidR="009D032B">
        <w:t>,</w:t>
      </w:r>
      <w:r w:rsidR="007338B8">
        <w:t xml:space="preserve"> </w:t>
      </w:r>
      <w:r w:rsidR="005C54D4">
        <w:t xml:space="preserve">or </w:t>
      </w:r>
      <w:r w:rsidR="00530D75">
        <w:t>disposal of</w:t>
      </w:r>
      <w:r w:rsidR="009D032B">
        <w:t xml:space="preserve">, </w:t>
      </w:r>
      <w:r w:rsidR="005C54D4">
        <w:t xml:space="preserve">IVF </w:t>
      </w:r>
      <w:r w:rsidR="00530D75">
        <w:t>em</w:t>
      </w:r>
      <w:r w:rsidR="00344FB9">
        <w:t>b</w:t>
      </w:r>
      <w:r w:rsidR="00530D75">
        <w:t>r</w:t>
      </w:r>
      <w:r w:rsidR="00344FB9">
        <w:t>yos</w:t>
      </w:r>
      <w:r w:rsidR="007338B8">
        <w:t xml:space="preserve">  </w:t>
      </w:r>
      <w:r w:rsidR="00530D75">
        <w:t>could</w:t>
      </w:r>
      <w:r w:rsidR="00793673">
        <w:t xml:space="preserve"> </w:t>
      </w:r>
      <w:r w:rsidR="005C54D4">
        <w:t xml:space="preserve">express </w:t>
      </w:r>
      <w:r w:rsidR="00530D75">
        <w:t xml:space="preserve">respect.  In contrast, for Rose or Phoebe </w:t>
      </w:r>
      <w:r w:rsidR="005C54D4">
        <w:t xml:space="preserve">this is both a possibility and </w:t>
      </w:r>
      <w:r w:rsidR="00530D75">
        <w:t xml:space="preserve">a practical question: </w:t>
      </w:r>
      <w:r w:rsidR="002E38BF">
        <w:t xml:space="preserve"> </w:t>
      </w:r>
      <w:r w:rsidR="00530D75">
        <w:t xml:space="preserve">how should </w:t>
      </w:r>
      <w:r w:rsidR="005C54D4">
        <w:t xml:space="preserve">they </w:t>
      </w:r>
      <w:r w:rsidR="00530D75">
        <w:t>respectfully dispose of th</w:t>
      </w:r>
      <w:r w:rsidR="00BD5BC0">
        <w:t xml:space="preserve">eir embryos or of the </w:t>
      </w:r>
      <w:r w:rsidR="00530D75">
        <w:t>remains</w:t>
      </w:r>
      <w:r w:rsidR="00BD5BC0">
        <w:t xml:space="preserve"> of their embryos</w:t>
      </w:r>
      <w:r w:rsidR="00530D75">
        <w:t xml:space="preserve">?  </w:t>
      </w:r>
    </w:p>
    <w:p w14:paraId="7DFE435D" w14:textId="5F964A1E" w:rsidR="002E38BF" w:rsidRDefault="005C54D4" w:rsidP="00CC5EE4">
      <w:r>
        <w:t>Millbank generally allows the women to speak f</w:t>
      </w:r>
      <w:r w:rsidR="00BE3956">
        <w:t>or</w:t>
      </w:r>
      <w:r>
        <w:t xml:space="preserve"> themselves but on occasion</w:t>
      </w:r>
      <w:r w:rsidR="00B26F0D">
        <w:t xml:space="preserve"> she</w:t>
      </w:r>
      <w:r>
        <w:t xml:space="preserve"> </w:t>
      </w:r>
      <w:r w:rsidR="00CC5EE4">
        <w:t>bring</w:t>
      </w:r>
      <w:r w:rsidR="00BD5BC0">
        <w:t>s</w:t>
      </w:r>
      <w:r w:rsidR="00CC5EE4">
        <w:t xml:space="preserve"> her own </w:t>
      </w:r>
      <w:r>
        <w:t>frame to their words.</w:t>
      </w:r>
      <w:r w:rsidR="00CC5EE4">
        <w:t xml:space="preserve"> </w:t>
      </w:r>
      <w:r w:rsidR="00BD5BC0">
        <w:t xml:space="preserve"> </w:t>
      </w:r>
      <w:r>
        <w:t>She describes herself as</w:t>
      </w:r>
      <w:r w:rsidR="00F21167">
        <w:t xml:space="preserve"> engag</w:t>
      </w:r>
      <w:r>
        <w:t>ed</w:t>
      </w:r>
      <w:r w:rsidR="00F21167">
        <w:t xml:space="preserve"> in the </w:t>
      </w:r>
      <w:r w:rsidR="00BD5BC0">
        <w:t>“difficult but important task [of</w:t>
      </w:r>
      <w:r w:rsidR="00F21167">
        <w:t xml:space="preserve"> craft</w:t>
      </w:r>
      <w:r w:rsidR="00BD5BC0">
        <w:t>ing]</w:t>
      </w:r>
      <w:r w:rsidR="00F21167">
        <w:t xml:space="preserve"> a space in public discourse that can acknowledge women’s experience of relationality in reproduction without having </w:t>
      </w:r>
      <w:proofErr w:type="spellStart"/>
      <w:r w:rsidR="00F21167">
        <w:t>fetal</w:t>
      </w:r>
      <w:proofErr w:type="spellEnd"/>
      <w:r w:rsidR="00F21167">
        <w:t>/embryonic personhood claims imposed upon it”.</w:t>
      </w:r>
      <w:r w:rsidR="00740553">
        <w:rPr>
          <w:rStyle w:val="FootnoteReference"/>
        </w:rPr>
        <w:footnoteReference w:id="45"/>
      </w:r>
      <w:r w:rsidR="00F21167">
        <w:t xml:space="preserve">  However, in the effort to avoid any </w:t>
      </w:r>
      <w:r>
        <w:t xml:space="preserve">claims </w:t>
      </w:r>
      <w:r w:rsidR="00F21167">
        <w:t xml:space="preserve">of </w:t>
      </w:r>
      <w:r>
        <w:t xml:space="preserve">personhood or </w:t>
      </w:r>
      <w:r w:rsidR="00F21167">
        <w:t>inherent moral status, Millbank effectively imposes her own reductive view of the embryo</w:t>
      </w:r>
      <w:r w:rsidR="008752D9">
        <w:t xml:space="preserve"> onto her sources</w:t>
      </w:r>
      <w:r w:rsidR="00F21167">
        <w:t>.</w:t>
      </w:r>
      <w:r w:rsidR="000D4041">
        <w:t xml:space="preserve">  </w:t>
      </w:r>
      <w:r w:rsidR="00F21167">
        <w:t xml:space="preserve">  </w:t>
      </w:r>
    </w:p>
    <w:p w14:paraId="1E6B4198" w14:textId="6DD915F5" w:rsidR="000D4041" w:rsidRDefault="00F21167" w:rsidP="00CC5EE4">
      <w:r>
        <w:t>Millbank attributes to Chlo</w:t>
      </w:r>
      <w:r w:rsidR="00793673">
        <w:t>e the view that the embryo is “T</w:t>
      </w:r>
      <w:r>
        <w:t>he part of me that kind of still makes me a mother”.</w:t>
      </w:r>
      <w:r w:rsidR="00740553">
        <w:rPr>
          <w:rStyle w:val="FootnoteReference"/>
        </w:rPr>
        <w:footnoteReference w:id="46"/>
      </w:r>
      <w:r>
        <w:t xml:space="preserve">  However, in the quotations provided, Chloe never d</w:t>
      </w:r>
      <w:r w:rsidR="005A185F">
        <w:t xml:space="preserve">escribes </w:t>
      </w:r>
      <w:r w:rsidR="00BE3956">
        <w:t>her embryo</w:t>
      </w:r>
      <w:r w:rsidR="005A185F">
        <w:t xml:space="preserve"> as a “part</w:t>
      </w:r>
      <w:r>
        <w:t xml:space="preserve"> of </w:t>
      </w:r>
      <w:r w:rsidR="005A185F">
        <w:t>[</w:t>
      </w:r>
      <w:r>
        <w:t>her</w:t>
      </w:r>
      <w:r w:rsidR="005A185F">
        <w:t>]”</w:t>
      </w:r>
      <w:r>
        <w:t xml:space="preserve">. </w:t>
      </w:r>
      <w:r w:rsidR="000D4041">
        <w:t xml:space="preserve"> Her embryo is </w:t>
      </w:r>
      <w:r>
        <w:t>“all I have left”; it is “an embryo”; it is “this living little thing there”; it is “mine”; it is “the only living thing that I’ve created”.  The embryo that “kind of still makes me a mother”</w:t>
      </w:r>
      <w:r w:rsidR="00740553">
        <w:rPr>
          <w:rStyle w:val="FootnoteReference"/>
        </w:rPr>
        <w:footnoteReference w:id="47"/>
      </w:r>
      <w:r>
        <w:t xml:space="preserve"> is clearly not</w:t>
      </w:r>
      <w:r w:rsidR="000D4041">
        <w:t xml:space="preserve"> simply</w:t>
      </w:r>
      <w:r>
        <w:t xml:space="preserve"> a part of her but is </w:t>
      </w:r>
      <w:r w:rsidR="000D4041">
        <w:t>a</w:t>
      </w:r>
      <w:r>
        <w:t xml:space="preserve"> </w:t>
      </w:r>
      <w:r w:rsidR="00267CF6">
        <w:t xml:space="preserve">distinct </w:t>
      </w:r>
      <w:r>
        <w:t>living thing</w:t>
      </w:r>
      <w:r w:rsidR="000D4041">
        <w:t xml:space="preserve"> to which </w:t>
      </w:r>
      <w:r w:rsidR="007338B8">
        <w:t xml:space="preserve">(or </w:t>
      </w:r>
      <w:r w:rsidR="00BD5BC0">
        <w:t xml:space="preserve">to </w:t>
      </w:r>
      <w:r w:rsidR="007338B8">
        <w:t xml:space="preserve">whom) </w:t>
      </w:r>
      <w:r w:rsidR="000D4041">
        <w:t>she relates</w:t>
      </w:r>
      <w:r>
        <w:t>.</w:t>
      </w:r>
      <w:r w:rsidR="00017A15">
        <w:t xml:space="preserve"> </w:t>
      </w:r>
    </w:p>
    <w:p w14:paraId="13C032F9" w14:textId="5D95CDC0" w:rsidR="006E0BF2" w:rsidRDefault="000D4041" w:rsidP="006E0BF2">
      <w:r>
        <w:lastRenderedPageBreak/>
        <w:t>Millbank asserts that “none of the women quoted here, understood their own embryos to be ‘life’ or attributed personhood or almost babyhood to them”.</w:t>
      </w:r>
      <w:r w:rsidR="00740553">
        <w:rPr>
          <w:rStyle w:val="FootnoteReference"/>
        </w:rPr>
        <w:footnoteReference w:id="48"/>
      </w:r>
      <w:r>
        <w:t xml:space="preserve"> </w:t>
      </w:r>
      <w:r w:rsidR="00360DF0">
        <w:t xml:space="preserve"> While it is true that those quoted do not use philosophical terms like </w:t>
      </w:r>
      <w:r w:rsidR="008752D9">
        <w:t>“</w:t>
      </w:r>
      <w:r>
        <w:t>personhood</w:t>
      </w:r>
      <w:r w:rsidR="008752D9">
        <w:t>”</w:t>
      </w:r>
      <w:r w:rsidR="00360DF0">
        <w:t xml:space="preserve">, they </w:t>
      </w:r>
      <w:r w:rsidR="008752D9">
        <w:t xml:space="preserve">do </w:t>
      </w:r>
      <w:r w:rsidR="00360DF0">
        <w:t xml:space="preserve">indeed </w:t>
      </w:r>
      <w:r w:rsidR="008752D9">
        <w:t>regard their</w:t>
      </w:r>
      <w:r>
        <w:t xml:space="preserve"> embryos </w:t>
      </w:r>
      <w:r w:rsidR="008752D9">
        <w:t>as</w:t>
      </w:r>
      <w:r>
        <w:t xml:space="preserve"> </w:t>
      </w:r>
      <w:r w:rsidR="00267CF6">
        <w:t xml:space="preserve">living </w:t>
      </w:r>
      <w:r>
        <w:t xml:space="preserve">beings worthy of </w:t>
      </w:r>
      <w:r w:rsidR="009D032B">
        <w:t xml:space="preserve">some </w:t>
      </w:r>
      <w:r>
        <w:t>respect.  Chloe expressly states that her embryo is “</w:t>
      </w:r>
      <w:r w:rsidR="002037B2">
        <w:t>this living little thing there” and though she does not think it is yet a child she does think it is almost a child, it is “the physical thing” that is “the closest to being a child”.</w:t>
      </w:r>
      <w:r w:rsidR="00740553">
        <w:rPr>
          <w:rStyle w:val="FootnoteReference"/>
        </w:rPr>
        <w:footnoteReference w:id="49"/>
      </w:r>
      <w:r w:rsidR="002037B2">
        <w:t xml:space="preserve">  Ruby, in the </w:t>
      </w:r>
      <w:r>
        <w:t>very first quotation in the paper</w:t>
      </w:r>
      <w:r w:rsidR="007338B8">
        <w:t xml:space="preserve">, </w:t>
      </w:r>
      <w:r w:rsidR="002037B2">
        <w:t xml:space="preserve">goes further, stating that </w:t>
      </w:r>
      <w:r w:rsidR="00793673">
        <w:t>“T</w:t>
      </w:r>
      <w:r>
        <w:t>he embryos are our children”.</w:t>
      </w:r>
      <w:r w:rsidR="00740553">
        <w:rPr>
          <w:rStyle w:val="FootnoteReference"/>
        </w:rPr>
        <w:footnoteReference w:id="50"/>
      </w:r>
      <w:r>
        <w:t xml:space="preserve">  This can, of course, by parsed by reference to </w:t>
      </w:r>
      <w:r w:rsidR="002037B2">
        <w:t>her</w:t>
      </w:r>
      <w:r>
        <w:t xml:space="preserve"> potential for</w:t>
      </w:r>
      <w:r w:rsidR="009D032B">
        <w:t xml:space="preserve"> having</w:t>
      </w:r>
      <w:r>
        <w:t xml:space="preserve"> future children, but </w:t>
      </w:r>
      <w:r w:rsidR="008752D9">
        <w:t>that</w:t>
      </w:r>
      <w:r>
        <w:t xml:space="preserve"> is not how Ruby </w:t>
      </w:r>
      <w:r w:rsidR="00BD5BC0">
        <w:t xml:space="preserve">actually </w:t>
      </w:r>
      <w:r w:rsidR="003B677A">
        <w:t>expresses</w:t>
      </w:r>
      <w:r w:rsidR="003B677A" w:rsidRPr="003B677A">
        <w:t>;  nor is there any hint th</w:t>
      </w:r>
      <w:r w:rsidR="003B677A">
        <w:t xml:space="preserve">at she sees herself as </w:t>
      </w:r>
      <w:r w:rsidR="00B26F0D">
        <w:t xml:space="preserve">projecting meaning onto </w:t>
      </w:r>
      <w:r w:rsidR="003B677A">
        <w:t>the embryos</w:t>
      </w:r>
      <w:r w:rsidR="003B677A" w:rsidRPr="003B677A">
        <w:t xml:space="preserve">, in the absence of any meaning they have in themselves.  </w:t>
      </w:r>
    </w:p>
    <w:p w14:paraId="5BA8CBE2" w14:textId="6259EE4F" w:rsidR="000D2236" w:rsidRDefault="002037B2" w:rsidP="00B8635B">
      <w:r>
        <w:t xml:space="preserve">Rose expresses concern about the respectful disposal of her embryos in the words </w:t>
      </w:r>
      <w:r w:rsidR="00F21167">
        <w:t>“they deserve better”</w:t>
      </w:r>
      <w:r>
        <w:t>.</w:t>
      </w:r>
      <w:r w:rsidR="00740553">
        <w:rPr>
          <w:rStyle w:val="FootnoteReference"/>
        </w:rPr>
        <w:footnoteReference w:id="51"/>
      </w:r>
      <w:r>
        <w:t xml:space="preserve">  </w:t>
      </w:r>
      <w:r w:rsidR="006E0BF2">
        <w:t xml:space="preserve">Yet “they” can only “deserve” better if they are subjects of desert and beings </w:t>
      </w:r>
      <w:r w:rsidR="00793673">
        <w:t xml:space="preserve">properly </w:t>
      </w:r>
      <w:r w:rsidR="007338B8">
        <w:t>referred to in that way</w:t>
      </w:r>
      <w:r w:rsidR="006E0BF2">
        <w:t xml:space="preserve">.  It is of course possible to reject Rose’s claim in favour of the reductive view expressed succinctly by Ruby’s husband, </w:t>
      </w:r>
      <w:r w:rsidR="00460581">
        <w:t>“</w:t>
      </w:r>
      <w:r w:rsidR="006E0BF2">
        <w:t>No</w:t>
      </w:r>
      <w:r w:rsidR="00460581">
        <w:t>”</w:t>
      </w:r>
      <w:r w:rsidR="006E0BF2">
        <w:t xml:space="preserve">, </w:t>
      </w:r>
      <w:r w:rsidR="00460581">
        <w:t>they do not deserve better, “</w:t>
      </w:r>
      <w:r w:rsidR="006E0BF2">
        <w:t>they’re just embryos”.</w:t>
      </w:r>
      <w:r w:rsidR="00740553">
        <w:rPr>
          <w:rStyle w:val="FootnoteReference"/>
        </w:rPr>
        <w:footnoteReference w:id="52"/>
      </w:r>
      <w:r w:rsidR="006E0BF2">
        <w:t xml:space="preserve">  However,</w:t>
      </w:r>
      <w:r w:rsidR="007E467A">
        <w:t xml:space="preserve"> </w:t>
      </w:r>
      <w:r w:rsidR="00460581">
        <w:t>r</w:t>
      </w:r>
      <w:r w:rsidR="007E467A">
        <w:t xml:space="preserve">ather than </w:t>
      </w:r>
      <w:r w:rsidR="0063218B">
        <w:t xml:space="preserve">transparently </w:t>
      </w:r>
      <w:r w:rsidR="007E467A">
        <w:t xml:space="preserve">criticise her material </w:t>
      </w:r>
      <w:r w:rsidR="00460581">
        <w:t>Millbank</w:t>
      </w:r>
      <w:r w:rsidR="007E467A">
        <w:t xml:space="preserve"> re-interprets any implicit or explicit claims that the embryo has inherent status worthy of respect.  </w:t>
      </w:r>
      <w:r w:rsidR="0063218B">
        <w:t>These occasions of re-interpretation take</w:t>
      </w:r>
      <w:r w:rsidR="00460581">
        <w:t xml:space="preserve"> away from the strongest aspect of the paper, which is to </w:t>
      </w:r>
      <w:r w:rsidR="0063218B">
        <w:t>redirect attention to the perspective of wome</w:t>
      </w:r>
      <w:r w:rsidR="0063218B" w:rsidRPr="0063218B">
        <w:t xml:space="preserve">n undertaking </w:t>
      </w:r>
      <w:r w:rsidR="0063218B">
        <w:t xml:space="preserve">IVF </w:t>
      </w:r>
      <w:r w:rsidR="0063218B" w:rsidRPr="0063218B">
        <w:t>treatment</w:t>
      </w:r>
      <w:r w:rsidR="0063218B">
        <w:t>, as expressed in their own words.</w:t>
      </w:r>
      <w:r w:rsidR="00467C75">
        <w:t xml:space="preserve">  </w:t>
      </w:r>
    </w:p>
    <w:sectPr w:rsidR="000D2236" w:rsidSect="004A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077BD" w14:textId="77777777" w:rsidR="008A39F5" w:rsidRDefault="008A39F5" w:rsidP="00C55F1A">
      <w:pPr>
        <w:spacing w:after="0" w:line="240" w:lineRule="auto"/>
      </w:pPr>
      <w:r>
        <w:separator/>
      </w:r>
    </w:p>
  </w:endnote>
  <w:endnote w:type="continuationSeparator" w:id="0">
    <w:p w14:paraId="77402DF5" w14:textId="77777777" w:rsidR="008A39F5" w:rsidRDefault="008A39F5" w:rsidP="00C55F1A">
      <w:pPr>
        <w:spacing w:after="0" w:line="240" w:lineRule="auto"/>
      </w:pPr>
      <w:r>
        <w:continuationSeparator/>
      </w:r>
    </w:p>
  </w:endnote>
  <w:endnote w:type="continuationNotice" w:id="1">
    <w:p w14:paraId="7240FA8E" w14:textId="77777777" w:rsidR="008A39F5" w:rsidRDefault="008A3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3E0FA" w14:textId="77777777" w:rsidR="008A39F5" w:rsidRDefault="008A39F5" w:rsidP="00C55F1A">
      <w:pPr>
        <w:spacing w:after="0" w:line="240" w:lineRule="auto"/>
      </w:pPr>
      <w:r>
        <w:separator/>
      </w:r>
    </w:p>
  </w:footnote>
  <w:footnote w:type="continuationSeparator" w:id="0">
    <w:p w14:paraId="40D37998" w14:textId="77777777" w:rsidR="008A39F5" w:rsidRDefault="008A39F5" w:rsidP="00C55F1A">
      <w:pPr>
        <w:spacing w:after="0" w:line="240" w:lineRule="auto"/>
      </w:pPr>
      <w:r>
        <w:continuationSeparator/>
      </w:r>
    </w:p>
  </w:footnote>
  <w:footnote w:type="continuationNotice" w:id="1">
    <w:p w14:paraId="0CD2BFCF" w14:textId="77777777" w:rsidR="008A39F5" w:rsidRDefault="008A39F5">
      <w:pPr>
        <w:spacing w:after="0" w:line="240" w:lineRule="auto"/>
      </w:pPr>
    </w:p>
  </w:footnote>
  <w:footnote w:id="2">
    <w:p w14:paraId="200E360C" w14:textId="692B54ED" w:rsidR="000A2579" w:rsidRDefault="00C55F1A" w:rsidP="000A2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B3D52">
        <w:t>Jenni Millbank</w:t>
      </w:r>
      <w:r w:rsidR="00967223">
        <w:t>,</w:t>
      </w:r>
      <w:r w:rsidR="00BB3D52">
        <w:t xml:space="preserve"> </w:t>
      </w:r>
      <w:r w:rsidR="00BB3D52" w:rsidRPr="008A00AD">
        <w:rPr>
          <w:i/>
        </w:rPr>
        <w:t>Reflecting the ‘human nature’ of IVF embryos: disappearing women in ethics, law, and fertility practice</w:t>
      </w:r>
      <w:r w:rsidR="000A2579">
        <w:t xml:space="preserve">, </w:t>
      </w:r>
      <w:r w:rsidR="00C50027">
        <w:rPr>
          <w:smallCaps/>
        </w:rPr>
        <w:t>J</w:t>
      </w:r>
      <w:r w:rsidR="00BB3D52" w:rsidRPr="008A00AD">
        <w:rPr>
          <w:smallCaps/>
        </w:rPr>
        <w:t xml:space="preserve"> Law </w:t>
      </w:r>
      <w:proofErr w:type="spellStart"/>
      <w:r w:rsidR="00096C6B">
        <w:rPr>
          <w:smallCaps/>
        </w:rPr>
        <w:t>Biosci</w:t>
      </w:r>
      <w:proofErr w:type="spellEnd"/>
      <w:r w:rsidR="00BB3D52" w:rsidRPr="008A00AD">
        <w:t xml:space="preserve">, </w:t>
      </w:r>
      <w:r w:rsidR="00BB3D52" w:rsidRPr="00BB3D52">
        <w:t>doi:10.1093/</w:t>
      </w:r>
      <w:proofErr w:type="spellStart"/>
      <w:r w:rsidR="00BB3D52" w:rsidRPr="00BB3D52">
        <w:t>jlb</w:t>
      </w:r>
      <w:proofErr w:type="spellEnd"/>
      <w:r w:rsidR="00BB3D52" w:rsidRPr="00BB3D52">
        <w:t>/lsw058</w:t>
      </w:r>
      <w:r w:rsidR="00BB3D52">
        <w:t xml:space="preserve"> 2016, 2</w:t>
      </w:r>
      <w:r w:rsidR="000A2579">
        <w:t xml:space="preserve"> </w:t>
      </w:r>
      <w:r w:rsidR="00BF1A22" w:rsidRPr="008A00AD">
        <w:t>(2016)</w:t>
      </w:r>
      <w:r w:rsidR="00BF1A22">
        <w:t xml:space="preserve"> </w:t>
      </w:r>
      <w:r w:rsidR="000A2579">
        <w:t>(here</w:t>
      </w:r>
      <w:r w:rsidR="00A65F6A">
        <w:t>inafter</w:t>
      </w:r>
      <w:r w:rsidR="000A2579">
        <w:t xml:space="preserve"> “Millbank”)</w:t>
      </w:r>
    </w:p>
  </w:footnote>
  <w:footnote w:id="3">
    <w:p w14:paraId="607EEEB6" w14:textId="36197802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5F6A">
        <w:t>Millbank,</w:t>
      </w:r>
      <w:r w:rsidR="00BB3D52">
        <w:t xml:space="preserve"> 2</w:t>
      </w:r>
      <w:r w:rsidR="000A2579">
        <w:t>.</w:t>
      </w:r>
    </w:p>
  </w:footnote>
  <w:footnote w:id="4">
    <w:p w14:paraId="0098B62E" w14:textId="7000B9FA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B3D52">
        <w:t>Millbank</w:t>
      </w:r>
      <w:r w:rsidR="000A2579">
        <w:t>,</w:t>
      </w:r>
      <w:r w:rsidR="00BB3D52">
        <w:t xml:space="preserve"> 2</w:t>
      </w:r>
      <w:r w:rsidR="000A2579">
        <w:t>.</w:t>
      </w:r>
    </w:p>
  </w:footnote>
  <w:footnote w:id="5">
    <w:p w14:paraId="5E29E028" w14:textId="1B712D7F" w:rsidR="00AA3980" w:rsidRDefault="00AA3980" w:rsidP="00AA3980">
      <w:pPr>
        <w:pStyle w:val="FootnoteText"/>
      </w:pPr>
      <w:r>
        <w:rPr>
          <w:rStyle w:val="FootnoteReference"/>
        </w:rPr>
        <w:footnoteRef/>
      </w:r>
      <w:r>
        <w:t xml:space="preserve"> Emily Jackson</w:t>
      </w:r>
      <w:r w:rsidR="000A2579">
        <w:t>,</w:t>
      </w:r>
      <w:r>
        <w:t xml:space="preserve"> </w:t>
      </w:r>
      <w:r w:rsidRPr="0090442F">
        <w:rPr>
          <w:i/>
        </w:rPr>
        <w:t>Abolishing the HFEA: The Coalition Government’s Plans for the Regulation of Fertility Treatment and Embryo Research in the UK</w:t>
      </w:r>
      <w:r w:rsidR="000A2579">
        <w:t>, 16</w:t>
      </w:r>
      <w:r>
        <w:t xml:space="preserve"> </w:t>
      </w:r>
      <w:r w:rsidRPr="00A47C3E">
        <w:rPr>
          <w:smallCaps/>
        </w:rPr>
        <w:t>BIOS News</w:t>
      </w:r>
      <w:r>
        <w:t xml:space="preserve"> 2</w:t>
      </w:r>
      <w:r w:rsidR="000A2579">
        <w:t xml:space="preserve">, 3 </w:t>
      </w:r>
      <w:r>
        <w:t>(2010)</w:t>
      </w:r>
      <w:r w:rsidR="000A2579">
        <w:t>, at 3</w:t>
      </w:r>
      <w:r>
        <w:t>.</w:t>
      </w:r>
    </w:p>
    <w:p w14:paraId="078946C3" w14:textId="77777777" w:rsidR="00AA3980" w:rsidRDefault="00AA3980" w:rsidP="00AA3980">
      <w:pPr>
        <w:pStyle w:val="FootnoteText"/>
      </w:pPr>
      <w:r>
        <w:t>Joint Committee</w:t>
      </w:r>
    </w:p>
  </w:footnote>
  <w:footnote w:id="6">
    <w:p w14:paraId="59690839" w14:textId="2F6A6CCD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0A2579">
        <w:rPr>
          <w:smallCaps/>
        </w:rPr>
        <w:t>House of Lords</w:t>
      </w:r>
      <w:r w:rsidR="0090442F" w:rsidRPr="000A2579">
        <w:rPr>
          <w:smallCaps/>
        </w:rPr>
        <w:t>.</w:t>
      </w:r>
      <w:r w:rsidR="0090442F">
        <w:t xml:space="preserve"> </w:t>
      </w:r>
      <w:r w:rsidR="0090442F" w:rsidRPr="000A2579">
        <w:rPr>
          <w:smallCaps/>
        </w:rPr>
        <w:t>Report from the Select Committee of the House of Lords, Stem Cell Research</w:t>
      </w:r>
      <w:r w:rsidR="000A2579">
        <w:rPr>
          <w:smallCaps/>
        </w:rPr>
        <w:t xml:space="preserve"> </w:t>
      </w:r>
      <w:r w:rsidR="0090442F">
        <w:t>(</w:t>
      </w:r>
      <w:r w:rsidRPr="00C55F1A">
        <w:t>2002</w:t>
      </w:r>
      <w:r w:rsidR="0090442F">
        <w:t>), para</w:t>
      </w:r>
      <w:r w:rsidR="000A2579">
        <w:t>.</w:t>
      </w:r>
      <w:r w:rsidRPr="00C55F1A">
        <w:t xml:space="preserve"> 4.</w:t>
      </w:r>
      <w:r>
        <w:t>4</w:t>
      </w:r>
      <w:r w:rsidR="000A2579">
        <w:t>.</w:t>
      </w:r>
    </w:p>
  </w:footnote>
  <w:footnote w:id="7">
    <w:p w14:paraId="2D6D5431" w14:textId="20DCAE18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0A2579">
        <w:rPr>
          <w:smallCaps/>
        </w:rPr>
        <w:t>Joint Committee on the Human Tissue and Embryos [Draft] Bill</w:t>
      </w:r>
      <w:r>
        <w:t xml:space="preserve"> </w:t>
      </w:r>
      <w:r w:rsidR="000A2579">
        <w:t>(</w:t>
      </w:r>
      <w:r>
        <w:t>2007</w:t>
      </w:r>
      <w:r w:rsidR="000A2579">
        <w:t>), para.</w:t>
      </w:r>
      <w:r>
        <w:t xml:space="preserve"> 105</w:t>
      </w:r>
      <w:r w:rsidR="000A2579">
        <w:t>.</w:t>
      </w:r>
    </w:p>
  </w:footnote>
  <w:footnote w:id="8">
    <w:p w14:paraId="56439B57" w14:textId="7702D8A7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442F">
        <w:t>Millbank</w:t>
      </w:r>
      <w:r w:rsidR="000A2579">
        <w:t>,</w:t>
      </w:r>
      <w:r w:rsidR="0090442F">
        <w:t xml:space="preserve"> 14.</w:t>
      </w:r>
    </w:p>
  </w:footnote>
  <w:footnote w:id="9">
    <w:p w14:paraId="7AAB33A4" w14:textId="433E7282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442F">
        <w:t>Millbank, 5.</w:t>
      </w:r>
    </w:p>
  </w:footnote>
  <w:footnote w:id="10">
    <w:p w14:paraId="14E90F05" w14:textId="4DBBB82C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442F">
        <w:t>Millbank, 24.</w:t>
      </w:r>
    </w:p>
  </w:footnote>
  <w:footnote w:id="11">
    <w:p w14:paraId="4BF1F0C8" w14:textId="35954CBF" w:rsidR="00C55F1A" w:rsidRDefault="00C55F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0442F">
        <w:t>Millbank, 16.</w:t>
      </w:r>
    </w:p>
  </w:footnote>
  <w:footnote w:id="12">
    <w:p w14:paraId="31DA7D51" w14:textId="3BAE1048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0553">
        <w:t>Millbank, 9.</w:t>
      </w:r>
    </w:p>
  </w:footnote>
  <w:footnote w:id="13">
    <w:p w14:paraId="5C82E7E9" w14:textId="1FB36C48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0553">
        <w:t>Millbank, 16.</w:t>
      </w:r>
    </w:p>
  </w:footnote>
  <w:footnote w:id="14">
    <w:p w14:paraId="35FD5607" w14:textId="414DBCA1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0553">
        <w:t>Millbank, 4</w:t>
      </w:r>
      <w:r w:rsidR="00457162">
        <w:t>.</w:t>
      </w:r>
    </w:p>
  </w:footnote>
  <w:footnote w:id="15">
    <w:p w14:paraId="11E700FD" w14:textId="5E4A4859" w:rsidR="003B6362" w:rsidRDefault="003B6362" w:rsidP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0553">
        <w:t>Millbank</w:t>
      </w:r>
      <w:r w:rsidR="00457162">
        <w:t>, 24</w:t>
      </w:r>
      <w:r w:rsidR="00740553">
        <w:t xml:space="preserve"> quoting Isabel </w:t>
      </w:r>
      <w:proofErr w:type="spellStart"/>
      <w:r w:rsidR="00740553">
        <w:t>Karpin</w:t>
      </w:r>
      <w:proofErr w:type="spellEnd"/>
      <w:r w:rsidR="00740553">
        <w:t xml:space="preserve">, </w:t>
      </w:r>
      <w:r w:rsidR="00740553" w:rsidRPr="008F02BA">
        <w:rPr>
          <w:i/>
        </w:rPr>
        <w:t>The Legal and Relational Identity of the Non-Yet Generation</w:t>
      </w:r>
      <w:r w:rsidR="00740553">
        <w:t xml:space="preserve">, 4 </w:t>
      </w:r>
      <w:r w:rsidR="0023723B" w:rsidRPr="0023723B">
        <w:rPr>
          <w:smallCaps/>
        </w:rPr>
        <w:t>L. Innovation &amp;Technol.</w:t>
      </w:r>
      <w:r w:rsidR="00740553">
        <w:t xml:space="preserve"> 122, 143 (2012).</w:t>
      </w:r>
    </w:p>
  </w:footnote>
  <w:footnote w:id="16">
    <w:p w14:paraId="1AE09CFB" w14:textId="4976ECAD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Jackson (2010), </w:t>
      </w:r>
      <w:r w:rsidRPr="00BF1A22">
        <w:rPr>
          <w:i/>
        </w:rPr>
        <w:t>supra</w:t>
      </w:r>
      <w:r>
        <w:t xml:space="preserve"> note 4, 3</w:t>
      </w:r>
      <w:r w:rsidR="00BF1A22">
        <w:t>.</w:t>
      </w:r>
    </w:p>
  </w:footnote>
  <w:footnote w:id="17">
    <w:p w14:paraId="499F455B" w14:textId="2F2B664F" w:rsidR="003B6362" w:rsidRDefault="003B6362" w:rsidP="004571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F02BA">
        <w:t>Svea</w:t>
      </w:r>
      <w:proofErr w:type="spellEnd"/>
      <w:r w:rsidR="008F02BA">
        <w:t xml:space="preserve"> </w:t>
      </w:r>
      <w:proofErr w:type="spellStart"/>
      <w:r w:rsidR="008F02BA">
        <w:t>Luise</w:t>
      </w:r>
      <w:proofErr w:type="spellEnd"/>
      <w:r w:rsidR="008F02BA">
        <w:t xml:space="preserve"> Herrmann, </w:t>
      </w:r>
      <w:r w:rsidR="00457162" w:rsidRPr="008F02BA">
        <w:rPr>
          <w:i/>
        </w:rPr>
        <w:t>Deregulation via Regulation: On the Moralisation and Naturalisation of Embryonic Stem Cell Research in the British Parliamentary Debates of 2000/2001</w:t>
      </w:r>
      <w:r w:rsidR="008F02BA">
        <w:t>.</w:t>
      </w:r>
      <w:r w:rsidR="00457162">
        <w:t xml:space="preserve"> </w:t>
      </w:r>
      <w:r w:rsidR="00BF1A22">
        <w:t xml:space="preserve">H.2 </w:t>
      </w:r>
      <w:proofErr w:type="spellStart"/>
      <w:r w:rsidR="00457162" w:rsidRPr="008A00AD">
        <w:rPr>
          <w:smallCaps/>
        </w:rPr>
        <w:t>Österreichische</w:t>
      </w:r>
      <w:proofErr w:type="spellEnd"/>
      <w:r w:rsidR="00457162" w:rsidRPr="008A00AD">
        <w:rPr>
          <w:smallCaps/>
        </w:rPr>
        <w:t xml:space="preserve"> </w:t>
      </w:r>
      <w:proofErr w:type="spellStart"/>
      <w:r w:rsidR="00457162" w:rsidRPr="008A00AD">
        <w:rPr>
          <w:smallCaps/>
        </w:rPr>
        <w:t>Zeitschrift</w:t>
      </w:r>
      <w:proofErr w:type="spellEnd"/>
      <w:r w:rsidR="00457162" w:rsidRPr="008A00AD">
        <w:rPr>
          <w:smallCaps/>
        </w:rPr>
        <w:t xml:space="preserve"> </w:t>
      </w:r>
      <w:proofErr w:type="spellStart"/>
      <w:r w:rsidR="00457162" w:rsidRPr="008A00AD">
        <w:rPr>
          <w:smallCaps/>
        </w:rPr>
        <w:t>für</w:t>
      </w:r>
      <w:proofErr w:type="spellEnd"/>
      <w:r w:rsidR="00457162" w:rsidRPr="008A00AD">
        <w:rPr>
          <w:smallCaps/>
        </w:rPr>
        <w:t xml:space="preserve"> </w:t>
      </w:r>
      <w:proofErr w:type="spellStart"/>
      <w:r w:rsidR="00457162" w:rsidRPr="008A00AD">
        <w:rPr>
          <w:smallCaps/>
        </w:rPr>
        <w:t>Politikwissenschaft</w:t>
      </w:r>
      <w:proofErr w:type="spellEnd"/>
      <w:r w:rsidR="00BF1A22">
        <w:rPr>
          <w:smallCaps/>
        </w:rPr>
        <w:t>,</w:t>
      </w:r>
      <w:r w:rsidR="00457162" w:rsidRPr="008A00AD">
        <w:rPr>
          <w:smallCaps/>
        </w:rPr>
        <w:t xml:space="preserve"> </w:t>
      </w:r>
      <w:r w:rsidR="00457162">
        <w:t>149</w:t>
      </w:r>
      <w:r w:rsidR="00457162" w:rsidRPr="00457162">
        <w:t xml:space="preserve"> </w:t>
      </w:r>
      <w:r w:rsidR="00457162">
        <w:t>(2003).</w:t>
      </w:r>
    </w:p>
  </w:footnote>
  <w:footnote w:id="18">
    <w:p w14:paraId="3F5D1770" w14:textId="67EB49D9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F02BA">
        <w:t xml:space="preserve">David Albert Jones, </w:t>
      </w:r>
      <w:r w:rsidR="00457162" w:rsidRPr="008F02BA">
        <w:rPr>
          <w:i/>
        </w:rPr>
        <w:t>The ‘Special Status’ of the Human Embryo in the United Kingdom: An Exploration of the Use of Language in Public Policy</w:t>
      </w:r>
      <w:r w:rsidR="008F02BA">
        <w:t>.</w:t>
      </w:r>
      <w:r w:rsidR="00457162" w:rsidRPr="00457162">
        <w:t xml:space="preserve"> </w:t>
      </w:r>
      <w:r w:rsidR="00BF1A22">
        <w:t xml:space="preserve">17 </w:t>
      </w:r>
      <w:r w:rsidR="00457162" w:rsidRPr="0023723B">
        <w:rPr>
          <w:smallCaps/>
        </w:rPr>
        <w:t>Human Reproduction and Genetic Ethics</w:t>
      </w:r>
      <w:r w:rsidR="00457162" w:rsidRPr="00457162">
        <w:t xml:space="preserve"> </w:t>
      </w:r>
      <w:r w:rsidR="00BF1A22">
        <w:t xml:space="preserve">66, 80 </w:t>
      </w:r>
      <w:r w:rsidR="00457162" w:rsidRPr="00457162">
        <w:t>(2011).</w:t>
      </w:r>
    </w:p>
  </w:footnote>
  <w:footnote w:id="19">
    <w:p w14:paraId="7BC40F94" w14:textId="487CF4C1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7162">
        <w:t>Millbank, 2.</w:t>
      </w:r>
    </w:p>
  </w:footnote>
  <w:footnote w:id="20">
    <w:p w14:paraId="49A7BE80" w14:textId="7CC671AB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7162">
        <w:t>Millbank, 2.</w:t>
      </w:r>
    </w:p>
  </w:footnote>
  <w:footnote w:id="21">
    <w:p w14:paraId="24AA93FF" w14:textId="640399FD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7162">
        <w:t>Millbank, 3.</w:t>
      </w:r>
    </w:p>
  </w:footnote>
  <w:footnote w:id="22">
    <w:p w14:paraId="1BAF0AD1" w14:textId="79377C43" w:rsidR="00837F04" w:rsidRDefault="00837F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7162">
        <w:t>Millbank, 3.</w:t>
      </w:r>
    </w:p>
  </w:footnote>
  <w:footnote w:id="23">
    <w:p w14:paraId="7FD759F9" w14:textId="60A7121F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7162">
        <w:t>Millbank, 23.</w:t>
      </w:r>
    </w:p>
  </w:footnote>
  <w:footnote w:id="24">
    <w:p w14:paraId="4C60361D" w14:textId="046F0BCD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7162">
        <w:t>Millbank, 5.</w:t>
      </w:r>
    </w:p>
  </w:footnote>
  <w:footnote w:id="25">
    <w:p w14:paraId="4C9DA680" w14:textId="33247776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7162">
        <w:t>Millbank, 5.</w:t>
      </w:r>
    </w:p>
  </w:footnote>
  <w:footnote w:id="26">
    <w:p w14:paraId="1B6A82FB" w14:textId="1907C85B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26">
        <w:t>Millbank, 3.</w:t>
      </w:r>
    </w:p>
  </w:footnote>
  <w:footnote w:id="27">
    <w:p w14:paraId="1B296418" w14:textId="5A9E0068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26">
        <w:t>Millbank, 3.</w:t>
      </w:r>
    </w:p>
  </w:footnote>
  <w:footnote w:id="28">
    <w:p w14:paraId="5C952D90" w14:textId="7A827C34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26">
        <w:t>Millbank, 12.</w:t>
      </w:r>
    </w:p>
  </w:footnote>
  <w:footnote w:id="29">
    <w:p w14:paraId="75CB264D" w14:textId="7AE3E2B4" w:rsidR="00794C26" w:rsidRDefault="00794C26">
      <w:pPr>
        <w:pStyle w:val="FootnoteText"/>
      </w:pPr>
      <w:r>
        <w:rPr>
          <w:rStyle w:val="FootnoteReference"/>
        </w:rPr>
        <w:footnoteRef/>
      </w:r>
      <w:r>
        <w:t xml:space="preserve"> Millbank, 12.</w:t>
      </w:r>
    </w:p>
  </w:footnote>
  <w:footnote w:id="30">
    <w:p w14:paraId="65093622" w14:textId="137D117F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26">
        <w:t>Millbank, 9.</w:t>
      </w:r>
    </w:p>
  </w:footnote>
  <w:footnote w:id="31">
    <w:p w14:paraId="07FCFE30" w14:textId="40150396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26">
        <w:t>Millbank, 7.</w:t>
      </w:r>
    </w:p>
  </w:footnote>
  <w:footnote w:id="32">
    <w:p w14:paraId="76456F57" w14:textId="250837AA" w:rsidR="003B6362" w:rsidRDefault="003B6362" w:rsidP="00794C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F56AF" w:rsidRPr="00BF1A22">
        <w:rPr>
          <w:smallCaps/>
        </w:rPr>
        <w:t>Alasdair</w:t>
      </w:r>
      <w:r w:rsidR="00794C26" w:rsidRPr="00BF1A22">
        <w:rPr>
          <w:smallCaps/>
        </w:rPr>
        <w:t xml:space="preserve"> </w:t>
      </w:r>
      <w:proofErr w:type="spellStart"/>
      <w:r w:rsidR="00794C26" w:rsidRPr="00BF1A22">
        <w:rPr>
          <w:smallCaps/>
        </w:rPr>
        <w:t>MacIntyre</w:t>
      </w:r>
      <w:proofErr w:type="spellEnd"/>
      <w:r w:rsidR="00794C26" w:rsidRPr="00BF1A22">
        <w:rPr>
          <w:smallCaps/>
        </w:rPr>
        <w:t>, Dependent Rational Animals: Why Human Beings Need the Virtues</w:t>
      </w:r>
      <w:r w:rsidR="00BF1A22">
        <w:t xml:space="preserve"> (1999).</w:t>
      </w:r>
    </w:p>
  </w:footnote>
  <w:footnote w:id="33">
    <w:p w14:paraId="3D3293C7" w14:textId="5F49276D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F56AF" w:rsidRPr="00BF1A22">
        <w:rPr>
          <w:smallCaps/>
        </w:rPr>
        <w:t>Helen Watt, The Ethics of Pregnancy, Abortion and Childbirth:  Exploring Moral Choices in Childbearing</w:t>
      </w:r>
      <w:r w:rsidR="00BF1A22">
        <w:t>, 19</w:t>
      </w:r>
      <w:r w:rsidR="009F56AF" w:rsidRPr="009F56AF">
        <w:t xml:space="preserve"> </w:t>
      </w:r>
      <w:r w:rsidR="00BF1A22">
        <w:t>(2016)</w:t>
      </w:r>
      <w:r w:rsidR="009F56AF">
        <w:t>.</w:t>
      </w:r>
    </w:p>
  </w:footnote>
  <w:footnote w:id="34">
    <w:p w14:paraId="5E797AFB" w14:textId="77777777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F56AF">
        <w:t>Watt (2016)</w:t>
      </w:r>
      <w:r w:rsidR="00755554">
        <w:t>,</w:t>
      </w:r>
      <w:r w:rsidR="009F56AF">
        <w:t xml:space="preserve"> </w:t>
      </w:r>
      <w:r w:rsidR="009F56AF" w:rsidRPr="00BF1A22">
        <w:rPr>
          <w:i/>
        </w:rPr>
        <w:t>supra</w:t>
      </w:r>
      <w:r w:rsidR="009F56AF">
        <w:t xml:space="preserve"> note 32, </w:t>
      </w:r>
      <w:r>
        <w:t>57</w:t>
      </w:r>
    </w:p>
  </w:footnote>
  <w:footnote w:id="35">
    <w:p w14:paraId="5DFE0BA6" w14:textId="4F8F1D4B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F1A22">
        <w:t>Millbank</w:t>
      </w:r>
      <w:r w:rsidR="009F56AF">
        <w:t>, 24.</w:t>
      </w:r>
    </w:p>
  </w:footnote>
  <w:footnote w:id="36">
    <w:p w14:paraId="76004A0F" w14:textId="3C618B6A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F56AF">
        <w:t>Watt (2016)</w:t>
      </w:r>
      <w:r w:rsidR="008F02BA">
        <w:t>,</w:t>
      </w:r>
      <w:r w:rsidR="009F56AF">
        <w:t xml:space="preserve"> </w:t>
      </w:r>
      <w:r w:rsidR="00BF1A22" w:rsidRPr="00BF1A22">
        <w:rPr>
          <w:i/>
        </w:rPr>
        <w:t>supra</w:t>
      </w:r>
      <w:r w:rsidR="00BF1A22">
        <w:t xml:space="preserve"> note 32, </w:t>
      </w:r>
      <w:r w:rsidR="009F56AF">
        <w:t>112-114, 129-130.</w:t>
      </w:r>
    </w:p>
  </w:footnote>
  <w:footnote w:id="37">
    <w:p w14:paraId="42483F0F" w14:textId="3E5051DE" w:rsidR="00B70035" w:rsidRDefault="00B70035">
      <w:pPr>
        <w:pStyle w:val="FootnoteText"/>
      </w:pPr>
      <w:r>
        <w:rPr>
          <w:rStyle w:val="FootnoteReference"/>
        </w:rPr>
        <w:footnoteRef/>
      </w:r>
      <w:r>
        <w:t xml:space="preserve"> Watt (2016)</w:t>
      </w:r>
      <w:r w:rsidR="008F02BA">
        <w:t>,</w:t>
      </w:r>
      <w:r w:rsidR="00BF1A22" w:rsidRPr="00BF1A22">
        <w:rPr>
          <w:i/>
        </w:rPr>
        <w:t xml:space="preserve"> supra</w:t>
      </w:r>
      <w:r w:rsidR="00BF1A22">
        <w:t xml:space="preserve"> note 32, </w:t>
      </w:r>
      <w:r>
        <w:t>57.</w:t>
      </w:r>
    </w:p>
  </w:footnote>
  <w:footnote w:id="38">
    <w:p w14:paraId="0E24E477" w14:textId="7BA7264D" w:rsidR="003B6362" w:rsidRDefault="003B63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F1A22">
        <w:t>Millbank</w:t>
      </w:r>
      <w:r w:rsidR="00B70035">
        <w:t>, 9, emphasis added.</w:t>
      </w:r>
    </w:p>
  </w:footnote>
  <w:footnote w:id="39">
    <w:p w14:paraId="71E2701A" w14:textId="1718331A" w:rsidR="003B6362" w:rsidRDefault="003B6362" w:rsidP="00B700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0035">
        <w:t>Donna Dickenson</w:t>
      </w:r>
      <w:r w:rsidR="00BF1A22">
        <w:t>,</w:t>
      </w:r>
      <w:r w:rsidR="00B70035">
        <w:t xml:space="preserve"> </w:t>
      </w:r>
      <w:r w:rsidR="00B70035" w:rsidRPr="008F02BA">
        <w:rPr>
          <w:i/>
        </w:rPr>
        <w:t>The lady vanishes: What’s missing in the stem cell debate</w:t>
      </w:r>
      <w:r w:rsidR="00B70035">
        <w:t xml:space="preserve">. </w:t>
      </w:r>
      <w:r w:rsidR="00BF1A22">
        <w:t xml:space="preserve">3 </w:t>
      </w:r>
      <w:r w:rsidR="00B70035" w:rsidRPr="0023723B">
        <w:rPr>
          <w:smallCaps/>
        </w:rPr>
        <w:t xml:space="preserve">J </w:t>
      </w:r>
      <w:proofErr w:type="spellStart"/>
      <w:r w:rsidR="00B70035" w:rsidRPr="0023723B">
        <w:rPr>
          <w:smallCaps/>
        </w:rPr>
        <w:t>Bioeth</w:t>
      </w:r>
      <w:proofErr w:type="spellEnd"/>
      <w:r w:rsidR="00B70035" w:rsidRPr="0023723B">
        <w:rPr>
          <w:smallCaps/>
        </w:rPr>
        <w:t xml:space="preserve"> </w:t>
      </w:r>
      <w:proofErr w:type="spellStart"/>
      <w:r w:rsidR="00B70035" w:rsidRPr="0023723B">
        <w:rPr>
          <w:smallCaps/>
        </w:rPr>
        <w:t>Inq</w:t>
      </w:r>
      <w:proofErr w:type="spellEnd"/>
      <w:r w:rsidR="00B70035">
        <w:t xml:space="preserve"> </w:t>
      </w:r>
      <w:r w:rsidR="00BF1A22">
        <w:t>43 (</w:t>
      </w:r>
      <w:r w:rsidR="00B70035">
        <w:t>2006</w:t>
      </w:r>
      <w:r w:rsidR="00BF1A22">
        <w:t>)</w:t>
      </w:r>
      <w:r w:rsidR="00B70035">
        <w:t>.</w:t>
      </w:r>
    </w:p>
  </w:footnote>
  <w:footnote w:id="40">
    <w:p w14:paraId="1950B806" w14:textId="318AED74" w:rsidR="003B6362" w:rsidRDefault="003B6362" w:rsidP="00B700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0035">
        <w:t>David Albert Jones</w:t>
      </w:r>
      <w:r w:rsidR="00BF1A22">
        <w:t>,</w:t>
      </w:r>
      <w:r w:rsidR="00B70035">
        <w:t xml:space="preserve"> </w:t>
      </w:r>
      <w:r w:rsidR="00B70035" w:rsidRPr="008F02BA">
        <w:rPr>
          <w:i/>
        </w:rPr>
        <w:t>The other woman: Evaluating the language of ‘three parent’ embryos</w:t>
      </w:r>
      <w:r w:rsidR="00BF1A22">
        <w:rPr>
          <w:i/>
        </w:rPr>
        <w:t>.</w:t>
      </w:r>
      <w:r w:rsidR="00B70035">
        <w:t xml:space="preserve"> </w:t>
      </w:r>
      <w:r w:rsidR="00BF1A22">
        <w:t xml:space="preserve">10. </w:t>
      </w:r>
      <w:r w:rsidR="00B70035" w:rsidRPr="0023723B">
        <w:rPr>
          <w:smallCaps/>
        </w:rPr>
        <w:t>Clinical Ethics</w:t>
      </w:r>
      <w:r w:rsidR="00B70035">
        <w:t xml:space="preserve"> </w:t>
      </w:r>
      <w:r w:rsidR="00BF1A22">
        <w:t>97 (</w:t>
      </w:r>
      <w:r w:rsidR="00B70035">
        <w:t>2015</w:t>
      </w:r>
      <w:r w:rsidR="00BF1A22">
        <w:t xml:space="preserve">). </w:t>
      </w:r>
    </w:p>
  </w:footnote>
  <w:footnote w:id="41">
    <w:p w14:paraId="1C9833C6" w14:textId="25010C54" w:rsidR="00714508" w:rsidRDefault="007145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4508">
        <w:t xml:space="preserve">On “mitochondrial replacement” see also Françoise Baylis, </w:t>
      </w:r>
      <w:r w:rsidRPr="00714508">
        <w:rPr>
          <w:i/>
        </w:rPr>
        <w:t>Human Nuclear Genome Transfer (So‐Called Mitochondrial Replacement): Clearing the Underbrush</w:t>
      </w:r>
      <w:r w:rsidRPr="00714508">
        <w:t>. 31 BIOETHICS 7 (2017).</w:t>
      </w:r>
    </w:p>
  </w:footnote>
  <w:footnote w:id="42">
    <w:p w14:paraId="1A483F83" w14:textId="3B332866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</w:t>
      </w:r>
      <w:r w:rsidR="00755554">
        <w:t xml:space="preserve"> 18.</w:t>
      </w:r>
    </w:p>
  </w:footnote>
  <w:footnote w:id="43">
    <w:p w14:paraId="3C555999" w14:textId="1F8987A6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</w:t>
      </w:r>
      <w:r w:rsidR="00755554">
        <w:t xml:space="preserve"> 18.</w:t>
      </w:r>
    </w:p>
  </w:footnote>
  <w:footnote w:id="44">
    <w:p w14:paraId="0FF6860E" w14:textId="36677BA6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</w:t>
      </w:r>
      <w:r w:rsidR="0023723B">
        <w:t xml:space="preserve"> 3 quoting</w:t>
      </w:r>
      <w:r w:rsidR="00755554">
        <w:t xml:space="preserve"> </w:t>
      </w:r>
      <w:r w:rsidR="00755554" w:rsidRPr="00794CF9">
        <w:rPr>
          <w:smallCaps/>
        </w:rPr>
        <w:t>HL Deb</w:t>
      </w:r>
      <w:r w:rsidR="00755554">
        <w:t>, Dec. 5, 2002, Col. 1327.</w:t>
      </w:r>
    </w:p>
  </w:footnote>
  <w:footnote w:id="45">
    <w:p w14:paraId="322B4EE7" w14:textId="4FD939C4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 17</w:t>
      </w:r>
      <w:r w:rsidR="00755554">
        <w:t>.</w:t>
      </w:r>
    </w:p>
  </w:footnote>
  <w:footnote w:id="46">
    <w:p w14:paraId="13B9F365" w14:textId="1B35CD9D" w:rsidR="00740553" w:rsidRDefault="00740553">
      <w:pPr>
        <w:pStyle w:val="FootnoteText"/>
      </w:pPr>
      <w:r>
        <w:rPr>
          <w:rStyle w:val="FootnoteReference"/>
        </w:rPr>
        <w:footnoteRef/>
      </w:r>
      <w:r w:rsidR="00794CF9">
        <w:t xml:space="preserve"> Millbank</w:t>
      </w:r>
      <w:r w:rsidR="008F02BA">
        <w:t>,</w:t>
      </w:r>
      <w:r w:rsidR="00755554">
        <w:t xml:space="preserve"> 22.</w:t>
      </w:r>
    </w:p>
  </w:footnote>
  <w:footnote w:id="47">
    <w:p w14:paraId="2B06ED84" w14:textId="01156227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 22.</w:t>
      </w:r>
    </w:p>
  </w:footnote>
  <w:footnote w:id="48">
    <w:p w14:paraId="0301F5B4" w14:textId="4542DFBD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 17.</w:t>
      </w:r>
    </w:p>
  </w:footnote>
  <w:footnote w:id="49">
    <w:p w14:paraId="744DBD8C" w14:textId="3C28CF38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 22.</w:t>
      </w:r>
    </w:p>
  </w:footnote>
  <w:footnote w:id="50">
    <w:p w14:paraId="36D1F2E0" w14:textId="62AE1888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 2.</w:t>
      </w:r>
    </w:p>
  </w:footnote>
  <w:footnote w:id="51">
    <w:p w14:paraId="76551C29" w14:textId="400BEA96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 17.</w:t>
      </w:r>
    </w:p>
  </w:footnote>
  <w:footnote w:id="52">
    <w:p w14:paraId="6869FBA0" w14:textId="754001AF" w:rsidR="00740553" w:rsidRDefault="00740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4CF9">
        <w:t>Millbank</w:t>
      </w:r>
      <w:r w:rsidR="008F02BA">
        <w:t>,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5B"/>
    <w:rsid w:val="00017A15"/>
    <w:rsid w:val="00020022"/>
    <w:rsid w:val="00035621"/>
    <w:rsid w:val="00037656"/>
    <w:rsid w:val="00043D24"/>
    <w:rsid w:val="0004622A"/>
    <w:rsid w:val="00054C0D"/>
    <w:rsid w:val="0007501B"/>
    <w:rsid w:val="0007677B"/>
    <w:rsid w:val="00084FE9"/>
    <w:rsid w:val="00096C6B"/>
    <w:rsid w:val="000A11DA"/>
    <w:rsid w:val="000A2579"/>
    <w:rsid w:val="000D2236"/>
    <w:rsid w:val="000D4041"/>
    <w:rsid w:val="001073C2"/>
    <w:rsid w:val="001315E9"/>
    <w:rsid w:val="00171A7D"/>
    <w:rsid w:val="00180EEF"/>
    <w:rsid w:val="00191130"/>
    <w:rsid w:val="0019114C"/>
    <w:rsid w:val="001A3FF9"/>
    <w:rsid w:val="001C2030"/>
    <w:rsid w:val="001C6D7A"/>
    <w:rsid w:val="001D1563"/>
    <w:rsid w:val="002037B2"/>
    <w:rsid w:val="002226AA"/>
    <w:rsid w:val="00234685"/>
    <w:rsid w:val="0023723B"/>
    <w:rsid w:val="002613C5"/>
    <w:rsid w:val="00263037"/>
    <w:rsid w:val="00267CF6"/>
    <w:rsid w:val="00275A84"/>
    <w:rsid w:val="002812D4"/>
    <w:rsid w:val="002846DD"/>
    <w:rsid w:val="00291D46"/>
    <w:rsid w:val="002A3F23"/>
    <w:rsid w:val="002B2567"/>
    <w:rsid w:val="002D4C90"/>
    <w:rsid w:val="002E38BF"/>
    <w:rsid w:val="002F6480"/>
    <w:rsid w:val="00344FB9"/>
    <w:rsid w:val="00353DD9"/>
    <w:rsid w:val="00360DF0"/>
    <w:rsid w:val="003A3E0F"/>
    <w:rsid w:val="003A77D7"/>
    <w:rsid w:val="003B1143"/>
    <w:rsid w:val="003B5EF5"/>
    <w:rsid w:val="003B6362"/>
    <w:rsid w:val="003B677A"/>
    <w:rsid w:val="003C2A59"/>
    <w:rsid w:val="003D2E78"/>
    <w:rsid w:val="003E407D"/>
    <w:rsid w:val="00415C2D"/>
    <w:rsid w:val="00436884"/>
    <w:rsid w:val="0044408F"/>
    <w:rsid w:val="00457162"/>
    <w:rsid w:val="00457692"/>
    <w:rsid w:val="00460581"/>
    <w:rsid w:val="00467C75"/>
    <w:rsid w:val="004A03AA"/>
    <w:rsid w:val="004A04D7"/>
    <w:rsid w:val="004A3242"/>
    <w:rsid w:val="004B55D4"/>
    <w:rsid w:val="004E2078"/>
    <w:rsid w:val="004F51FC"/>
    <w:rsid w:val="004F6B4D"/>
    <w:rsid w:val="00500195"/>
    <w:rsid w:val="005108ED"/>
    <w:rsid w:val="0051643E"/>
    <w:rsid w:val="00530D75"/>
    <w:rsid w:val="005677F4"/>
    <w:rsid w:val="0058291F"/>
    <w:rsid w:val="005A185F"/>
    <w:rsid w:val="005A7C30"/>
    <w:rsid w:val="005B0D72"/>
    <w:rsid w:val="005C33E5"/>
    <w:rsid w:val="005C54D4"/>
    <w:rsid w:val="005D16E9"/>
    <w:rsid w:val="005E1F59"/>
    <w:rsid w:val="00611160"/>
    <w:rsid w:val="0061285B"/>
    <w:rsid w:val="00615DA3"/>
    <w:rsid w:val="0062005C"/>
    <w:rsid w:val="0063218B"/>
    <w:rsid w:val="0064083E"/>
    <w:rsid w:val="00692E29"/>
    <w:rsid w:val="006949BA"/>
    <w:rsid w:val="006C1756"/>
    <w:rsid w:val="006C40F4"/>
    <w:rsid w:val="006D13EB"/>
    <w:rsid w:val="006E0BF2"/>
    <w:rsid w:val="006F3398"/>
    <w:rsid w:val="00714508"/>
    <w:rsid w:val="0073131D"/>
    <w:rsid w:val="007338B8"/>
    <w:rsid w:val="00740553"/>
    <w:rsid w:val="00755554"/>
    <w:rsid w:val="00786A67"/>
    <w:rsid w:val="00793673"/>
    <w:rsid w:val="00794C26"/>
    <w:rsid w:val="00794CF9"/>
    <w:rsid w:val="007D379D"/>
    <w:rsid w:val="007E2E62"/>
    <w:rsid w:val="007E467A"/>
    <w:rsid w:val="008022DB"/>
    <w:rsid w:val="008172DB"/>
    <w:rsid w:val="00831301"/>
    <w:rsid w:val="00836A5B"/>
    <w:rsid w:val="00837F04"/>
    <w:rsid w:val="00840012"/>
    <w:rsid w:val="0085630F"/>
    <w:rsid w:val="00860549"/>
    <w:rsid w:val="008752D9"/>
    <w:rsid w:val="00891F06"/>
    <w:rsid w:val="008A00AD"/>
    <w:rsid w:val="008A39F5"/>
    <w:rsid w:val="008A7AF2"/>
    <w:rsid w:val="008A7D70"/>
    <w:rsid w:val="008E547B"/>
    <w:rsid w:val="008F02BA"/>
    <w:rsid w:val="009008B7"/>
    <w:rsid w:val="0090442F"/>
    <w:rsid w:val="009048D2"/>
    <w:rsid w:val="00947938"/>
    <w:rsid w:val="0095503E"/>
    <w:rsid w:val="009671B1"/>
    <w:rsid w:val="00967223"/>
    <w:rsid w:val="00967D1F"/>
    <w:rsid w:val="00970FF5"/>
    <w:rsid w:val="009754DC"/>
    <w:rsid w:val="009A06C0"/>
    <w:rsid w:val="009A39F1"/>
    <w:rsid w:val="009A6D81"/>
    <w:rsid w:val="009A748B"/>
    <w:rsid w:val="009B01B7"/>
    <w:rsid w:val="009D032B"/>
    <w:rsid w:val="009E1A44"/>
    <w:rsid w:val="009F56AF"/>
    <w:rsid w:val="009F6763"/>
    <w:rsid w:val="00A053A7"/>
    <w:rsid w:val="00A31119"/>
    <w:rsid w:val="00A3590C"/>
    <w:rsid w:val="00A424AD"/>
    <w:rsid w:val="00A47C3E"/>
    <w:rsid w:val="00A53082"/>
    <w:rsid w:val="00A53816"/>
    <w:rsid w:val="00A65F6A"/>
    <w:rsid w:val="00A862BB"/>
    <w:rsid w:val="00A90CB7"/>
    <w:rsid w:val="00A928FA"/>
    <w:rsid w:val="00AA0017"/>
    <w:rsid w:val="00AA3980"/>
    <w:rsid w:val="00AA6157"/>
    <w:rsid w:val="00AB443A"/>
    <w:rsid w:val="00AC611A"/>
    <w:rsid w:val="00AD626B"/>
    <w:rsid w:val="00B03CAE"/>
    <w:rsid w:val="00B10D1F"/>
    <w:rsid w:val="00B16409"/>
    <w:rsid w:val="00B20E00"/>
    <w:rsid w:val="00B26F0D"/>
    <w:rsid w:val="00B37121"/>
    <w:rsid w:val="00B45B2F"/>
    <w:rsid w:val="00B70035"/>
    <w:rsid w:val="00B72FC8"/>
    <w:rsid w:val="00B8635B"/>
    <w:rsid w:val="00B8747C"/>
    <w:rsid w:val="00BA68DB"/>
    <w:rsid w:val="00BB3D52"/>
    <w:rsid w:val="00BC2F8D"/>
    <w:rsid w:val="00BD5BC0"/>
    <w:rsid w:val="00BE3633"/>
    <w:rsid w:val="00BE3956"/>
    <w:rsid w:val="00BE5EB2"/>
    <w:rsid w:val="00BF1A22"/>
    <w:rsid w:val="00BF5E79"/>
    <w:rsid w:val="00C203D6"/>
    <w:rsid w:val="00C25422"/>
    <w:rsid w:val="00C37561"/>
    <w:rsid w:val="00C50027"/>
    <w:rsid w:val="00C55F1A"/>
    <w:rsid w:val="00C56B38"/>
    <w:rsid w:val="00C8323C"/>
    <w:rsid w:val="00CB0309"/>
    <w:rsid w:val="00CB38BE"/>
    <w:rsid w:val="00CC2D05"/>
    <w:rsid w:val="00CC5EE4"/>
    <w:rsid w:val="00D80C30"/>
    <w:rsid w:val="00D87644"/>
    <w:rsid w:val="00D93FD9"/>
    <w:rsid w:val="00DB349D"/>
    <w:rsid w:val="00DD18C5"/>
    <w:rsid w:val="00DF6DDC"/>
    <w:rsid w:val="00E26D72"/>
    <w:rsid w:val="00E636A0"/>
    <w:rsid w:val="00E7107B"/>
    <w:rsid w:val="00EA6112"/>
    <w:rsid w:val="00EB6466"/>
    <w:rsid w:val="00EC6DF5"/>
    <w:rsid w:val="00ED28EC"/>
    <w:rsid w:val="00EE6E61"/>
    <w:rsid w:val="00F01DD6"/>
    <w:rsid w:val="00F11076"/>
    <w:rsid w:val="00F21167"/>
    <w:rsid w:val="00F73948"/>
    <w:rsid w:val="00F83C5F"/>
    <w:rsid w:val="00F85B80"/>
    <w:rsid w:val="00F96CEE"/>
    <w:rsid w:val="00FB3C92"/>
    <w:rsid w:val="00FD6009"/>
    <w:rsid w:val="00FE243B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4697"/>
  <w15:docId w15:val="{9195B04A-0E57-4E58-BBCB-9BA7F3B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55F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5F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F1A"/>
    <w:rPr>
      <w:vertAlign w:val="superscript"/>
    </w:rPr>
  </w:style>
  <w:style w:type="paragraph" w:styleId="Revision">
    <w:name w:val="Revision"/>
    <w:hidden/>
    <w:uiPriority w:val="99"/>
    <w:semiHidden/>
    <w:rsid w:val="00F01D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956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F3398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6F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98"/>
  </w:style>
  <w:style w:type="paragraph" w:styleId="Footer">
    <w:name w:val="footer"/>
    <w:basedOn w:val="Normal"/>
    <w:link w:val="FooterChar"/>
    <w:uiPriority w:val="99"/>
    <w:unhideWhenUsed/>
    <w:rsid w:val="006F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4BFC-E1D7-4DEC-B47C-BBF14AA0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David Jones</cp:lastModifiedBy>
  <cp:revision>2</cp:revision>
  <dcterms:created xsi:type="dcterms:W3CDTF">2017-03-17T08:26:00Z</dcterms:created>
  <dcterms:modified xsi:type="dcterms:W3CDTF">2017-03-17T08:26:00Z</dcterms:modified>
</cp:coreProperties>
</file>