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9DBF5" w14:textId="77777777" w:rsidR="004A34CA" w:rsidRPr="001F05D9" w:rsidRDefault="00B5777A">
      <w:pPr>
        <w:widowControl w:val="0"/>
        <w:spacing w:after="240" w:line="480" w:lineRule="auto"/>
        <w:rPr>
          <w:color w:val="auto"/>
        </w:rPr>
      </w:pPr>
      <w:bookmarkStart w:id="0" w:name="_GoBack"/>
      <w:bookmarkEnd w:id="0"/>
      <w:r w:rsidRPr="001F05D9">
        <w:rPr>
          <w:rFonts w:ascii="Arial" w:hAnsi="Arial" w:cs="Arial"/>
          <w:b/>
          <w:bCs/>
          <w:color w:val="auto"/>
          <w:lang w:val="en-US"/>
        </w:rPr>
        <w:t xml:space="preserve">Section: </w:t>
      </w:r>
      <w:r w:rsidRPr="001F05D9">
        <w:rPr>
          <w:rFonts w:ascii="Arial" w:hAnsi="Arial" w:cs="Arial"/>
          <w:color w:val="auto"/>
          <w:lang w:val="en-US"/>
        </w:rPr>
        <w:t>Original Research</w:t>
      </w:r>
    </w:p>
    <w:p w14:paraId="63683904" w14:textId="77777777" w:rsidR="004A34CA" w:rsidRPr="001F05D9" w:rsidRDefault="00B5777A">
      <w:pPr>
        <w:pStyle w:val="NormalWeb"/>
        <w:spacing w:line="480" w:lineRule="auto"/>
        <w:rPr>
          <w:rFonts w:ascii="Arial" w:hAnsi="Arial" w:cs="Arial"/>
          <w:color w:val="auto"/>
          <w:sz w:val="24"/>
          <w:szCs w:val="24"/>
        </w:rPr>
      </w:pPr>
      <w:r w:rsidRPr="001F05D9">
        <w:rPr>
          <w:rFonts w:ascii="Arial" w:hAnsi="Arial" w:cs="Arial"/>
          <w:b/>
          <w:bCs/>
          <w:color w:val="auto"/>
          <w:sz w:val="24"/>
          <w:szCs w:val="24"/>
          <w:lang w:val="en-US"/>
        </w:rPr>
        <w:t xml:space="preserve">Article Title: </w:t>
      </w:r>
      <w:r w:rsidRPr="001F05D9">
        <w:rPr>
          <w:rFonts w:ascii="Arial" w:hAnsi="Arial" w:cs="Arial"/>
          <w:color w:val="auto"/>
          <w:sz w:val="24"/>
          <w:szCs w:val="24"/>
        </w:rPr>
        <w:t>Estimates of Energy Intake and Expenditure in Elite Female Touch Players During an International Tournament</w:t>
      </w:r>
    </w:p>
    <w:p w14:paraId="306047B0" w14:textId="77777777" w:rsidR="005E1321" w:rsidRPr="001F05D9" w:rsidRDefault="005E1321">
      <w:pPr>
        <w:pStyle w:val="NormalWeb"/>
        <w:spacing w:line="480" w:lineRule="auto"/>
        <w:rPr>
          <w:color w:val="auto"/>
        </w:rPr>
      </w:pPr>
    </w:p>
    <w:p w14:paraId="78AB00BA" w14:textId="77777777" w:rsidR="004A34CA" w:rsidRPr="001F05D9" w:rsidRDefault="00B5777A">
      <w:pPr>
        <w:pStyle w:val="NormalWeb"/>
        <w:spacing w:line="480" w:lineRule="auto"/>
        <w:rPr>
          <w:rFonts w:ascii="Arial" w:hAnsi="Arial" w:cs="Arial"/>
          <w:color w:val="auto"/>
          <w:sz w:val="24"/>
          <w:szCs w:val="24"/>
          <w:vertAlign w:val="superscript"/>
          <w:lang w:val="en-US"/>
        </w:rPr>
      </w:pPr>
      <w:r w:rsidRPr="001F05D9">
        <w:rPr>
          <w:rFonts w:ascii="Arial" w:hAnsi="Arial" w:cs="Arial"/>
          <w:b/>
          <w:bCs/>
          <w:color w:val="auto"/>
          <w:sz w:val="24"/>
          <w:szCs w:val="24"/>
          <w:lang w:val="en-US"/>
        </w:rPr>
        <w:t xml:space="preserve">Authors: </w:t>
      </w:r>
      <w:r w:rsidRPr="001F05D9">
        <w:rPr>
          <w:rFonts w:ascii="Arial" w:hAnsi="Arial" w:cs="Arial"/>
          <w:color w:val="auto"/>
          <w:sz w:val="24"/>
          <w:szCs w:val="24"/>
          <w:lang w:val="en-US"/>
        </w:rPr>
        <w:t>Nicola Marsh</w:t>
      </w:r>
      <w:r w:rsidRPr="001F05D9">
        <w:rPr>
          <w:rFonts w:ascii="Arial" w:hAnsi="Arial" w:cs="Arial"/>
          <w:color w:val="auto"/>
          <w:sz w:val="24"/>
          <w:szCs w:val="24"/>
          <w:vertAlign w:val="superscript"/>
          <w:lang w:val="en-US"/>
        </w:rPr>
        <w:t>1</w:t>
      </w:r>
      <w:r w:rsidRPr="001F05D9">
        <w:rPr>
          <w:rFonts w:ascii="Arial" w:hAnsi="Arial" w:cs="Arial"/>
          <w:color w:val="auto"/>
          <w:sz w:val="24"/>
          <w:szCs w:val="24"/>
          <w:lang w:val="en-US"/>
        </w:rPr>
        <w:t>, Nick Dobbin</w:t>
      </w:r>
      <w:r w:rsidRPr="001F05D9">
        <w:rPr>
          <w:rFonts w:ascii="Arial" w:hAnsi="Arial" w:cs="Arial"/>
          <w:color w:val="auto"/>
          <w:sz w:val="24"/>
          <w:szCs w:val="24"/>
          <w:vertAlign w:val="superscript"/>
          <w:lang w:val="en-US"/>
        </w:rPr>
        <w:t>2</w:t>
      </w:r>
      <w:r w:rsidRPr="001F05D9">
        <w:rPr>
          <w:rFonts w:ascii="Arial" w:hAnsi="Arial" w:cs="Arial"/>
          <w:color w:val="auto"/>
          <w:sz w:val="24"/>
          <w:szCs w:val="24"/>
          <w:lang w:val="en-US"/>
        </w:rPr>
        <w:t>, Craig Twist</w:t>
      </w:r>
      <w:r w:rsidRPr="001F05D9">
        <w:rPr>
          <w:rFonts w:ascii="Arial" w:hAnsi="Arial" w:cs="Arial"/>
          <w:color w:val="auto"/>
          <w:sz w:val="24"/>
          <w:szCs w:val="24"/>
          <w:vertAlign w:val="superscript"/>
          <w:lang w:val="en-US"/>
        </w:rPr>
        <w:t>2</w:t>
      </w:r>
      <w:r w:rsidRPr="001F05D9">
        <w:rPr>
          <w:rFonts w:ascii="Arial" w:hAnsi="Arial" w:cs="Arial"/>
          <w:color w:val="auto"/>
          <w:sz w:val="24"/>
          <w:szCs w:val="24"/>
          <w:lang w:val="en-US"/>
        </w:rPr>
        <w:t xml:space="preserve"> and Chris Curtis</w:t>
      </w:r>
      <w:r w:rsidRPr="001F05D9">
        <w:rPr>
          <w:rFonts w:ascii="Arial" w:hAnsi="Arial" w:cs="Arial"/>
          <w:color w:val="auto"/>
          <w:sz w:val="24"/>
          <w:szCs w:val="24"/>
          <w:vertAlign w:val="superscript"/>
          <w:lang w:val="en-US"/>
        </w:rPr>
        <w:t>1</w:t>
      </w:r>
    </w:p>
    <w:p w14:paraId="5347DEF3" w14:textId="77777777" w:rsidR="005E1321" w:rsidRPr="001F05D9" w:rsidRDefault="005E1321">
      <w:pPr>
        <w:pStyle w:val="NormalWeb"/>
        <w:spacing w:line="480" w:lineRule="auto"/>
        <w:rPr>
          <w:color w:val="auto"/>
        </w:rPr>
      </w:pPr>
    </w:p>
    <w:p w14:paraId="0740E207" w14:textId="77777777" w:rsidR="004A34CA" w:rsidRPr="001F05D9" w:rsidRDefault="00B5777A">
      <w:pPr>
        <w:widowControl w:val="0"/>
        <w:spacing w:after="240" w:line="480" w:lineRule="auto"/>
        <w:rPr>
          <w:rFonts w:ascii="Arial" w:hAnsi="Arial" w:cs="Arial"/>
          <w:color w:val="auto"/>
          <w:lang w:val="en-US"/>
        </w:rPr>
      </w:pPr>
      <w:r w:rsidRPr="001F05D9">
        <w:rPr>
          <w:rFonts w:ascii="Arial" w:hAnsi="Arial" w:cs="Arial"/>
          <w:b/>
          <w:bCs/>
          <w:color w:val="auto"/>
          <w:lang w:val="en-US"/>
        </w:rPr>
        <w:t xml:space="preserve">Affiliations: </w:t>
      </w:r>
      <w:r w:rsidRPr="001F05D9">
        <w:rPr>
          <w:rFonts w:ascii="Arial" w:hAnsi="Arial" w:cs="Arial"/>
          <w:b/>
          <w:bCs/>
          <w:color w:val="auto"/>
          <w:vertAlign w:val="superscript"/>
          <w:lang w:val="en-US"/>
        </w:rPr>
        <w:t>1</w:t>
      </w:r>
      <w:r w:rsidRPr="001F05D9">
        <w:rPr>
          <w:rFonts w:ascii="Arial" w:hAnsi="Arial" w:cs="Arial"/>
          <w:color w:val="auto"/>
          <w:lang w:val="en-US"/>
        </w:rPr>
        <w:t xml:space="preserve">School of Sport, Health and Applied Science, St Mary’s University, United Kingdom. </w:t>
      </w:r>
      <w:r w:rsidRPr="001F05D9">
        <w:rPr>
          <w:rFonts w:ascii="Arial" w:hAnsi="Arial" w:cs="Arial"/>
          <w:color w:val="auto"/>
          <w:vertAlign w:val="superscript"/>
          <w:lang w:val="en-US"/>
        </w:rPr>
        <w:t xml:space="preserve">2 </w:t>
      </w:r>
      <w:r w:rsidRPr="001F05D9">
        <w:rPr>
          <w:rFonts w:ascii="Arial" w:hAnsi="Arial" w:cs="Arial"/>
          <w:color w:val="auto"/>
          <w:lang w:val="en-US"/>
        </w:rPr>
        <w:t xml:space="preserve">Department of Sport and Exercise Sciences, University of Chester, United Kingdom. </w:t>
      </w:r>
    </w:p>
    <w:p w14:paraId="5F2BE089" w14:textId="77777777" w:rsidR="005E1321" w:rsidRPr="001F05D9" w:rsidRDefault="005E1321">
      <w:pPr>
        <w:widowControl w:val="0"/>
        <w:spacing w:after="240" w:line="480" w:lineRule="auto"/>
        <w:rPr>
          <w:color w:val="auto"/>
        </w:rPr>
      </w:pPr>
    </w:p>
    <w:p w14:paraId="3151D83D" w14:textId="77777777" w:rsidR="004A34CA" w:rsidRPr="001F05D9" w:rsidRDefault="00B5777A">
      <w:pPr>
        <w:widowControl w:val="0"/>
        <w:spacing w:after="240" w:line="480" w:lineRule="auto"/>
        <w:rPr>
          <w:color w:val="auto"/>
        </w:rPr>
      </w:pPr>
      <w:r w:rsidRPr="001F05D9">
        <w:rPr>
          <w:rFonts w:ascii="Arial" w:hAnsi="Arial" w:cs="Arial"/>
          <w:b/>
          <w:bCs/>
          <w:color w:val="auto"/>
          <w:lang w:val="en-US"/>
        </w:rPr>
        <w:t xml:space="preserve">Running Head: </w:t>
      </w:r>
      <w:r w:rsidRPr="001F05D9">
        <w:rPr>
          <w:rFonts w:ascii="Arial" w:hAnsi="Arial" w:cs="Arial"/>
          <w:color w:val="auto"/>
          <w:lang w:val="en-US"/>
        </w:rPr>
        <w:t>Energy Intake and Expenditure in Touch players</w:t>
      </w:r>
    </w:p>
    <w:p w14:paraId="2BE1684A" w14:textId="77777777" w:rsidR="004A34CA" w:rsidRPr="001F05D9" w:rsidRDefault="00B5777A">
      <w:pPr>
        <w:widowControl w:val="0"/>
        <w:spacing w:after="240" w:line="480" w:lineRule="auto"/>
        <w:rPr>
          <w:rFonts w:ascii="Arial" w:hAnsi="Arial" w:cs="Arial"/>
          <w:i/>
          <w:iCs/>
          <w:color w:val="auto"/>
          <w:lang w:val="en-US"/>
        </w:rPr>
      </w:pPr>
      <w:r w:rsidRPr="001F05D9">
        <w:rPr>
          <w:rFonts w:ascii="Arial" w:hAnsi="Arial" w:cs="Arial"/>
          <w:b/>
          <w:bCs/>
          <w:color w:val="auto"/>
          <w:lang w:val="en-US"/>
        </w:rPr>
        <w:t xml:space="preserve">Journal: </w:t>
      </w:r>
      <w:r w:rsidRPr="001F05D9">
        <w:rPr>
          <w:rFonts w:ascii="Arial" w:hAnsi="Arial" w:cs="Arial"/>
          <w:i/>
          <w:iCs/>
          <w:color w:val="auto"/>
          <w:lang w:val="en-US"/>
        </w:rPr>
        <w:t>International Journal of Sport Nutrition and Exercise Metabolism</w:t>
      </w:r>
    </w:p>
    <w:p w14:paraId="016AA758" w14:textId="77777777" w:rsidR="005E1321" w:rsidRPr="001F05D9" w:rsidRDefault="005E1321">
      <w:pPr>
        <w:widowControl w:val="0"/>
        <w:spacing w:after="240" w:line="480" w:lineRule="auto"/>
        <w:rPr>
          <w:color w:val="auto"/>
        </w:rPr>
      </w:pPr>
    </w:p>
    <w:p w14:paraId="73A280E1" w14:textId="77777777" w:rsidR="004A34CA" w:rsidRPr="001F05D9" w:rsidRDefault="00B5777A">
      <w:pPr>
        <w:pStyle w:val="xmsonormal"/>
        <w:shd w:val="clear" w:color="auto" w:fill="FFFFFF"/>
        <w:spacing w:line="480" w:lineRule="auto"/>
        <w:rPr>
          <w:color w:val="auto"/>
        </w:rPr>
      </w:pPr>
      <w:r w:rsidRPr="001F05D9">
        <w:rPr>
          <w:rFonts w:ascii="Arial" w:hAnsi="Arial" w:cs="Arial"/>
          <w:b/>
          <w:bCs/>
          <w:color w:val="auto"/>
          <w:sz w:val="24"/>
          <w:szCs w:val="24"/>
          <w:lang w:val="en-US"/>
        </w:rPr>
        <w:t>Corresponding author:</w:t>
      </w:r>
      <w:r w:rsidRPr="001F05D9">
        <w:rPr>
          <w:rFonts w:ascii="Arial" w:hAnsi="Arial" w:cs="Arial"/>
          <w:color w:val="auto"/>
          <w:sz w:val="24"/>
          <w:szCs w:val="24"/>
          <w:lang w:val="en-US"/>
        </w:rPr>
        <w:t xml:space="preserve"> Nicola Marsh.</w:t>
      </w:r>
      <w:r w:rsidRPr="001F05D9">
        <w:rPr>
          <w:rFonts w:ascii="Arial" w:hAnsi="Arial" w:cs="Arial"/>
          <w:color w:val="auto"/>
          <w:lang w:val="en-US"/>
        </w:rPr>
        <w:t xml:space="preserve"> </w:t>
      </w:r>
      <w:bookmarkStart w:id="1" w:name="__DdeLink__7457_1111758321"/>
      <w:r w:rsidRPr="001F05D9">
        <w:rPr>
          <w:rFonts w:ascii="Arial" w:eastAsia="Times New Roman" w:hAnsi="Arial" w:cs="Arial"/>
          <w:color w:val="auto"/>
          <w:sz w:val="24"/>
          <w:szCs w:val="24"/>
          <w:lang w:eastAsia="en-GB"/>
        </w:rPr>
        <w:t>S</w:t>
      </w:r>
      <w:r w:rsidRPr="001F05D9">
        <w:rPr>
          <w:rFonts w:ascii="Arial" w:hAnsi="Arial" w:cs="Times New Roman"/>
          <w:color w:val="auto"/>
          <w:sz w:val="24"/>
          <w:szCs w:val="24"/>
        </w:rPr>
        <w:t>chool of Sport, Health and Applied Science, St Mary's University, Waldegrave Road, Twickenham, London, United Kingdom, TW1 4SX</w:t>
      </w:r>
      <w:bookmarkEnd w:id="1"/>
      <w:r w:rsidRPr="001F05D9">
        <w:rPr>
          <w:rFonts w:ascii="Arial" w:hAnsi="Arial" w:cs="Times New Roman"/>
          <w:color w:val="auto"/>
          <w:sz w:val="24"/>
          <w:szCs w:val="24"/>
        </w:rPr>
        <w:t xml:space="preserve">. </w:t>
      </w:r>
      <w:r w:rsidRPr="001F05D9">
        <w:rPr>
          <w:rFonts w:ascii="Arial" w:hAnsi="Arial" w:cs="Arial"/>
          <w:color w:val="auto"/>
          <w:sz w:val="24"/>
          <w:szCs w:val="24"/>
          <w:lang w:val="en-US"/>
        </w:rPr>
        <w:t xml:space="preserve">Telephone: 07977519937. Email: </w:t>
      </w:r>
      <w:hyperlink r:id="rId7">
        <w:r w:rsidRPr="001F05D9">
          <w:rPr>
            <w:rStyle w:val="InternetLink"/>
            <w:rFonts w:ascii="Arial" w:hAnsi="Arial"/>
            <w:color w:val="auto"/>
            <w:sz w:val="24"/>
            <w:szCs w:val="24"/>
            <w:u w:val="none"/>
          </w:rPr>
          <w:t>nickymarsh7@hotmail.com</w:t>
        </w:r>
      </w:hyperlink>
      <w:r w:rsidRPr="001F05D9">
        <w:rPr>
          <w:rFonts w:ascii="Arial" w:hAnsi="Arial" w:cs="Arial"/>
          <w:color w:val="auto"/>
          <w:sz w:val="24"/>
          <w:szCs w:val="24"/>
          <w:lang w:val="en-US"/>
        </w:rPr>
        <w:t xml:space="preserve">. </w:t>
      </w:r>
    </w:p>
    <w:p w14:paraId="3C37347F" w14:textId="77777777" w:rsidR="004A34CA" w:rsidRPr="001F05D9" w:rsidRDefault="004A34CA">
      <w:pPr>
        <w:widowControl w:val="0"/>
        <w:spacing w:after="240" w:line="480" w:lineRule="auto"/>
        <w:rPr>
          <w:color w:val="auto"/>
        </w:rPr>
      </w:pPr>
    </w:p>
    <w:p w14:paraId="2CE5BBC9" w14:textId="77777777" w:rsidR="004A34CA" w:rsidRPr="001F05D9" w:rsidRDefault="004A34CA">
      <w:pPr>
        <w:widowControl w:val="0"/>
        <w:spacing w:after="240" w:line="480" w:lineRule="auto"/>
        <w:rPr>
          <w:color w:val="auto"/>
        </w:rPr>
      </w:pPr>
    </w:p>
    <w:p w14:paraId="0461EB16" w14:textId="77777777" w:rsidR="004A34CA" w:rsidRPr="001F05D9" w:rsidRDefault="004A34CA">
      <w:pPr>
        <w:widowControl w:val="0"/>
        <w:spacing w:after="240" w:line="480" w:lineRule="auto"/>
        <w:rPr>
          <w:color w:val="auto"/>
        </w:rPr>
      </w:pPr>
    </w:p>
    <w:p w14:paraId="3B844F09" w14:textId="77777777" w:rsidR="004A34CA" w:rsidRPr="001F05D9" w:rsidRDefault="004A34CA">
      <w:pPr>
        <w:widowControl w:val="0"/>
        <w:spacing w:after="240" w:line="480" w:lineRule="auto"/>
        <w:rPr>
          <w:color w:val="auto"/>
        </w:rPr>
      </w:pPr>
    </w:p>
    <w:p w14:paraId="5DD8CDE8" w14:textId="77777777" w:rsidR="004A34CA" w:rsidRPr="001F05D9" w:rsidRDefault="00B5777A">
      <w:pPr>
        <w:spacing w:line="360" w:lineRule="auto"/>
        <w:rPr>
          <w:color w:val="auto"/>
        </w:rPr>
      </w:pPr>
      <w:r w:rsidRPr="001F05D9">
        <w:rPr>
          <w:rFonts w:ascii="Arial" w:hAnsi="Arial" w:cs="Arial"/>
          <w:b/>
          <w:color w:val="auto"/>
          <w:szCs w:val="28"/>
        </w:rPr>
        <w:lastRenderedPageBreak/>
        <w:t xml:space="preserve">Abstract </w:t>
      </w:r>
    </w:p>
    <w:p w14:paraId="61601B9D" w14:textId="4E9E9B2B" w:rsidR="004A34CA" w:rsidRPr="001F05D9" w:rsidRDefault="00B5777A" w:rsidP="001F05D9">
      <w:pPr>
        <w:pStyle w:val="NormalWeb"/>
        <w:spacing w:line="480" w:lineRule="auto"/>
        <w:jc w:val="both"/>
        <w:rPr>
          <w:rFonts w:ascii="Arial" w:hAnsi="Arial" w:cs="Arial"/>
          <w:color w:val="FF0000"/>
          <w:sz w:val="24"/>
          <w:szCs w:val="24"/>
        </w:rPr>
      </w:pPr>
      <w:r w:rsidRPr="001F05D9">
        <w:rPr>
          <w:rFonts w:ascii="Arial" w:hAnsi="Arial" w:cs="Arial"/>
          <w:color w:val="auto"/>
          <w:sz w:val="24"/>
          <w:szCs w:val="24"/>
        </w:rPr>
        <w:t xml:space="preserve">This study assessed energy intake and expenditure of international female Touch players during an international tournament. Energy intake (food diary) and expenditure (accelerometer, global positioning system) were recorded </w:t>
      </w:r>
      <w:r w:rsidR="00163EC1" w:rsidRPr="00163EC1">
        <w:rPr>
          <w:rFonts w:ascii="Arial" w:hAnsi="Arial" w:cs="Arial"/>
          <w:color w:val="FF0000"/>
          <w:sz w:val="24"/>
          <w:szCs w:val="24"/>
        </w:rPr>
        <w:t>for</w:t>
      </w:r>
      <w:r w:rsidR="00163EC1">
        <w:rPr>
          <w:rFonts w:ascii="Arial" w:hAnsi="Arial" w:cs="Arial"/>
          <w:color w:val="auto"/>
          <w:sz w:val="24"/>
          <w:szCs w:val="24"/>
        </w:rPr>
        <w:t xml:space="preserve"> </w:t>
      </w:r>
      <w:r w:rsidRPr="001F05D9">
        <w:rPr>
          <w:rFonts w:ascii="Arial" w:hAnsi="Arial" w:cs="Arial"/>
          <w:color w:val="auto"/>
          <w:sz w:val="24"/>
          <w:szCs w:val="24"/>
        </w:rPr>
        <w:t xml:space="preserve">16 female </w:t>
      </w:r>
      <w:r w:rsidRPr="00E028E5">
        <w:rPr>
          <w:rFonts w:ascii="Arial" w:hAnsi="Arial" w:cs="Arial"/>
          <w:color w:val="auto"/>
          <w:sz w:val="24"/>
          <w:szCs w:val="24"/>
        </w:rPr>
        <w:t>Touch players during a fo</w:t>
      </w:r>
      <w:r w:rsidR="00101BAC" w:rsidRPr="00E028E5">
        <w:rPr>
          <w:rFonts w:ascii="Arial" w:hAnsi="Arial" w:cs="Arial"/>
          <w:color w:val="auto"/>
          <w:sz w:val="24"/>
          <w:szCs w:val="24"/>
        </w:rPr>
        <w:t>ur-day tournament</w:t>
      </w:r>
      <w:r w:rsidR="00E13582" w:rsidRPr="00E028E5">
        <w:rPr>
          <w:rFonts w:ascii="Arial" w:hAnsi="Arial" w:cs="Arial"/>
          <w:color w:val="auto"/>
          <w:sz w:val="24"/>
          <w:szCs w:val="24"/>
        </w:rPr>
        <w:t>, competing in 8.0 ± 1.0 matches</w:t>
      </w:r>
      <w:r w:rsidR="00101BAC" w:rsidRPr="00E028E5">
        <w:rPr>
          <w:rFonts w:ascii="Arial" w:hAnsi="Arial" w:cs="Arial"/>
          <w:color w:val="auto"/>
          <w:sz w:val="24"/>
          <w:szCs w:val="24"/>
        </w:rPr>
        <w:t>;</w:t>
      </w:r>
      <w:r w:rsidR="00101BAC">
        <w:rPr>
          <w:rFonts w:ascii="Arial" w:hAnsi="Arial" w:cs="Arial"/>
          <w:color w:val="auto"/>
          <w:sz w:val="24"/>
          <w:szCs w:val="24"/>
        </w:rPr>
        <w:t xml:space="preserve"> two on days one, two and four, and three on day three</w:t>
      </w:r>
      <w:r w:rsidRPr="001F05D9">
        <w:rPr>
          <w:rFonts w:ascii="Arial" w:hAnsi="Arial" w:cs="Arial"/>
          <w:color w:val="auto"/>
          <w:sz w:val="24"/>
          <w:szCs w:val="24"/>
        </w:rPr>
        <w:t xml:space="preserve">. </w:t>
      </w:r>
      <w:r w:rsidRPr="001F05D9">
        <w:rPr>
          <w:rFonts w:ascii="Arial" w:hAnsi="Arial" w:cs="Arial"/>
          <w:color w:val="auto"/>
          <w:sz w:val="24"/>
          <w:szCs w:val="24"/>
          <w:lang w:val="en-US"/>
        </w:rPr>
        <w:t>Total daily energy expenditure (43.6 ± 3.1 Kcal</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Pr="001F05D9">
        <w:rPr>
          <w:rFonts w:ascii="Arial" w:hAnsi="Arial" w:cs="Arial"/>
          <w:color w:val="auto"/>
          <w:sz w:val="24"/>
          <w:szCs w:val="24"/>
          <w:lang w:val="en-US"/>
        </w:rPr>
        <w:t>body mass (BM)) was not different (</w:t>
      </w:r>
      <w:r w:rsidRPr="001F05D9">
        <w:rPr>
          <w:rFonts w:ascii="Arial" w:hAnsi="Arial" w:cs="Arial"/>
          <w:i/>
          <w:color w:val="auto"/>
          <w:sz w:val="24"/>
          <w:szCs w:val="24"/>
          <w:lang w:val="en-US"/>
        </w:rPr>
        <w:t xml:space="preserve">P </w:t>
      </w:r>
      <w:r w:rsidRPr="001F05D9">
        <w:rPr>
          <w:rFonts w:ascii="Arial" w:hAnsi="Arial" w:cs="Arial"/>
          <w:color w:val="auto"/>
          <w:sz w:val="24"/>
          <w:szCs w:val="24"/>
          <w:lang w:val="en-US"/>
        </w:rPr>
        <w:t>&gt; 0.05) from energy intake (39.9 ± 9.4 Kcal</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Pr="001F05D9">
        <w:rPr>
          <w:rFonts w:ascii="Arial" w:hAnsi="Arial" w:cs="Arial"/>
          <w:color w:val="auto"/>
          <w:sz w:val="24"/>
          <w:szCs w:val="24"/>
          <w:lang w:val="en-US"/>
        </w:rPr>
        <w:t>BM). Carbohydrate intakes were below current recommendations (6-10 g</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-1</w:t>
      </w:r>
      <w:r w:rsidR="00101BAC">
        <w:rPr>
          <w:rFonts w:ascii="Arial" w:hAnsi="Arial" w:cs="Arial"/>
          <w:color w:val="auto"/>
          <w:sz w:val="24"/>
          <w:szCs w:val="24"/>
          <w:lang w:val="en-US"/>
        </w:rPr>
        <w:t xml:space="preserve"> BM) on days one</w:t>
      </w:r>
      <w:r w:rsidRPr="001F05D9">
        <w:rPr>
          <w:rFonts w:ascii="Arial" w:hAnsi="Arial" w:cs="Arial"/>
          <w:color w:val="auto"/>
          <w:sz w:val="24"/>
          <w:szCs w:val="24"/>
          <w:lang w:val="en-US"/>
        </w:rPr>
        <w:t xml:space="preserve"> (4.4 ± 0.6 g</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001F05D9">
        <w:rPr>
          <w:rFonts w:ascii="Arial" w:hAnsi="Arial" w:cs="Arial"/>
          <w:color w:val="auto"/>
          <w:sz w:val="24"/>
          <w:szCs w:val="24"/>
          <w:lang w:val="en-US"/>
        </w:rPr>
        <w:t xml:space="preserve">BM) </w:t>
      </w:r>
      <w:r w:rsidR="001F05D9" w:rsidRPr="001F05D9">
        <w:rPr>
          <w:rFonts w:ascii="Arial" w:hAnsi="Arial" w:cs="Arial"/>
          <w:color w:val="FF0000"/>
          <w:sz w:val="24"/>
          <w:szCs w:val="24"/>
          <w:lang w:val="en-US"/>
        </w:rPr>
        <w:t>and</w:t>
      </w:r>
      <w:r w:rsidR="00101BAC">
        <w:rPr>
          <w:rFonts w:ascii="Arial" w:hAnsi="Arial" w:cs="Arial"/>
          <w:color w:val="auto"/>
          <w:sz w:val="24"/>
          <w:szCs w:val="24"/>
          <w:lang w:val="en-US"/>
        </w:rPr>
        <w:t xml:space="preserve"> three</w:t>
      </w:r>
      <w:r w:rsidRPr="001F05D9">
        <w:rPr>
          <w:rFonts w:ascii="Arial" w:hAnsi="Arial" w:cs="Arial"/>
          <w:color w:val="auto"/>
          <w:sz w:val="24"/>
          <w:szCs w:val="24"/>
          <w:lang w:val="en-US"/>
        </w:rPr>
        <w:t xml:space="preserve"> (4.7 ± 1.0 g</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Pr="001F05D9">
        <w:rPr>
          <w:rFonts w:ascii="Arial" w:hAnsi="Arial" w:cs="Arial"/>
          <w:color w:val="auto"/>
          <w:sz w:val="24"/>
          <w:szCs w:val="24"/>
          <w:lang w:val="en-US"/>
        </w:rPr>
        <w:t>BM)</w:t>
      </w:r>
      <w:r w:rsidR="00FA6643">
        <w:rPr>
          <w:rFonts w:ascii="Arial" w:hAnsi="Arial" w:cs="Arial"/>
          <w:color w:val="FF0000"/>
          <w:sz w:val="24"/>
          <w:szCs w:val="24"/>
          <w:lang w:val="en-US"/>
        </w:rPr>
        <w:t xml:space="preserve"> </w:t>
      </w:r>
      <w:r w:rsidRPr="001F05D9">
        <w:rPr>
          <w:rFonts w:ascii="Arial" w:hAnsi="Arial" w:cs="Arial"/>
          <w:color w:val="auto"/>
          <w:sz w:val="24"/>
          <w:szCs w:val="24"/>
          <w:lang w:val="en-US"/>
        </w:rPr>
        <w:t xml:space="preserve">and </w:t>
      </w:r>
      <w:r w:rsidR="00FA6643" w:rsidRPr="00163EC1">
        <w:rPr>
          <w:rFonts w:ascii="Arial" w:hAnsi="Arial" w:cs="Arial"/>
          <w:color w:val="FF0000"/>
          <w:sz w:val="24"/>
          <w:szCs w:val="24"/>
          <w:lang w:val="en-US"/>
        </w:rPr>
        <w:t>significantly</w:t>
      </w:r>
      <w:r w:rsidR="00FA6643">
        <w:rPr>
          <w:rFonts w:ascii="Arial" w:hAnsi="Arial" w:cs="Arial"/>
          <w:color w:val="auto"/>
          <w:sz w:val="24"/>
          <w:szCs w:val="24"/>
          <w:lang w:val="en-US"/>
        </w:rPr>
        <w:t xml:space="preserve"> </w:t>
      </w:r>
      <w:r w:rsidRPr="001F05D9">
        <w:rPr>
          <w:rFonts w:ascii="Arial" w:hAnsi="Arial" w:cs="Arial"/>
          <w:color w:val="auto"/>
          <w:sz w:val="24"/>
          <w:szCs w:val="24"/>
          <w:lang w:val="en-US"/>
        </w:rPr>
        <w:t>below (</w:t>
      </w:r>
      <w:r w:rsidRPr="001F05D9">
        <w:rPr>
          <w:rFonts w:ascii="Arial" w:hAnsi="Arial" w:cs="Arial"/>
          <w:i/>
          <w:color w:val="auto"/>
          <w:sz w:val="24"/>
          <w:szCs w:val="24"/>
          <w:lang w:val="en-US"/>
        </w:rPr>
        <w:t xml:space="preserve">P </w:t>
      </w:r>
      <w:r w:rsidR="00101BAC">
        <w:rPr>
          <w:rFonts w:ascii="Arial" w:hAnsi="Arial" w:cs="Arial"/>
          <w:color w:val="auto"/>
          <w:sz w:val="24"/>
          <w:szCs w:val="24"/>
          <w:lang w:val="en-US"/>
        </w:rPr>
        <w:t>&lt; 0.05) on day two</w:t>
      </w:r>
      <w:r w:rsidRPr="001F05D9">
        <w:rPr>
          <w:rFonts w:ascii="Arial" w:hAnsi="Arial" w:cs="Arial"/>
          <w:color w:val="auto"/>
          <w:sz w:val="24"/>
          <w:szCs w:val="24"/>
          <w:lang w:val="en-US"/>
        </w:rPr>
        <w:t xml:space="preserve"> (4.1 ± 1.0 g</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Pr="001F05D9">
        <w:rPr>
          <w:rFonts w:ascii="Arial" w:hAnsi="Arial" w:cs="Arial"/>
          <w:color w:val="auto"/>
          <w:sz w:val="24"/>
          <w:szCs w:val="24"/>
          <w:lang w:val="en-US"/>
        </w:rPr>
        <w:t xml:space="preserve">BM). Protein and fat intakes were consistent </w:t>
      </w:r>
      <w:r w:rsidR="005F5FCF" w:rsidRPr="001F05D9">
        <w:rPr>
          <w:rFonts w:ascii="Arial" w:hAnsi="Arial" w:cs="Arial"/>
          <w:color w:val="auto"/>
          <w:sz w:val="24"/>
          <w:szCs w:val="24"/>
          <w:lang w:val="en-US"/>
        </w:rPr>
        <w:t>with recommendations</w:t>
      </w:r>
      <w:r w:rsidRPr="001F05D9">
        <w:rPr>
          <w:rFonts w:ascii="Arial" w:hAnsi="Arial" w:cs="Arial"/>
          <w:color w:val="auto"/>
          <w:sz w:val="24"/>
          <w:szCs w:val="24"/>
          <w:lang w:val="en-US"/>
        </w:rPr>
        <w:t xml:space="preserve"> (protein; 1.2 - 2.0 g</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Pr="001F05D9">
        <w:rPr>
          <w:rFonts w:ascii="Arial" w:hAnsi="Arial" w:cs="Arial"/>
          <w:color w:val="auto"/>
          <w:sz w:val="24"/>
          <w:szCs w:val="24"/>
          <w:lang w:val="en-US"/>
        </w:rPr>
        <w:t xml:space="preserve">BM, fat; 20 </w:t>
      </w:r>
      <w:r w:rsidR="00101BAC">
        <w:rPr>
          <w:rFonts w:ascii="Arial" w:hAnsi="Arial" w:cs="Arial"/>
          <w:color w:val="auto"/>
          <w:sz w:val="24"/>
          <w:szCs w:val="24"/>
          <w:lang w:val="en-US"/>
        </w:rPr>
        <w:t>- 35 % total Kcal) across days one to three</w:t>
      </w:r>
      <w:r w:rsidRPr="001F05D9">
        <w:rPr>
          <w:rFonts w:ascii="Arial" w:hAnsi="Arial" w:cs="Arial"/>
          <w:color w:val="auto"/>
          <w:sz w:val="24"/>
          <w:szCs w:val="24"/>
          <w:lang w:val="en-US"/>
        </w:rPr>
        <w:t xml:space="preserve"> (protein; 1.9 ± 0.8, 2.2 ± 0.8 &amp; 2.0 ± 0.7 g</w:t>
      </w:r>
      <w:r w:rsidRPr="001F05D9">
        <w:rPr>
          <w:rFonts w:ascii="Arial" w:hAnsi="Arial" w:cs="Arial"/>
          <w:color w:val="auto"/>
          <w:sz w:val="24"/>
          <w:szCs w:val="24"/>
          <w:vertAlign w:val="superscript"/>
          <w:lang w:val="en-US"/>
        </w:rPr>
        <w:t>.</w:t>
      </w:r>
      <w:r w:rsidRPr="001F05D9">
        <w:rPr>
          <w:rFonts w:ascii="Arial" w:hAnsi="Arial" w:cs="Arial"/>
          <w:color w:val="auto"/>
          <w:sz w:val="24"/>
          <w:szCs w:val="24"/>
          <w:lang w:val="en-US"/>
        </w:rPr>
        <w:t>kg</w:t>
      </w:r>
      <w:r w:rsidRPr="001F05D9">
        <w:rPr>
          <w:rFonts w:ascii="Arial" w:hAnsi="Arial" w:cs="Arial"/>
          <w:color w:val="auto"/>
          <w:sz w:val="24"/>
          <w:szCs w:val="24"/>
          <w:vertAlign w:val="superscript"/>
          <w:lang w:val="en-US"/>
        </w:rPr>
        <w:t xml:space="preserve">-1 </w:t>
      </w:r>
      <w:r w:rsidRPr="001F05D9">
        <w:rPr>
          <w:rFonts w:ascii="Arial" w:hAnsi="Arial" w:cs="Arial"/>
          <w:color w:val="auto"/>
          <w:sz w:val="24"/>
          <w:szCs w:val="24"/>
          <w:lang w:val="en-US"/>
        </w:rPr>
        <w:t>BM, fat; 35.6 ± 6.8, 38.5 ± 6.4 &amp; 35.9 ± 5.4 % total Kcal). Saturated fat intakes were greater (</w:t>
      </w:r>
      <w:r w:rsidRPr="001F05D9">
        <w:rPr>
          <w:rFonts w:ascii="Arial" w:hAnsi="Arial" w:cs="Arial"/>
          <w:i/>
          <w:color w:val="auto"/>
          <w:sz w:val="24"/>
          <w:szCs w:val="24"/>
          <w:lang w:val="en-US"/>
        </w:rPr>
        <w:t>P</w:t>
      </w:r>
      <w:r w:rsidRPr="001F05D9">
        <w:rPr>
          <w:rFonts w:ascii="Arial" w:hAnsi="Arial" w:cs="Arial"/>
          <w:color w:val="auto"/>
          <w:sz w:val="24"/>
          <w:szCs w:val="24"/>
          <w:lang w:val="en-US"/>
        </w:rPr>
        <w:t xml:space="preserve"> &lt; 0.05) </w:t>
      </w:r>
      <w:r w:rsidR="005F5FCF" w:rsidRPr="001F05D9">
        <w:rPr>
          <w:rFonts w:ascii="Arial" w:hAnsi="Arial" w:cs="Arial"/>
          <w:color w:val="auto"/>
          <w:sz w:val="24"/>
          <w:szCs w:val="24"/>
          <w:lang w:val="en-US"/>
        </w:rPr>
        <w:t>than recommendations</w:t>
      </w:r>
      <w:r w:rsidR="00101BAC">
        <w:rPr>
          <w:rFonts w:ascii="Arial" w:hAnsi="Arial" w:cs="Arial"/>
          <w:color w:val="auto"/>
          <w:sz w:val="24"/>
          <w:szCs w:val="24"/>
          <w:lang w:val="en-US"/>
        </w:rPr>
        <w:t xml:space="preserve"> (10 % total Kcal) on days one to three</w:t>
      </w:r>
      <w:r w:rsidRPr="001F05D9">
        <w:rPr>
          <w:rFonts w:ascii="Arial" w:hAnsi="Arial" w:cs="Arial"/>
          <w:color w:val="auto"/>
          <w:sz w:val="24"/>
          <w:szCs w:val="24"/>
          <w:lang w:val="en-US"/>
        </w:rPr>
        <w:t xml:space="preserve"> (</w:t>
      </w:r>
      <w:r w:rsidRPr="001F05D9">
        <w:rPr>
          <w:rFonts w:ascii="Arial" w:eastAsia="Times New Roman" w:hAnsi="Arial" w:cs="Arial"/>
          <w:color w:val="auto"/>
          <w:sz w:val="24"/>
          <w:szCs w:val="24"/>
          <w:shd w:val="clear" w:color="auto" w:fill="FFFFFF"/>
        </w:rPr>
        <w:t xml:space="preserve">12.4 </w:t>
      </w:r>
      <w:r w:rsidRPr="001F05D9">
        <w:rPr>
          <w:rFonts w:ascii="Arial" w:hAnsi="Arial" w:cs="Arial"/>
          <w:color w:val="auto"/>
          <w:sz w:val="24"/>
          <w:szCs w:val="24"/>
        </w:rPr>
        <w:t xml:space="preserve">± 2.9, </w:t>
      </w:r>
      <w:r w:rsidRPr="001F05D9">
        <w:rPr>
          <w:rFonts w:ascii="Arial" w:eastAsia="Times New Roman" w:hAnsi="Arial" w:cs="Arial"/>
          <w:color w:val="auto"/>
          <w:sz w:val="24"/>
          <w:szCs w:val="24"/>
          <w:shd w:val="clear" w:color="auto" w:fill="FFFFFF"/>
        </w:rPr>
        <w:t xml:space="preserve">14.2 </w:t>
      </w:r>
      <w:r w:rsidRPr="001F05D9">
        <w:rPr>
          <w:rFonts w:ascii="Arial" w:hAnsi="Arial" w:cs="Arial"/>
          <w:color w:val="auto"/>
          <w:sz w:val="24"/>
          <w:szCs w:val="24"/>
        </w:rPr>
        <w:t xml:space="preserve">± 5.1 &amp; </w:t>
      </w:r>
      <w:r w:rsidRPr="001F05D9">
        <w:rPr>
          <w:rFonts w:ascii="Arial" w:eastAsia="Times New Roman" w:hAnsi="Arial" w:cs="Arial"/>
          <w:color w:val="auto"/>
          <w:sz w:val="24"/>
          <w:szCs w:val="24"/>
          <w:shd w:val="clear" w:color="auto" w:fill="FFFFFF"/>
        </w:rPr>
        <w:t xml:space="preserve">12.7 </w:t>
      </w:r>
      <w:r w:rsidRPr="001F05D9">
        <w:rPr>
          <w:rFonts w:ascii="Arial" w:hAnsi="Arial" w:cs="Arial"/>
          <w:color w:val="auto"/>
          <w:sz w:val="24"/>
          <w:szCs w:val="24"/>
        </w:rPr>
        <w:t>± 3.5 % total Kcal).</w:t>
      </w:r>
      <w:r w:rsidRPr="001F05D9">
        <w:rPr>
          <w:rFonts w:ascii="Arial" w:hAnsi="Arial" w:cs="Arial"/>
          <w:color w:val="auto"/>
        </w:rPr>
        <w:t xml:space="preserve"> </w:t>
      </w:r>
      <w:r w:rsidRPr="001F05D9">
        <w:rPr>
          <w:rFonts w:ascii="Arial" w:hAnsi="Arial" w:cs="Arial"/>
          <w:color w:val="auto"/>
          <w:sz w:val="24"/>
          <w:szCs w:val="24"/>
          <w:lang w:val="en-US"/>
        </w:rPr>
        <w:t>On average,</w:t>
      </w:r>
      <w:r w:rsidRPr="001F05D9">
        <w:rPr>
          <w:rFonts w:ascii="Arial" w:hAnsi="Arial" w:cs="Arial"/>
          <w:color w:val="auto"/>
          <w:sz w:val="24"/>
          <w:szCs w:val="24"/>
        </w:rPr>
        <w:t xml:space="preserve"> fe</w:t>
      </w:r>
      <w:r w:rsidR="004852F8">
        <w:rPr>
          <w:rFonts w:ascii="Arial" w:hAnsi="Arial" w:cs="Arial"/>
          <w:color w:val="auto"/>
          <w:sz w:val="24"/>
          <w:szCs w:val="24"/>
        </w:rPr>
        <w:t xml:space="preserve">male </w:t>
      </w:r>
      <w:r w:rsidR="004852F8" w:rsidRPr="00E028E5">
        <w:rPr>
          <w:rFonts w:ascii="Arial" w:hAnsi="Arial" w:cs="Arial"/>
          <w:color w:val="auto"/>
          <w:sz w:val="24"/>
          <w:szCs w:val="24"/>
        </w:rPr>
        <w:t xml:space="preserve">Touch players </w:t>
      </w:r>
      <w:r w:rsidRPr="00E028E5">
        <w:rPr>
          <w:rFonts w:ascii="Arial" w:hAnsi="Arial" w:cs="Arial"/>
          <w:color w:val="auto"/>
          <w:sz w:val="24"/>
          <w:szCs w:val="24"/>
        </w:rPr>
        <w:t>maintain</w:t>
      </w:r>
      <w:r w:rsidR="004852F8" w:rsidRPr="00E028E5">
        <w:rPr>
          <w:rFonts w:ascii="Arial" w:hAnsi="Arial" w:cs="Arial"/>
          <w:color w:val="auto"/>
          <w:sz w:val="24"/>
          <w:szCs w:val="24"/>
        </w:rPr>
        <w:t>ed</w:t>
      </w:r>
      <w:r w:rsidRPr="00E028E5">
        <w:rPr>
          <w:rFonts w:ascii="Arial" w:hAnsi="Arial" w:cs="Arial"/>
          <w:color w:val="auto"/>
          <w:sz w:val="24"/>
          <w:szCs w:val="24"/>
        </w:rPr>
        <w:t xml:space="preserve"> energy balance</w:t>
      </w:r>
      <w:r w:rsidRPr="009A76C0">
        <w:rPr>
          <w:rFonts w:ascii="Arial" w:hAnsi="Arial" w:cs="Arial"/>
          <w:color w:val="FF0000"/>
          <w:sz w:val="24"/>
          <w:szCs w:val="24"/>
        </w:rPr>
        <w:t>.</w:t>
      </w:r>
      <w:r w:rsidRPr="001F05D9">
        <w:rPr>
          <w:rFonts w:ascii="Arial" w:hAnsi="Arial" w:cs="Arial"/>
          <w:color w:val="auto"/>
          <w:sz w:val="24"/>
          <w:szCs w:val="24"/>
        </w:rPr>
        <w:t xml:space="preserve"> Carbohydrate intakes</w:t>
      </w:r>
      <w:r w:rsidRPr="001F05D9">
        <w:rPr>
          <w:rFonts w:ascii="Arial" w:hAnsi="Arial" w:cs="Arial"/>
          <w:color w:val="FF0000"/>
          <w:sz w:val="24"/>
          <w:szCs w:val="24"/>
        </w:rPr>
        <w:t xml:space="preserve"> appear</w:t>
      </w:r>
      <w:r w:rsidR="001F05D9" w:rsidRPr="001F05D9">
        <w:rPr>
          <w:rFonts w:ascii="Arial" w:hAnsi="Arial" w:cs="Arial"/>
          <w:color w:val="FF0000"/>
          <w:sz w:val="24"/>
          <w:szCs w:val="24"/>
        </w:rPr>
        <w:t>ed</w:t>
      </w:r>
      <w:r w:rsidRPr="001F05D9">
        <w:rPr>
          <w:rFonts w:ascii="Arial" w:hAnsi="Arial" w:cs="Arial"/>
          <w:color w:val="auto"/>
          <w:sz w:val="24"/>
          <w:szCs w:val="24"/>
        </w:rPr>
        <w:t xml:space="preserve"> insufficient and might have contributed to the reduction</w:t>
      </w:r>
      <w:r w:rsidR="001F05D9" w:rsidRPr="001F05D9">
        <w:rPr>
          <w:rFonts w:ascii="Arial" w:hAnsi="Arial" w:cs="Arial"/>
          <w:color w:val="auto"/>
          <w:sz w:val="24"/>
          <w:szCs w:val="24"/>
        </w:rPr>
        <w:t xml:space="preserve"> </w:t>
      </w:r>
      <w:r w:rsidR="001F05D9" w:rsidRPr="001F05D9">
        <w:rPr>
          <w:rFonts w:ascii="Arial" w:hAnsi="Arial" w:cs="Arial"/>
          <w:color w:val="FF0000"/>
          <w:sz w:val="24"/>
          <w:szCs w:val="24"/>
        </w:rPr>
        <w:t>(</w:t>
      </w:r>
      <w:r w:rsidR="001F05D9" w:rsidRPr="001F05D9">
        <w:rPr>
          <w:rFonts w:ascii="Arial" w:hAnsi="Arial" w:cs="Arial"/>
          <w:i/>
          <w:color w:val="FF0000"/>
          <w:sz w:val="24"/>
          <w:szCs w:val="24"/>
        </w:rPr>
        <w:t xml:space="preserve">P &lt; </w:t>
      </w:r>
      <w:r w:rsidR="001F05D9" w:rsidRPr="001F05D9">
        <w:rPr>
          <w:rFonts w:ascii="Arial" w:hAnsi="Arial" w:cs="Arial"/>
          <w:color w:val="FF0000"/>
          <w:sz w:val="24"/>
          <w:szCs w:val="24"/>
        </w:rPr>
        <w:t>0.05)</w:t>
      </w:r>
      <w:r w:rsidRPr="001F05D9">
        <w:rPr>
          <w:rFonts w:ascii="Arial" w:hAnsi="Arial" w:cs="Arial"/>
          <w:color w:val="auto"/>
          <w:sz w:val="24"/>
          <w:szCs w:val="24"/>
        </w:rPr>
        <w:t xml:space="preserve"> in high-intensity running </w:t>
      </w:r>
      <w:r w:rsidR="001F05D9">
        <w:rPr>
          <w:rFonts w:ascii="Arial" w:hAnsi="Arial" w:cs="Arial"/>
          <w:color w:val="auto"/>
          <w:sz w:val="24"/>
          <w:szCs w:val="24"/>
        </w:rPr>
        <w:t xml:space="preserve">on </w:t>
      </w:r>
      <w:r w:rsidR="00101BAC">
        <w:rPr>
          <w:rFonts w:ascii="Arial" w:hAnsi="Arial" w:cs="Arial"/>
          <w:color w:val="auto"/>
          <w:sz w:val="24"/>
          <w:szCs w:val="24"/>
        </w:rPr>
        <w:t>day three</w:t>
      </w:r>
      <w:r w:rsidR="001F05D9" w:rsidRPr="001F05D9">
        <w:rPr>
          <w:rFonts w:ascii="Arial" w:hAnsi="Arial" w:cs="Arial"/>
          <w:color w:val="auto"/>
          <w:sz w:val="24"/>
          <w:szCs w:val="24"/>
        </w:rPr>
        <w:t>.</w:t>
      </w:r>
      <w:r w:rsidR="001F05D9">
        <w:rPr>
          <w:rFonts w:ascii="Arial" w:hAnsi="Arial" w:cs="Arial"/>
          <w:color w:val="FF0000"/>
          <w:sz w:val="24"/>
          <w:szCs w:val="24"/>
        </w:rPr>
        <w:t xml:space="preserve"> </w:t>
      </w:r>
      <w:r w:rsidRPr="00E028E5">
        <w:rPr>
          <w:rFonts w:ascii="Arial" w:hAnsi="Arial" w:cs="Arial"/>
          <w:color w:val="auto"/>
          <w:sz w:val="24"/>
          <w:szCs w:val="24"/>
        </w:rPr>
        <w:t xml:space="preserve">Further research </w:t>
      </w:r>
      <w:r w:rsidR="004852F8" w:rsidRPr="00E028E5">
        <w:rPr>
          <w:rFonts w:ascii="Arial" w:hAnsi="Arial" w:cs="Arial"/>
          <w:color w:val="auto"/>
          <w:sz w:val="24"/>
          <w:szCs w:val="24"/>
        </w:rPr>
        <w:t>might investigate</w:t>
      </w:r>
      <w:r w:rsidRPr="00E028E5">
        <w:rPr>
          <w:rFonts w:ascii="Arial" w:hAnsi="Arial" w:cs="Arial"/>
          <w:color w:val="auto"/>
          <w:sz w:val="24"/>
          <w:szCs w:val="24"/>
        </w:rPr>
        <w:t xml:space="preserve"> </w:t>
      </w:r>
      <w:r w:rsidR="004852F8" w:rsidRPr="00E028E5">
        <w:rPr>
          <w:rFonts w:ascii="Arial" w:hAnsi="Arial" w:cs="Arial"/>
          <w:color w:val="auto"/>
          <w:sz w:val="24"/>
          <w:szCs w:val="24"/>
        </w:rPr>
        <w:t xml:space="preserve">the applicability of current </w:t>
      </w:r>
      <w:r w:rsidRPr="00E028E5">
        <w:rPr>
          <w:rFonts w:ascii="Arial" w:hAnsi="Arial" w:cs="Arial"/>
          <w:color w:val="auto"/>
          <w:sz w:val="24"/>
          <w:szCs w:val="24"/>
        </w:rPr>
        <w:t>nutrition recommendations and the role of carbohydrate in multi-match, multi-day tournaments.</w:t>
      </w:r>
    </w:p>
    <w:p w14:paraId="3F104A2D" w14:textId="77777777" w:rsidR="00AD2E4A" w:rsidRPr="001F05D9" w:rsidRDefault="00AD2E4A">
      <w:pPr>
        <w:pStyle w:val="NoSpacing"/>
        <w:spacing w:line="480" w:lineRule="auto"/>
        <w:rPr>
          <w:rFonts w:ascii="Arial" w:hAnsi="Arial" w:cs="Arial"/>
          <w:i/>
          <w:color w:val="auto"/>
          <w:lang w:val="en-US"/>
        </w:rPr>
      </w:pPr>
    </w:p>
    <w:p w14:paraId="178DB360" w14:textId="77777777" w:rsidR="005F5FCF" w:rsidRDefault="005F5FCF">
      <w:pPr>
        <w:pStyle w:val="NoSpacing"/>
        <w:spacing w:line="480" w:lineRule="auto"/>
        <w:rPr>
          <w:rFonts w:ascii="Arial" w:hAnsi="Arial" w:cs="Arial"/>
          <w:i/>
          <w:color w:val="auto"/>
          <w:lang w:val="en-US"/>
        </w:rPr>
      </w:pPr>
    </w:p>
    <w:p w14:paraId="32272226" w14:textId="77777777" w:rsidR="004A34CA" w:rsidRPr="001F05D9" w:rsidRDefault="00B5777A">
      <w:pPr>
        <w:pStyle w:val="NoSpacing"/>
        <w:spacing w:line="480" w:lineRule="auto"/>
        <w:rPr>
          <w:color w:val="auto"/>
        </w:rPr>
      </w:pPr>
      <w:r w:rsidRPr="001F05D9">
        <w:rPr>
          <w:rFonts w:ascii="Arial" w:hAnsi="Arial" w:cs="Arial"/>
          <w:i/>
          <w:color w:val="auto"/>
          <w:lang w:val="en-US"/>
        </w:rPr>
        <w:t>Key words:</w:t>
      </w:r>
      <w:r w:rsidRPr="001F05D9">
        <w:rPr>
          <w:rFonts w:ascii="Arial" w:hAnsi="Arial" w:cs="Arial"/>
          <w:color w:val="auto"/>
          <w:lang w:val="en-US"/>
        </w:rPr>
        <w:t xml:space="preserve"> Intermittent, macronutrients, GPS, accelerometer, nutrition</w:t>
      </w:r>
    </w:p>
    <w:p w14:paraId="2081BAC6" w14:textId="77777777" w:rsidR="00C86F99" w:rsidRDefault="00C86F99">
      <w:pPr>
        <w:pStyle w:val="NoSpacing"/>
        <w:spacing w:line="480" w:lineRule="auto"/>
        <w:rPr>
          <w:rFonts w:ascii="Arial" w:hAnsi="Arial" w:cs="Arial"/>
          <w:b/>
          <w:color w:val="auto"/>
        </w:rPr>
      </w:pPr>
    </w:p>
    <w:p w14:paraId="2255CF18" w14:textId="77777777" w:rsidR="004A34CA" w:rsidRPr="001F05D9" w:rsidRDefault="005E1321">
      <w:pPr>
        <w:pStyle w:val="NoSpacing"/>
        <w:spacing w:line="480" w:lineRule="auto"/>
        <w:rPr>
          <w:color w:val="auto"/>
        </w:rPr>
      </w:pPr>
      <w:r w:rsidRPr="001F05D9">
        <w:rPr>
          <w:rFonts w:ascii="Arial" w:hAnsi="Arial" w:cs="Arial"/>
          <w:b/>
          <w:color w:val="auto"/>
        </w:rPr>
        <w:lastRenderedPageBreak/>
        <w:t>Introduction</w:t>
      </w:r>
      <w:r w:rsidR="00B5777A" w:rsidRPr="001F05D9">
        <w:rPr>
          <w:rFonts w:ascii="Arial" w:hAnsi="Arial" w:cs="Arial"/>
          <w:b/>
          <w:color w:val="auto"/>
        </w:rPr>
        <w:t xml:space="preserve"> </w:t>
      </w:r>
    </w:p>
    <w:p w14:paraId="50F6838A" w14:textId="3533C531" w:rsidR="004A34CA" w:rsidRPr="001F05D9" w:rsidRDefault="00B5777A">
      <w:pPr>
        <w:spacing w:before="240" w:after="0" w:line="480" w:lineRule="auto"/>
        <w:jc w:val="both"/>
        <w:rPr>
          <w:color w:val="auto"/>
        </w:rPr>
      </w:pPr>
      <w:r w:rsidRPr="001F05D9">
        <w:rPr>
          <w:rFonts w:ascii="Arial" w:hAnsi="Arial" w:cs="Arial"/>
          <w:color w:val="auto"/>
        </w:rPr>
        <w:t>Touch rugby, or ‘Touch’, is a team sport characterised by frequent periods of high-intensity running interspersed with periods of low-intensity activity (Beaven et al., 2014). In the only study on movement characteristics of Touch match-play to date, international male players cover greater relative distance (137.1 ± 13.6 cf. 126.2 ± 17.2 m</w:t>
      </w:r>
      <w:r w:rsidRPr="001F05D9">
        <w:rPr>
          <w:rFonts w:ascii="Calibri" w:hAnsi="Calibri" w:cs="Arial"/>
          <w:color w:val="auto"/>
        </w:rPr>
        <w:t>∙</w:t>
      </w:r>
      <w:r w:rsidRPr="001F05D9">
        <w:rPr>
          <w:rFonts w:ascii="Arial" w:hAnsi="Arial" w:cs="Arial"/>
          <w:color w:val="auto"/>
        </w:rPr>
        <w:t>min</w:t>
      </w:r>
      <w:r w:rsidRPr="001F05D9">
        <w:rPr>
          <w:rFonts w:ascii="Arial" w:hAnsi="Arial" w:cs="Arial"/>
          <w:color w:val="auto"/>
          <w:vertAlign w:val="superscript"/>
        </w:rPr>
        <w:t>-1</w:t>
      </w:r>
      <w:r w:rsidRPr="001F05D9">
        <w:rPr>
          <w:rFonts w:ascii="Arial" w:hAnsi="Arial" w:cs="Arial"/>
          <w:color w:val="auto"/>
        </w:rPr>
        <w:t xml:space="preserve">), greater </w:t>
      </w:r>
      <w:r w:rsidR="008E1418">
        <w:rPr>
          <w:rFonts w:ascii="Arial" w:hAnsi="Arial" w:cs="Arial"/>
          <w:color w:val="auto"/>
        </w:rPr>
        <w:t>h</w:t>
      </w:r>
      <w:r w:rsidR="00FA6643">
        <w:rPr>
          <w:rFonts w:ascii="Arial" w:hAnsi="Arial" w:cs="Arial"/>
          <w:color w:val="auto"/>
        </w:rPr>
        <w:t>igh-</w:t>
      </w:r>
      <w:r w:rsidRPr="001F05D9">
        <w:rPr>
          <w:rFonts w:ascii="Arial" w:hAnsi="Arial" w:cs="Arial"/>
          <w:color w:val="auto"/>
        </w:rPr>
        <w:t>speed running (619.9 ± 155.2 cf. 564.9 ± 232.7 m) and very high-speed running (118.7 ± 59.9 cf. 68.4 ± 44.5 m), have a higher mean running speed (8.21 ± 0.76 cf. 7.51 ± 1.02 km</w:t>
      </w:r>
      <w:r w:rsidRPr="001F05D9">
        <w:rPr>
          <w:rFonts w:ascii="Calibri" w:hAnsi="Calibri" w:cs="Arial"/>
          <w:color w:val="auto"/>
        </w:rPr>
        <w:t>∙</w:t>
      </w:r>
      <w:r w:rsidRPr="001F05D9">
        <w:rPr>
          <w:rFonts w:ascii="Arial" w:hAnsi="Arial" w:cs="Arial"/>
          <w:color w:val="auto"/>
        </w:rPr>
        <w:t>h</w:t>
      </w:r>
      <w:r w:rsidRPr="001F05D9">
        <w:rPr>
          <w:rFonts w:ascii="Arial" w:hAnsi="Arial" w:cs="Arial"/>
          <w:color w:val="auto"/>
          <w:vertAlign w:val="superscript"/>
        </w:rPr>
        <w:t>-1</w:t>
      </w:r>
      <w:r w:rsidR="00152258">
        <w:rPr>
          <w:rFonts w:ascii="Arial" w:hAnsi="Arial" w:cs="Arial"/>
          <w:color w:val="auto"/>
        </w:rPr>
        <w:t>) and perform more high-</w:t>
      </w:r>
      <w:r w:rsidRPr="001F05D9">
        <w:rPr>
          <w:rFonts w:ascii="Arial" w:hAnsi="Arial" w:cs="Arial"/>
          <w:color w:val="auto"/>
        </w:rPr>
        <w:t xml:space="preserve">intensity efforts compared to regional players (Beaven et al., 2014). During an international match, these movements are performed during 16 and 24 minutes of activity distributed across approximately 9 bouts, each lasting between 2-4 minutes (Beaven et al., 2014). No similar data exists for female Touch players. Match-day squads comprise six active players and eight interchange players with an unlimited substitution rule. Players compete over two 20-minute </w:t>
      </w:r>
      <w:r w:rsidR="008E1418" w:rsidRPr="00163EC1">
        <w:rPr>
          <w:rFonts w:ascii="Arial" w:hAnsi="Arial" w:cs="Arial"/>
          <w:color w:val="FF0000"/>
        </w:rPr>
        <w:t>halves</w:t>
      </w:r>
      <w:r w:rsidRPr="001F05D9">
        <w:rPr>
          <w:rFonts w:ascii="Arial" w:hAnsi="Arial" w:cs="Arial"/>
          <w:color w:val="auto"/>
        </w:rPr>
        <w:t xml:space="preserve"> with a 3-minute half-time, with the sole objective of scoring more ‘touchdowns’ than the opposition (Federation of International Touch, 2008-2016). Touch is played in single- or mixed-sex squads and consists of three playing positions (wings, links and middles); a</w:t>
      </w:r>
      <w:r w:rsidR="00152258">
        <w:rPr>
          <w:rFonts w:ascii="Arial" w:hAnsi="Arial" w:cs="Arial"/>
          <w:color w:val="auto"/>
        </w:rPr>
        <w:t>ll of which are exposed to high-</w:t>
      </w:r>
      <w:r w:rsidRPr="001F05D9">
        <w:rPr>
          <w:rFonts w:ascii="Arial" w:hAnsi="Arial" w:cs="Arial"/>
          <w:color w:val="auto"/>
        </w:rPr>
        <w:t xml:space="preserve">intensity intermittent running for the duration of a match. Unlike other rugby codes, Touch does not involve kicking the ball, scrums or high-impact collisions but instead contact is limited to placing a hand on the ball-carrier, making the ‘touch’ (Beaven et al., 2014). </w:t>
      </w:r>
    </w:p>
    <w:p w14:paraId="1C212B56" w14:textId="77777777" w:rsidR="004A34CA" w:rsidRPr="001F05D9" w:rsidRDefault="004A34CA">
      <w:pPr>
        <w:spacing w:line="480" w:lineRule="auto"/>
        <w:jc w:val="both"/>
        <w:rPr>
          <w:color w:val="auto"/>
        </w:rPr>
      </w:pPr>
    </w:p>
    <w:p w14:paraId="3F8852CA" w14:textId="1D1E7454" w:rsidR="004A34CA" w:rsidRPr="001F05D9" w:rsidRDefault="00B5777A">
      <w:pPr>
        <w:spacing w:line="480" w:lineRule="auto"/>
        <w:jc w:val="both"/>
        <w:rPr>
          <w:color w:val="auto"/>
        </w:rPr>
      </w:pPr>
      <w:r w:rsidRPr="001F05D9">
        <w:rPr>
          <w:rFonts w:ascii="Arial" w:hAnsi="Arial" w:cs="Arial"/>
          <w:color w:val="auto"/>
        </w:rPr>
        <w:t xml:space="preserve">Given the activity profile described above, glycogen is undoubtedly an important substrate for energy production (Bangsbo et al., 2007) during Touch. Muscle glycogen concentrations decrease by ~40% after an 80-90 minute rugby and soccer match </w:t>
      </w:r>
      <w:r w:rsidRPr="001F05D9">
        <w:rPr>
          <w:rFonts w:ascii="Arial" w:hAnsi="Arial" w:cs="Arial"/>
          <w:color w:val="auto"/>
        </w:rPr>
        <w:lastRenderedPageBreak/>
        <w:t>(Bradley et al., 2016; Bangsbo et al., 2007). Whilst time in play is lower compared to soccer and rugby, mu</w:t>
      </w:r>
      <w:r w:rsidR="00101BAC">
        <w:rPr>
          <w:rFonts w:ascii="Arial" w:hAnsi="Arial" w:cs="Arial"/>
          <w:color w:val="auto"/>
        </w:rPr>
        <w:t>ltiple fixtures over a four</w:t>
      </w:r>
      <w:r w:rsidRPr="001F05D9">
        <w:rPr>
          <w:rFonts w:ascii="Arial" w:hAnsi="Arial" w:cs="Arial"/>
          <w:color w:val="auto"/>
        </w:rPr>
        <w:t xml:space="preserve">-day period </w:t>
      </w:r>
      <w:r w:rsidRPr="00163EC1">
        <w:rPr>
          <w:rFonts w:ascii="Arial" w:hAnsi="Arial" w:cs="Arial"/>
          <w:color w:val="FF0000"/>
        </w:rPr>
        <w:t>mean</w:t>
      </w:r>
      <w:r w:rsidR="008E1418" w:rsidRPr="00163EC1">
        <w:rPr>
          <w:rFonts w:ascii="Arial" w:hAnsi="Arial" w:cs="Arial"/>
          <w:color w:val="FF0000"/>
        </w:rPr>
        <w:t>s</w:t>
      </w:r>
      <w:r w:rsidRPr="001F05D9">
        <w:rPr>
          <w:rFonts w:ascii="Arial" w:hAnsi="Arial" w:cs="Arial"/>
          <w:color w:val="auto"/>
        </w:rPr>
        <w:t xml:space="preserve"> that muscle glycogen is important and potentially performance limiting (Holway &amp; Spriet, 2011). </w:t>
      </w:r>
      <w:r w:rsidRPr="001F05D9">
        <w:rPr>
          <w:rFonts w:ascii="Arial" w:hAnsi="Arial" w:cs="Arial"/>
          <w:color w:val="auto"/>
          <w:szCs w:val="22"/>
          <w:lang w:val="en-US"/>
        </w:rPr>
        <w:t>Despite no published data on effects of repeated high-intensity matches over consecutive days, this physical load is likely to result in disturbances to metabolic homeostasis and other central and peripheral factors of fatigue (Dziedzic and Higham, 2014).</w:t>
      </w:r>
    </w:p>
    <w:p w14:paraId="6BDCF356" w14:textId="77777777" w:rsidR="004A34CA" w:rsidRPr="001F05D9" w:rsidRDefault="004A34CA">
      <w:pPr>
        <w:spacing w:line="480" w:lineRule="auto"/>
        <w:jc w:val="both"/>
        <w:rPr>
          <w:color w:val="auto"/>
        </w:rPr>
      </w:pPr>
    </w:p>
    <w:p w14:paraId="16700FEC" w14:textId="0145D306" w:rsidR="004A34CA" w:rsidRPr="001F05D9" w:rsidRDefault="00B5777A" w:rsidP="001F05D9">
      <w:pPr>
        <w:spacing w:line="480" w:lineRule="auto"/>
        <w:jc w:val="both"/>
        <w:rPr>
          <w:color w:val="auto"/>
        </w:rPr>
      </w:pPr>
      <w:r w:rsidRPr="001F05D9">
        <w:rPr>
          <w:rFonts w:ascii="Arial" w:hAnsi="Arial" w:cs="Arial"/>
          <w:color w:val="auto"/>
        </w:rPr>
        <w:t>Due to challenges associated with calorimetry to assess energy expenditure (EE) in an applied sport setting (Bluck, 2008)</w:t>
      </w:r>
      <w:r w:rsidR="00B95BE0" w:rsidRPr="00163EC1">
        <w:rPr>
          <w:rFonts w:ascii="Arial" w:hAnsi="Arial" w:cs="Arial"/>
          <w:color w:val="FF0000"/>
        </w:rPr>
        <w:t>,</w:t>
      </w:r>
      <w:r w:rsidRPr="001F05D9">
        <w:rPr>
          <w:rFonts w:ascii="Arial" w:hAnsi="Arial" w:cs="Arial"/>
          <w:color w:val="auto"/>
        </w:rPr>
        <w:t xml:space="preserve"> a combination of methods is often required. Accelerometer devices can be combined with body-mass derived estimates (ten Haaf &amp; Weijs, 2014) of resting energy expenditure (REE) to estimate total daily energy expenditure (TDEE) (Drenowatz &amp; Eisenmann, 2011). Accelerometers provide valid and reliable measures of physical activity (Hills et al., 2014) and have been used in team sports to estimate EE (Briggs et al., 2015). However, the use of such devices is prohibited during Touch matches and is likely to underestimate EE during high-intensity intermittent exercise (Drenowatz &amp; Eisenmann, 2011). </w:t>
      </w:r>
      <w:r w:rsidRPr="001F05D9">
        <w:rPr>
          <w:rFonts w:ascii="Arial" w:hAnsi="Arial" w:cs="Arial"/>
          <w:iCs/>
          <w:color w:val="auto"/>
          <w:lang w:val="en-US"/>
        </w:rPr>
        <w:t>Wearable micro-technology incorporating Global Position Systems (GPS), a 100 Hz tri-axial accelerometer, gyroscope and magnetometer have been proposed as practical and non-invasive methods to quantify exercise EE using a metabolic power model (di Prampero et al. 2005). This approach provides an instantaneous estimate of the amount of energy required, per unit of time, to reconstitute ATP used for work (di Prampero et al., 2005). Metabolic power is estimated using measures of velocity and acceleration captured by a micro-technology device. Although metabolic power parameters underestimate overall EE (Buchheit et al., 2015) when compared to open-</w:t>
      </w:r>
      <w:r w:rsidRPr="001F05D9">
        <w:rPr>
          <w:rFonts w:ascii="Arial" w:hAnsi="Arial" w:cs="Arial"/>
          <w:iCs/>
          <w:color w:val="auto"/>
          <w:lang w:val="en-US"/>
        </w:rPr>
        <w:lastRenderedPageBreak/>
        <w:t>circuit spirometry (i.e. 7.2 ± 1.0 cf. 13.2 ± 3.2 Kcal</w:t>
      </w:r>
      <w:r w:rsidRPr="001F05D9">
        <w:rPr>
          <w:rFonts w:ascii="Calibri" w:hAnsi="Calibri" w:cs="Arial"/>
          <w:iCs/>
          <w:color w:val="auto"/>
          <w:lang w:val="en-US"/>
        </w:rPr>
        <w:t>∙</w:t>
      </w:r>
      <w:r w:rsidRPr="001F05D9">
        <w:rPr>
          <w:rFonts w:ascii="Arial" w:hAnsi="Arial" w:cs="Arial"/>
          <w:iCs/>
          <w:color w:val="auto"/>
          <w:lang w:val="en-US"/>
        </w:rPr>
        <w:t>min</w:t>
      </w:r>
      <w:r w:rsidRPr="001F05D9">
        <w:rPr>
          <w:rFonts w:ascii="Arial" w:hAnsi="Arial" w:cs="Arial"/>
          <w:iCs/>
          <w:color w:val="auto"/>
          <w:vertAlign w:val="superscript"/>
          <w:lang w:val="en-US"/>
        </w:rPr>
        <w:t>-1</w:t>
      </w:r>
      <w:r w:rsidRPr="001F05D9">
        <w:rPr>
          <w:rFonts w:ascii="Arial" w:hAnsi="Arial" w:cs="Arial"/>
          <w:iCs/>
          <w:color w:val="auto"/>
          <w:lang w:val="en-US"/>
        </w:rPr>
        <w:t>; Highton et al., 2016), it possesses a stronger association with EE (</w:t>
      </w:r>
      <w:r w:rsidRPr="001F05D9">
        <w:rPr>
          <w:rFonts w:ascii="Arial" w:hAnsi="Arial" w:cs="Arial"/>
          <w:i/>
          <w:iCs/>
          <w:color w:val="auto"/>
          <w:lang w:val="en-US"/>
        </w:rPr>
        <w:t>r</w:t>
      </w:r>
      <w:r w:rsidRPr="001F05D9">
        <w:rPr>
          <w:rFonts w:ascii="Arial" w:hAnsi="Arial" w:cs="Arial"/>
          <w:iCs/>
          <w:color w:val="auto"/>
          <w:lang w:val="en-US"/>
        </w:rPr>
        <w:t xml:space="preserve"> = 0.63) t</w:t>
      </w:r>
      <w:r w:rsidR="00A332CA">
        <w:rPr>
          <w:rFonts w:ascii="Arial" w:hAnsi="Arial" w:cs="Arial"/>
          <w:iCs/>
          <w:color w:val="auto"/>
          <w:lang w:val="en-US"/>
        </w:rPr>
        <w:t>han other measures such as high-</w:t>
      </w:r>
      <w:r w:rsidRPr="001F05D9">
        <w:rPr>
          <w:rFonts w:ascii="Arial" w:hAnsi="Arial" w:cs="Arial"/>
          <w:iCs/>
          <w:color w:val="auto"/>
          <w:lang w:val="en-US"/>
        </w:rPr>
        <w:t>speed distance (</w:t>
      </w:r>
      <w:r w:rsidRPr="001F05D9">
        <w:rPr>
          <w:rFonts w:ascii="Arial" w:hAnsi="Arial" w:cs="Arial"/>
          <w:i/>
          <w:iCs/>
          <w:color w:val="auto"/>
          <w:lang w:val="en-US"/>
        </w:rPr>
        <w:t>r</w:t>
      </w:r>
      <w:r w:rsidRPr="001F05D9">
        <w:rPr>
          <w:rFonts w:ascii="Arial" w:hAnsi="Arial" w:cs="Arial"/>
          <w:iCs/>
          <w:color w:val="auto"/>
          <w:lang w:val="en-US"/>
        </w:rPr>
        <w:t xml:space="preserve"> = 0.50) or Player Load™ (</w:t>
      </w:r>
      <w:r w:rsidRPr="001F05D9">
        <w:rPr>
          <w:rFonts w:ascii="Arial" w:hAnsi="Arial" w:cs="Arial"/>
          <w:i/>
          <w:iCs/>
          <w:color w:val="auto"/>
          <w:lang w:val="en-US"/>
        </w:rPr>
        <w:t>r</w:t>
      </w:r>
      <w:r w:rsidRPr="001F05D9">
        <w:rPr>
          <w:rFonts w:ascii="Arial" w:hAnsi="Arial" w:cs="Arial"/>
          <w:iCs/>
          <w:color w:val="auto"/>
          <w:lang w:val="en-US"/>
        </w:rPr>
        <w:t xml:space="preserve"> = 0.37; Highton et al., 2016). Given this method has been employed with other non-contact team sports (Polglaze et al., 2017), the metabolic power model offers a useful approach to understand the energy demands of Touch.</w:t>
      </w:r>
    </w:p>
    <w:p w14:paraId="641F96F1" w14:textId="77777777" w:rsidR="004A34CA" w:rsidRPr="001F05D9" w:rsidRDefault="004A34CA">
      <w:pPr>
        <w:widowControl w:val="0"/>
        <w:spacing w:line="480" w:lineRule="auto"/>
        <w:jc w:val="both"/>
        <w:rPr>
          <w:color w:val="auto"/>
        </w:rPr>
      </w:pPr>
    </w:p>
    <w:p w14:paraId="2AEE7CF6" w14:textId="0A2EDA06" w:rsidR="00AD2E4A" w:rsidRPr="001F05D9" w:rsidRDefault="00B5777A" w:rsidP="001F05D9">
      <w:pPr>
        <w:widowControl w:val="0"/>
        <w:spacing w:line="480" w:lineRule="auto"/>
        <w:jc w:val="both"/>
        <w:rPr>
          <w:rFonts w:ascii="Arial" w:hAnsi="Arial" w:cs="Arial"/>
          <w:color w:val="auto"/>
          <w:lang w:val="en-US"/>
        </w:rPr>
      </w:pPr>
      <w:r w:rsidRPr="001F05D9">
        <w:rPr>
          <w:rFonts w:ascii="Arial" w:hAnsi="Arial" w:cs="Arial"/>
          <w:color w:val="auto"/>
        </w:rPr>
        <w:t>Understanding the nutritional intake of an athlete enables sports nutritionists to advise on appropriate interventions that can improve health and performance (Rosenbloom et al., 2006). While data are available regarding the nutritional practices of female soccer (Noack et al., 2016; Martin et al., 2006; Clark et al., 2003), volleyball (Zourdos et al., 2015), hockey (Macleod &amp; Sunderland, 2009) and netball (Heaney et al., 2010), information on nutritional practices of elite female Touch players remains absent. P</w:t>
      </w:r>
      <w:r w:rsidRPr="001F05D9">
        <w:rPr>
          <w:rFonts w:ascii="Arial" w:eastAsia="Calibri" w:hAnsi="Arial" w:cs="Arial"/>
          <w:color w:val="auto"/>
        </w:rPr>
        <w:t>revious studies demonstrate that female team-sport athletes do not meet their energy needs (Noack et al., 2016; Zourdos et al., 2015; Clark et al., 2003) with</w:t>
      </w:r>
      <w:r w:rsidRPr="001F05D9">
        <w:rPr>
          <w:rFonts w:ascii="Arial" w:hAnsi="Arial" w:cs="Arial"/>
          <w:color w:val="auto"/>
        </w:rPr>
        <w:t xml:space="preserve"> lower carbohydrate (CHO) intakes reported compared to sports nutrition recommendations (Thomas et al., 2016; </w:t>
      </w:r>
      <w:r w:rsidRPr="001F05D9">
        <w:rPr>
          <w:rFonts w:ascii="Arial" w:hAnsi="Arial" w:cs="Arial"/>
          <w:color w:val="auto"/>
          <w:lang w:val="en-US"/>
        </w:rPr>
        <w:t>Burke et al., 2011</w:t>
      </w:r>
      <w:r w:rsidRPr="001F05D9">
        <w:rPr>
          <w:rFonts w:ascii="Arial" w:hAnsi="Arial" w:cs="Arial"/>
          <w:color w:val="auto"/>
        </w:rPr>
        <w:t xml:space="preserve">). Sub-optimal energy and CHO intakes have been attributed to players wishing to maintain low body mass or due to under-reporting in self-reported food diaries (Rosenbloom et al., 2006). A limited availability of snacks or appropriate food choices whilst touring might contribute to this (Dziedzic &amp; Higham, 2014). </w:t>
      </w:r>
      <w:r w:rsidRPr="001F05D9">
        <w:rPr>
          <w:rFonts w:ascii="Arial" w:eastAsia="Times New Roman" w:hAnsi="Arial" w:cs="Arial"/>
          <w:color w:val="auto"/>
        </w:rPr>
        <w:t xml:space="preserve">An acute sub-optimal energy and CHO intake has </w:t>
      </w:r>
      <w:r w:rsidRPr="001F05D9">
        <w:rPr>
          <w:rFonts w:ascii="Arial" w:hAnsi="Arial" w:cs="Arial"/>
          <w:color w:val="auto"/>
          <w:lang w:val="en-US"/>
        </w:rPr>
        <w:t xml:space="preserve">potential implications for players’ performances including; reductions </w:t>
      </w:r>
      <w:r w:rsidR="00B00DEC">
        <w:rPr>
          <w:rFonts w:ascii="Arial" w:hAnsi="Arial" w:cs="Arial"/>
          <w:color w:val="auto"/>
          <w:lang w:val="en-US"/>
        </w:rPr>
        <w:t>in high-</w:t>
      </w:r>
      <w:r w:rsidRPr="001F05D9">
        <w:rPr>
          <w:rFonts w:ascii="Arial" w:hAnsi="Arial" w:cs="Arial"/>
          <w:color w:val="auto"/>
          <w:lang w:val="en-US"/>
        </w:rPr>
        <w:t>intensity running (</w:t>
      </w:r>
      <w:r w:rsidRPr="001F05D9">
        <w:rPr>
          <w:rFonts w:ascii="Arial" w:eastAsia="Times New Roman" w:hAnsi="Arial" w:cs="Arial"/>
          <w:color w:val="auto"/>
        </w:rPr>
        <w:t xml:space="preserve">Bradley et al., 2016), </w:t>
      </w:r>
      <w:r w:rsidRPr="001F05D9">
        <w:rPr>
          <w:rFonts w:ascii="Arial" w:hAnsi="Arial" w:cs="Arial"/>
          <w:color w:val="auto"/>
          <w:lang w:val="en-US"/>
        </w:rPr>
        <w:t xml:space="preserve">impaired decision-making (Winnick et al., 2005) and delayed recovery (Burke et al., 2006). </w:t>
      </w:r>
      <w:r w:rsidRPr="001F05D9">
        <w:rPr>
          <w:rFonts w:ascii="Arial" w:eastAsia="Times New Roman" w:hAnsi="Arial" w:cs="Arial"/>
          <w:color w:val="auto"/>
        </w:rPr>
        <w:t xml:space="preserve">In an attempt to understand the nutritional practices of elite female Touch </w:t>
      </w:r>
      <w:r w:rsidRPr="001F05D9">
        <w:rPr>
          <w:rFonts w:ascii="Arial" w:eastAsia="Times New Roman" w:hAnsi="Arial" w:cs="Arial"/>
          <w:color w:val="auto"/>
        </w:rPr>
        <w:lastRenderedPageBreak/>
        <w:t xml:space="preserve">players during competition involving multiple matches on consecutive days, </w:t>
      </w:r>
      <w:r w:rsidRPr="001F05D9">
        <w:rPr>
          <w:rFonts w:ascii="Arial" w:hAnsi="Arial" w:cs="Arial"/>
          <w:color w:val="auto"/>
        </w:rPr>
        <w:t xml:space="preserve">the aims of this study were to 1) quantify TDEE and energy intake (EI) of elite female Touch players during an international competition and 2) to determine whether players were meeting the current sports nutrition recommendations. </w:t>
      </w:r>
    </w:p>
    <w:p w14:paraId="1A3CA1F1" w14:textId="77777777" w:rsidR="005E1321" w:rsidRPr="001F05D9" w:rsidRDefault="005E1321" w:rsidP="00AD2E4A">
      <w:pPr>
        <w:widowControl w:val="0"/>
        <w:spacing w:after="240" w:line="480" w:lineRule="auto"/>
        <w:jc w:val="both"/>
        <w:rPr>
          <w:color w:val="auto"/>
        </w:rPr>
      </w:pPr>
    </w:p>
    <w:p w14:paraId="231D5359" w14:textId="77777777" w:rsidR="004A34CA" w:rsidRPr="001F05D9" w:rsidRDefault="00B5777A">
      <w:pPr>
        <w:spacing w:line="480" w:lineRule="auto"/>
        <w:rPr>
          <w:color w:val="auto"/>
        </w:rPr>
      </w:pPr>
      <w:r w:rsidRPr="001F05D9">
        <w:rPr>
          <w:rFonts w:ascii="Arial" w:hAnsi="Arial" w:cs="Arial"/>
          <w:b/>
          <w:color w:val="auto"/>
        </w:rPr>
        <w:t>M</w:t>
      </w:r>
      <w:r w:rsidR="005E1321" w:rsidRPr="001F05D9">
        <w:rPr>
          <w:rFonts w:ascii="Arial" w:hAnsi="Arial" w:cs="Arial"/>
          <w:b/>
          <w:color w:val="auto"/>
        </w:rPr>
        <w:t>ethods</w:t>
      </w:r>
    </w:p>
    <w:p w14:paraId="37134B09" w14:textId="77777777" w:rsidR="004A34CA" w:rsidRPr="001F05D9" w:rsidRDefault="00B5777A">
      <w:pPr>
        <w:spacing w:line="480" w:lineRule="auto"/>
        <w:jc w:val="both"/>
        <w:rPr>
          <w:color w:val="auto"/>
        </w:rPr>
      </w:pPr>
      <w:r w:rsidRPr="001F05D9">
        <w:rPr>
          <w:rFonts w:ascii="Arial" w:hAnsi="Arial" w:cs="Arial"/>
          <w:b/>
          <w:color w:val="auto"/>
        </w:rPr>
        <w:t>Overall Study Design</w:t>
      </w:r>
    </w:p>
    <w:p w14:paraId="7A32599B" w14:textId="77777777" w:rsidR="005E1321" w:rsidRDefault="00B5777A">
      <w:pPr>
        <w:spacing w:line="480" w:lineRule="auto"/>
        <w:jc w:val="both"/>
        <w:rPr>
          <w:rFonts w:ascii="Arial" w:hAnsi="Arial" w:cs="Arial"/>
          <w:color w:val="auto"/>
        </w:rPr>
      </w:pPr>
      <w:r w:rsidRPr="001F05D9">
        <w:rPr>
          <w:rFonts w:ascii="Arial" w:hAnsi="Arial" w:cs="Arial"/>
          <w:color w:val="auto"/>
        </w:rPr>
        <w:t xml:space="preserve">Using an observational approach, total daily energy expenditure (TDEE) and energy intake (EI) was collected for elite female Touch players during an international Touch tournament in 2016 where players were involved in 6 to 9 (mean ± SD: 8.0 ± 1.0) matches over a four-day period, including a final on day four. Micro-technology was used to estimate energy expenditure (EE) during competition and non-competition periods. Participants completed a four-day food diary to assess their energy and macronutrient intakes. </w:t>
      </w:r>
    </w:p>
    <w:p w14:paraId="78A47821" w14:textId="77777777" w:rsidR="005F5FCF" w:rsidRPr="005F5FCF" w:rsidRDefault="005F5FCF">
      <w:pPr>
        <w:spacing w:line="480" w:lineRule="auto"/>
        <w:jc w:val="both"/>
        <w:rPr>
          <w:rFonts w:ascii="Arial" w:hAnsi="Arial" w:cs="Arial"/>
          <w:color w:val="auto"/>
        </w:rPr>
      </w:pPr>
    </w:p>
    <w:p w14:paraId="58A18EAF" w14:textId="77777777" w:rsidR="004A34CA" w:rsidRPr="001F05D9" w:rsidRDefault="00B5777A">
      <w:pPr>
        <w:spacing w:line="480" w:lineRule="auto"/>
        <w:jc w:val="both"/>
        <w:rPr>
          <w:color w:val="auto"/>
        </w:rPr>
      </w:pPr>
      <w:r w:rsidRPr="001F05D9">
        <w:rPr>
          <w:rFonts w:ascii="Arial" w:hAnsi="Arial" w:cs="Arial"/>
          <w:b/>
          <w:color w:val="auto"/>
        </w:rPr>
        <w:t>Participants</w:t>
      </w:r>
    </w:p>
    <w:p w14:paraId="48EBC3CA" w14:textId="56DF4F64" w:rsidR="004A34CA" w:rsidRPr="001F05D9" w:rsidRDefault="00B5777A">
      <w:pPr>
        <w:spacing w:line="480" w:lineRule="auto"/>
        <w:jc w:val="both"/>
        <w:rPr>
          <w:rFonts w:ascii="Arial" w:hAnsi="Arial" w:cs="Arial"/>
          <w:color w:val="auto"/>
        </w:rPr>
      </w:pPr>
      <w:r w:rsidRPr="001F05D9">
        <w:rPr>
          <w:rFonts w:ascii="Arial" w:hAnsi="Arial" w:cs="Arial"/>
          <w:color w:val="auto"/>
        </w:rPr>
        <w:t xml:space="preserve">With institutional ethics approval and informed consent obtained, 16 elite female Touch players (age </w:t>
      </w:r>
      <w:r w:rsidRPr="001F05D9">
        <w:rPr>
          <w:rFonts w:ascii="Arial" w:eastAsia="Times New Roman" w:hAnsi="Arial" w:cs="Arial"/>
          <w:color w:val="auto"/>
        </w:rPr>
        <w:t xml:space="preserve">27.4 </w:t>
      </w:r>
      <w:r w:rsidRPr="001F05D9">
        <w:rPr>
          <w:rFonts w:ascii="Arial" w:hAnsi="Arial" w:cs="Arial"/>
          <w:color w:val="auto"/>
        </w:rPr>
        <w:t xml:space="preserve">± 6.2 years, stature </w:t>
      </w:r>
      <w:r w:rsidRPr="001F05D9">
        <w:rPr>
          <w:rFonts w:ascii="Arial" w:eastAsia="Times New Roman" w:hAnsi="Arial" w:cs="Arial"/>
          <w:color w:val="auto"/>
        </w:rPr>
        <w:t xml:space="preserve">163 </w:t>
      </w:r>
      <w:r w:rsidRPr="001F05D9">
        <w:rPr>
          <w:rFonts w:ascii="Arial" w:hAnsi="Arial" w:cs="Arial"/>
          <w:color w:val="auto"/>
        </w:rPr>
        <w:t xml:space="preserve">± 6.0 cm, body mass </w:t>
      </w:r>
      <w:r w:rsidRPr="001F05D9">
        <w:rPr>
          <w:rFonts w:ascii="Arial" w:eastAsia="Times New Roman" w:hAnsi="Arial" w:cs="Arial"/>
          <w:color w:val="auto"/>
        </w:rPr>
        <w:t xml:space="preserve">60.0 </w:t>
      </w:r>
      <w:r w:rsidRPr="001F05D9">
        <w:rPr>
          <w:rFonts w:ascii="Arial" w:hAnsi="Arial" w:cs="Arial"/>
          <w:color w:val="auto"/>
        </w:rPr>
        <w:t>± 6.5 kg) from an international squad volunteered for this study. Data were collected during a 2016 international tournament (temperatu</w:t>
      </w:r>
      <w:r w:rsidR="00E21A80">
        <w:rPr>
          <w:rFonts w:ascii="Arial" w:hAnsi="Arial" w:cs="Arial"/>
          <w:color w:val="auto"/>
        </w:rPr>
        <w:t>re 18 ± 2°C, humidity 86 ± 8%).</w:t>
      </w:r>
      <w:r w:rsidR="002C5776">
        <w:rPr>
          <w:rFonts w:ascii="Arial" w:hAnsi="Arial" w:cs="Arial"/>
          <w:color w:val="auto"/>
        </w:rPr>
        <w:t xml:space="preserve"> Players were familiarised</w:t>
      </w:r>
      <w:r w:rsidRPr="001F05D9">
        <w:rPr>
          <w:rFonts w:ascii="Arial" w:hAnsi="Arial" w:cs="Arial"/>
          <w:color w:val="auto"/>
        </w:rPr>
        <w:t xml:space="preserve"> with the testing procedures during a previous training camp. All </w:t>
      </w:r>
      <w:r w:rsidRPr="001F05D9">
        <w:rPr>
          <w:rFonts w:ascii="Arial" w:hAnsi="Arial" w:cs="Arial"/>
          <w:color w:val="auto"/>
        </w:rPr>
        <w:lastRenderedPageBreak/>
        <w:t>participants were free of injury as confirmed by the organisation’s Head of Medical Services.</w:t>
      </w:r>
    </w:p>
    <w:p w14:paraId="17C2EBA9" w14:textId="77777777" w:rsidR="005E1321" w:rsidRPr="001F05D9" w:rsidRDefault="005E1321">
      <w:pPr>
        <w:spacing w:line="480" w:lineRule="auto"/>
        <w:jc w:val="both"/>
        <w:rPr>
          <w:color w:val="auto"/>
        </w:rPr>
      </w:pPr>
    </w:p>
    <w:p w14:paraId="2BD76C9E" w14:textId="77777777" w:rsidR="004A34CA" w:rsidRPr="001F05D9" w:rsidRDefault="00B5777A">
      <w:pPr>
        <w:spacing w:line="480" w:lineRule="auto"/>
        <w:jc w:val="both"/>
        <w:rPr>
          <w:color w:val="auto"/>
        </w:rPr>
      </w:pPr>
      <w:r w:rsidRPr="001F05D9">
        <w:rPr>
          <w:rFonts w:ascii="Arial" w:hAnsi="Arial" w:cs="Arial"/>
          <w:b/>
          <w:color w:val="auto"/>
        </w:rPr>
        <w:t>Procedures</w:t>
      </w:r>
      <w:r w:rsidRPr="001F05D9">
        <w:rPr>
          <w:rFonts w:ascii="Arial" w:hAnsi="Arial" w:cs="Arial"/>
          <w:i/>
          <w:color w:val="auto"/>
        </w:rPr>
        <w:t xml:space="preserve"> </w:t>
      </w:r>
    </w:p>
    <w:p w14:paraId="026EA20C" w14:textId="77777777" w:rsidR="004A34CA" w:rsidRPr="001F05D9" w:rsidRDefault="00B5777A">
      <w:pPr>
        <w:spacing w:line="480" w:lineRule="auto"/>
        <w:jc w:val="both"/>
        <w:rPr>
          <w:color w:val="auto"/>
        </w:rPr>
      </w:pPr>
      <w:r w:rsidRPr="001F05D9">
        <w:rPr>
          <w:rFonts w:ascii="Arial" w:hAnsi="Arial" w:cs="Arial"/>
          <w:i/>
          <w:color w:val="auto"/>
        </w:rPr>
        <w:t xml:space="preserve">Tournament Structure and Facilities </w:t>
      </w:r>
    </w:p>
    <w:p w14:paraId="694B661F" w14:textId="77777777" w:rsidR="004A34CA" w:rsidRPr="001F05D9" w:rsidRDefault="00B5777A">
      <w:pPr>
        <w:spacing w:line="480" w:lineRule="auto"/>
        <w:jc w:val="both"/>
        <w:rPr>
          <w:rFonts w:ascii="Arial" w:eastAsia="Times New Roman" w:hAnsi="Arial" w:cs="Arial"/>
          <w:color w:val="auto"/>
          <w:lang w:eastAsia="en-GB"/>
        </w:rPr>
      </w:pPr>
      <w:r w:rsidRPr="001F05D9">
        <w:rPr>
          <w:rFonts w:ascii="Arial" w:hAnsi="Arial" w:cs="Arial"/>
          <w:color w:val="auto"/>
        </w:rPr>
        <w:t>Table 1 outlines the structure of the tournament. Players had a minimum of 1 h 40 min and a maximum of 4 h 20 min between matches to rest once pre-match preparation, a post-match debrief and cool down was accounted for.</w:t>
      </w:r>
      <w:r w:rsidRPr="001F05D9">
        <w:rPr>
          <w:rFonts w:ascii="Arial" w:hAnsi="Arial" w:cs="Arial"/>
          <w:i/>
          <w:color w:val="auto"/>
        </w:rPr>
        <w:t xml:space="preserve"> </w:t>
      </w:r>
      <w:r w:rsidRPr="001F05D9">
        <w:rPr>
          <w:rFonts w:ascii="Arial" w:eastAsia="Times New Roman" w:hAnsi="Arial" w:cs="Arial"/>
          <w:color w:val="auto"/>
          <w:lang w:eastAsia="en-GB"/>
        </w:rPr>
        <w:t>There was limited onsite catering and no in-house self-catering facilities in players’ accommodation, meaning players were required to be self-sufficient in planning, preparing and bringing their own nutrition and hydration supplies for the duration of the tournament.</w:t>
      </w:r>
    </w:p>
    <w:p w14:paraId="0C99A336" w14:textId="77777777" w:rsidR="005E1321" w:rsidRPr="001F05D9" w:rsidRDefault="005E1321">
      <w:pPr>
        <w:spacing w:line="480" w:lineRule="auto"/>
        <w:jc w:val="both"/>
        <w:rPr>
          <w:color w:val="auto"/>
        </w:rPr>
      </w:pPr>
    </w:p>
    <w:p w14:paraId="7D1700F7" w14:textId="77777777" w:rsidR="004A34CA" w:rsidRPr="001F05D9" w:rsidRDefault="00B5777A">
      <w:pPr>
        <w:spacing w:line="480" w:lineRule="auto"/>
        <w:jc w:val="both"/>
        <w:rPr>
          <w:color w:val="auto"/>
        </w:rPr>
      </w:pPr>
      <w:r w:rsidRPr="001F05D9">
        <w:rPr>
          <w:rFonts w:ascii="Arial" w:hAnsi="Arial" w:cs="Arial"/>
          <w:i/>
          <w:color w:val="auto"/>
        </w:rPr>
        <w:t xml:space="preserve">Measurement of Energy Expenditure </w:t>
      </w:r>
    </w:p>
    <w:p w14:paraId="768D0654" w14:textId="77405892" w:rsidR="004A34CA" w:rsidRPr="001F05D9" w:rsidRDefault="00B5777A">
      <w:pPr>
        <w:spacing w:line="480" w:lineRule="auto"/>
        <w:jc w:val="both"/>
        <w:rPr>
          <w:color w:val="auto"/>
        </w:rPr>
      </w:pPr>
      <w:r w:rsidRPr="001F05D9">
        <w:rPr>
          <w:rFonts w:ascii="Arial" w:hAnsi="Arial" w:cs="Arial"/>
          <w:color w:val="FF0000"/>
        </w:rPr>
        <w:t>Ac</w:t>
      </w:r>
      <w:r w:rsidR="001F05D9" w:rsidRPr="001F05D9">
        <w:rPr>
          <w:rFonts w:ascii="Arial" w:hAnsi="Arial" w:cs="Arial"/>
          <w:color w:val="FF0000"/>
        </w:rPr>
        <w:t>celerometer</w:t>
      </w:r>
      <w:r w:rsidR="007D7462" w:rsidRPr="007D7462">
        <w:rPr>
          <w:rFonts w:ascii="Arial" w:hAnsi="Arial" w:cs="Arial"/>
          <w:color w:val="FF0000"/>
        </w:rPr>
        <w:t>s</w:t>
      </w:r>
      <w:r w:rsidR="007D7462">
        <w:rPr>
          <w:rFonts w:ascii="Arial" w:hAnsi="Arial" w:cs="Arial"/>
          <w:color w:val="auto"/>
        </w:rPr>
        <w:t xml:space="preserve"> </w:t>
      </w:r>
      <w:r w:rsidRPr="001F05D9">
        <w:rPr>
          <w:rFonts w:ascii="Arial" w:hAnsi="Arial" w:cs="Arial"/>
          <w:color w:val="auto"/>
        </w:rPr>
        <w:t xml:space="preserve">(10 of GT9X-link and 6 of GT3X-BT; </w:t>
      </w:r>
      <w:r w:rsidRPr="001F05D9">
        <w:rPr>
          <w:rFonts w:ascii="Arial" w:eastAsia="Times New Roman" w:hAnsi="Arial" w:cs="Arial"/>
          <w:color w:val="auto"/>
        </w:rPr>
        <w:t>ActiGraph, Pensacola, USA</w:t>
      </w:r>
      <w:r w:rsidRPr="001F05D9">
        <w:rPr>
          <w:rFonts w:ascii="Arial" w:hAnsi="Arial" w:cs="Arial"/>
          <w:color w:val="auto"/>
        </w:rPr>
        <w:t>) were initialised with participant characteristics before the data collection period and the sampling frequency was set at 30 Hz (Brønd &amp; Ar</w:t>
      </w:r>
      <w:r w:rsidR="0079100C">
        <w:rPr>
          <w:rFonts w:ascii="Arial" w:hAnsi="Arial" w:cs="Arial"/>
          <w:color w:val="auto"/>
        </w:rPr>
        <w:t>vidsson, 2016).</w:t>
      </w:r>
      <w:r w:rsidRPr="001F05D9">
        <w:rPr>
          <w:rFonts w:ascii="Arial" w:hAnsi="Arial" w:cs="Arial"/>
          <w:color w:val="auto"/>
        </w:rPr>
        <w:t xml:space="preserve"> Two models were used due to equipment availability. Both devices use the same micro-technology. They differ in battery life, mass and the GT3X-BT model lacks a display screen. Each participant wore the same accelerometer device on their dominant wrist at all times outside of match-play which was only removed once the GPS device was fitted pre-match or during exposure to water.</w:t>
      </w:r>
    </w:p>
    <w:p w14:paraId="1B38B56F" w14:textId="77777777" w:rsidR="004A34CA" w:rsidRPr="001F05D9" w:rsidRDefault="004A34CA">
      <w:pPr>
        <w:spacing w:line="480" w:lineRule="auto"/>
        <w:jc w:val="both"/>
        <w:rPr>
          <w:color w:val="auto"/>
        </w:rPr>
      </w:pPr>
    </w:p>
    <w:p w14:paraId="699532F9" w14:textId="77777777" w:rsidR="004A34CA" w:rsidRPr="001F05D9" w:rsidRDefault="00B5777A">
      <w:pPr>
        <w:spacing w:line="480" w:lineRule="auto"/>
        <w:jc w:val="both"/>
        <w:rPr>
          <w:color w:val="auto"/>
        </w:rPr>
      </w:pPr>
      <w:r w:rsidRPr="001F05D9">
        <w:rPr>
          <w:rFonts w:ascii="Arial" w:hAnsi="Arial" w:cs="Arial"/>
          <w:color w:val="auto"/>
        </w:rPr>
        <w:lastRenderedPageBreak/>
        <w:t xml:space="preserve">A body mass-based predictive equation validated in athletes of a similar standard (aged 18-35 years) (ten Haaf &amp; Weijs, 2014) was used to estimate REE: </w:t>
      </w:r>
    </w:p>
    <w:p w14:paraId="1BD15785" w14:textId="77777777" w:rsidR="004A34CA" w:rsidRPr="001F05D9" w:rsidRDefault="00B5777A">
      <w:pPr>
        <w:spacing w:line="480" w:lineRule="auto"/>
        <w:ind w:right="851"/>
        <w:jc w:val="both"/>
        <w:rPr>
          <w:color w:val="auto"/>
        </w:rPr>
      </w:pPr>
      <m:oMathPara>
        <m:oMath>
          <m:r>
            <w:rPr>
              <w:rFonts w:ascii="Cambria Math" w:hAnsi="Cambria Math"/>
              <w:color w:val="auto"/>
            </w:rPr>
            <m:t>REE</m:t>
          </m:r>
          <m:d>
            <m:dPr>
              <m:ctrlPr>
                <w:rPr>
                  <w:rFonts w:ascii="Cambria Math" w:hAnsi="Cambria Math"/>
                  <w:color w:val="auto"/>
                </w:rPr>
              </m:ctrlPr>
            </m:dPr>
            <m:e>
              <m:r>
                <w:rPr>
                  <w:rFonts w:ascii="Cambria Math" w:hAnsi="Cambria Math"/>
                  <w:color w:val="auto"/>
                </w:rPr>
                <m:t>Kcal∙d-1</m:t>
              </m:r>
            </m:e>
          </m:d>
          <m:r>
            <w:rPr>
              <w:rFonts w:ascii="Cambria Math" w:hAnsi="Cambria Math"/>
              <w:color w:val="auto"/>
            </w:rPr>
            <m:t>=11.936Xbodymass</m:t>
          </m:r>
          <m:d>
            <m:dPr>
              <m:ctrlPr>
                <w:rPr>
                  <w:rFonts w:ascii="Cambria Math" w:hAnsi="Cambria Math"/>
                  <w:color w:val="auto"/>
                </w:rPr>
              </m:ctrlPr>
            </m:dPr>
            <m:e>
              <m:r>
                <w:rPr>
                  <w:rFonts w:ascii="Cambria Math" w:hAnsi="Cambria Math"/>
                  <w:color w:val="auto"/>
                </w:rPr>
                <m:t>kg</m:t>
              </m:r>
            </m:e>
          </m:d>
          <m:r>
            <w:rPr>
              <w:rFonts w:ascii="Cambria Math" w:hAnsi="Cambria Math"/>
              <w:color w:val="auto"/>
            </w:rPr>
            <m:t>+587.728*stature</m:t>
          </m:r>
          <m:d>
            <m:dPr>
              <m:ctrlPr>
                <w:rPr>
                  <w:rFonts w:ascii="Cambria Math" w:hAnsi="Cambria Math"/>
                  <w:color w:val="auto"/>
                </w:rPr>
              </m:ctrlPr>
            </m:dPr>
            <m:e>
              <m:r>
                <w:rPr>
                  <w:rFonts w:ascii="Cambria Math" w:hAnsi="Cambria Math"/>
                  <w:color w:val="auto"/>
                </w:rPr>
                <m:t>m</m:t>
              </m:r>
            </m:e>
          </m:d>
          <m:r>
            <w:rPr>
              <w:rFonts w:ascii="Cambria Math" w:hAnsi="Cambria Math"/>
              <w:color w:val="auto"/>
            </w:rPr>
            <m:t>-8.129Xage</m:t>
          </m:r>
          <m:d>
            <m:dPr>
              <m:ctrlPr>
                <w:rPr>
                  <w:rFonts w:ascii="Cambria Math" w:hAnsi="Cambria Math"/>
                  <w:color w:val="auto"/>
                </w:rPr>
              </m:ctrlPr>
            </m:dPr>
            <m:e>
              <m:r>
                <w:rPr>
                  <w:rFonts w:ascii="Cambria Math" w:hAnsi="Cambria Math"/>
                  <w:color w:val="auto"/>
                </w:rPr>
                <m:t>y</m:t>
              </m:r>
            </m:e>
          </m:d>
          <m:r>
            <w:rPr>
              <w:rFonts w:ascii="Cambria Math" w:hAnsi="Cambria Math"/>
              <w:color w:val="auto"/>
            </w:rPr>
            <m:t>+191.027*0+29.279</m:t>
          </m:r>
        </m:oMath>
      </m:oMathPara>
    </w:p>
    <w:p w14:paraId="491753B8" w14:textId="77777777" w:rsidR="005E1321" w:rsidRPr="001F05D9" w:rsidRDefault="005E1321">
      <w:pPr>
        <w:spacing w:line="480" w:lineRule="auto"/>
        <w:ind w:right="851"/>
        <w:jc w:val="both"/>
        <w:rPr>
          <w:color w:val="auto"/>
        </w:rPr>
      </w:pPr>
    </w:p>
    <w:p w14:paraId="1EF3A1D9" w14:textId="7BE70030" w:rsidR="004A34CA" w:rsidRPr="001F05D9" w:rsidRDefault="001F05D9">
      <w:pPr>
        <w:widowControl w:val="0"/>
        <w:spacing w:after="240" w:line="480" w:lineRule="auto"/>
        <w:jc w:val="both"/>
        <w:rPr>
          <w:rFonts w:ascii="Arial" w:eastAsia="Times New Roman" w:hAnsi="Arial" w:cs="Arial"/>
          <w:color w:val="auto"/>
        </w:rPr>
      </w:pPr>
      <w:r w:rsidRPr="001F05D9">
        <w:rPr>
          <w:rFonts w:ascii="Arial" w:hAnsi="Arial" w:cs="Arial"/>
          <w:color w:val="FF0000"/>
        </w:rPr>
        <w:t>Energy expenditure</w:t>
      </w:r>
      <w:r w:rsidR="00B5777A" w:rsidRPr="001F05D9">
        <w:rPr>
          <w:rFonts w:ascii="Arial" w:hAnsi="Arial" w:cs="Arial"/>
          <w:color w:val="auto"/>
        </w:rPr>
        <w:t xml:space="preserve"> was estimated during match-play using the 100 Hz tri-axial accelerometer within the GPS device (Optimeye S5, Catapult Innovations, Australia) that derives EE from a metabolic power model proposed by di Prampero et al. (2005). Devices were securely positioned between the scapulae in a custom-made vest worn under the playing shirt during each warm-up, match and cool-down. Participants wore the same device throughout the study removing inter-unit variability. Upon completion, GPS data were downloaded (Sprint, Version 5.1, Catapult Sports, VIC, Australia) and exported to a spreadsheet providing daily means for metabolic power and EE variables (mean metabolic power (W</w:t>
      </w:r>
      <w:r w:rsidR="00B5777A" w:rsidRPr="001F05D9">
        <w:rPr>
          <w:rFonts w:ascii="Arial" w:hAnsi="Arial" w:cs="Arial"/>
          <w:color w:val="auto"/>
          <w:vertAlign w:val="superscript"/>
        </w:rPr>
        <w:t>.</w:t>
      </w:r>
      <w:r w:rsidR="00B5777A" w:rsidRPr="001F05D9">
        <w:rPr>
          <w:rFonts w:ascii="Arial" w:hAnsi="Arial" w:cs="Arial"/>
          <w:color w:val="auto"/>
        </w:rPr>
        <w:t>kg</w:t>
      </w:r>
      <w:r w:rsidR="00B5777A" w:rsidRPr="001F05D9">
        <w:rPr>
          <w:rFonts w:ascii="Arial" w:hAnsi="Arial" w:cs="Arial"/>
          <w:color w:val="auto"/>
          <w:vertAlign w:val="superscript"/>
        </w:rPr>
        <w:t>-1</w:t>
      </w:r>
      <w:r w:rsidR="00B5777A" w:rsidRPr="001F05D9">
        <w:rPr>
          <w:rFonts w:ascii="Arial" w:hAnsi="Arial" w:cs="Arial"/>
          <w:color w:val="auto"/>
        </w:rPr>
        <w:t xml:space="preserve">), time </w:t>
      </w:r>
      <w:r w:rsidRPr="001F05D9">
        <w:rPr>
          <w:rFonts w:ascii="Arial" w:hAnsi="Arial" w:cs="Arial"/>
          <w:color w:val="FF0000"/>
        </w:rPr>
        <w:t xml:space="preserve">(min) </w:t>
      </w:r>
      <w:r w:rsidR="00B5777A" w:rsidRPr="001F05D9">
        <w:rPr>
          <w:rFonts w:ascii="Arial" w:hAnsi="Arial" w:cs="Arial"/>
          <w:color w:val="auto"/>
        </w:rPr>
        <w:t>above high-power (&gt;20 W</w:t>
      </w:r>
      <w:r w:rsidR="00B5777A" w:rsidRPr="001F05D9">
        <w:rPr>
          <w:rFonts w:ascii="Arial" w:hAnsi="Arial" w:cs="Arial"/>
          <w:color w:val="auto"/>
          <w:vertAlign w:val="superscript"/>
        </w:rPr>
        <w:t>.</w:t>
      </w:r>
      <w:r w:rsidR="00B5777A" w:rsidRPr="001F05D9">
        <w:rPr>
          <w:rFonts w:ascii="Arial" w:hAnsi="Arial" w:cs="Arial"/>
          <w:color w:val="auto"/>
        </w:rPr>
        <w:t>kg</w:t>
      </w:r>
      <w:r w:rsidR="00B5777A" w:rsidRPr="001F05D9">
        <w:rPr>
          <w:rFonts w:ascii="Arial" w:hAnsi="Arial" w:cs="Arial"/>
          <w:color w:val="auto"/>
          <w:vertAlign w:val="superscript"/>
        </w:rPr>
        <w:t>-1</w:t>
      </w:r>
      <w:r w:rsidR="00B5777A" w:rsidRPr="001F05D9">
        <w:rPr>
          <w:rFonts w:ascii="Arial" w:hAnsi="Arial" w:cs="Arial"/>
          <w:color w:val="auto"/>
        </w:rPr>
        <w:t>) and EE (Kcal</w:t>
      </w:r>
      <w:r w:rsidR="00B5777A" w:rsidRPr="001F05D9">
        <w:rPr>
          <w:rFonts w:ascii="Arial" w:hAnsi="Arial" w:cs="Arial"/>
          <w:color w:val="auto"/>
          <w:vertAlign w:val="superscript"/>
        </w:rPr>
        <w:t>.</w:t>
      </w:r>
      <w:r w:rsidR="00B5777A" w:rsidRPr="001F05D9">
        <w:rPr>
          <w:rFonts w:ascii="Arial" w:hAnsi="Arial" w:cs="Arial"/>
          <w:color w:val="auto"/>
        </w:rPr>
        <w:t>kg</w:t>
      </w:r>
      <w:r w:rsidR="00B5777A" w:rsidRPr="001F05D9">
        <w:rPr>
          <w:rFonts w:ascii="Arial" w:hAnsi="Arial" w:cs="Arial"/>
          <w:color w:val="auto"/>
          <w:vertAlign w:val="superscript"/>
        </w:rPr>
        <w:t>-1</w:t>
      </w:r>
      <w:r w:rsidR="00B5777A" w:rsidRPr="001F05D9">
        <w:rPr>
          <w:rFonts w:ascii="Arial" w:hAnsi="Arial" w:cs="Arial"/>
          <w:color w:val="auto"/>
        </w:rPr>
        <w:t xml:space="preserve">). </w:t>
      </w:r>
      <w:r w:rsidRPr="001F05D9">
        <w:rPr>
          <w:rFonts w:ascii="Arial" w:hAnsi="Arial" w:cs="Arial"/>
          <w:color w:val="FF0000"/>
        </w:rPr>
        <w:t>Energy expenditure</w:t>
      </w:r>
      <w:r w:rsidR="00B5777A" w:rsidRPr="001F05D9">
        <w:rPr>
          <w:rFonts w:ascii="Arial" w:hAnsi="Arial" w:cs="Arial"/>
          <w:color w:val="auto"/>
        </w:rPr>
        <w:t xml:space="preserve"> derived from the micro-technology was combined with EE estimated by the ActiGraph devices and estimates of REE to calculate TDEE (</w:t>
      </w:r>
      <w:r w:rsidR="00B5777A" w:rsidRPr="001F05D9">
        <w:rPr>
          <w:rFonts w:ascii="Arial" w:eastAsia="Calibri" w:hAnsi="Arial" w:cs="Arial"/>
          <w:color w:val="auto"/>
        </w:rPr>
        <w:t>Kcal</w:t>
      </w:r>
      <w:r w:rsidR="00B5777A" w:rsidRPr="001F05D9">
        <w:rPr>
          <w:rFonts w:ascii="Arial" w:eastAsia="Calibri" w:hAnsi="Arial" w:cs="Arial"/>
          <w:color w:val="auto"/>
          <w:vertAlign w:val="superscript"/>
        </w:rPr>
        <w:t>.</w:t>
      </w:r>
      <w:r w:rsidR="00B5777A" w:rsidRPr="001F05D9">
        <w:rPr>
          <w:rFonts w:ascii="Arial" w:eastAsia="Calibri" w:hAnsi="Arial" w:cs="Arial"/>
          <w:color w:val="auto"/>
        </w:rPr>
        <w:t>kg</w:t>
      </w:r>
      <w:r w:rsidR="00B5777A" w:rsidRPr="001F05D9">
        <w:rPr>
          <w:rFonts w:ascii="Arial" w:eastAsia="Calibri" w:hAnsi="Arial" w:cs="Arial"/>
          <w:color w:val="auto"/>
          <w:vertAlign w:val="superscript"/>
        </w:rPr>
        <w:t>-1</w:t>
      </w:r>
      <w:r w:rsidR="00B5777A" w:rsidRPr="001F05D9">
        <w:rPr>
          <w:rFonts w:ascii="Arial" w:hAnsi="Arial" w:cs="Arial"/>
          <w:color w:val="auto"/>
        </w:rPr>
        <w:t xml:space="preserve">). </w:t>
      </w:r>
      <w:r w:rsidR="0033339D" w:rsidRPr="00BA0E9B">
        <w:rPr>
          <w:rFonts w:ascii="Arial" w:hAnsi="Arial" w:cs="Arial"/>
          <w:color w:val="FF0000"/>
        </w:rPr>
        <w:t xml:space="preserve">Total and relative </w:t>
      </w:r>
      <w:r w:rsidR="00BA0E9B">
        <w:rPr>
          <w:rFonts w:ascii="Arial" w:hAnsi="Arial" w:cs="Arial"/>
          <w:color w:val="FF0000"/>
        </w:rPr>
        <w:t>distance</w:t>
      </w:r>
      <w:r w:rsidR="00BA0E9B" w:rsidRPr="00BA0E9B">
        <w:rPr>
          <w:rFonts w:ascii="Arial" w:hAnsi="Arial" w:cs="Arial"/>
          <w:color w:val="FF0000"/>
        </w:rPr>
        <w:t xml:space="preserve"> along with measures of relative high-intensity distance (&gt; 14 km∙h-1; Beaven et al., 2014) were</w:t>
      </w:r>
      <w:r w:rsidR="009E7E3C" w:rsidRPr="00BA0E9B">
        <w:rPr>
          <w:rFonts w:ascii="Arial" w:hAnsi="Arial" w:cs="Arial"/>
          <w:color w:val="FF0000"/>
        </w:rPr>
        <w:t xml:space="preserve"> </w:t>
      </w:r>
      <w:r w:rsidR="00B5777A" w:rsidRPr="00BA0E9B">
        <w:rPr>
          <w:rFonts w:ascii="Arial" w:hAnsi="Arial" w:cs="Arial"/>
          <w:color w:val="FF0000"/>
        </w:rPr>
        <w:t xml:space="preserve">recorded to provide an understanding of </w:t>
      </w:r>
      <w:r w:rsidR="00327F01" w:rsidRPr="00BA0E9B">
        <w:rPr>
          <w:rFonts w:ascii="Arial" w:hAnsi="Arial" w:cs="Arial"/>
          <w:color w:val="FF0000"/>
        </w:rPr>
        <w:t xml:space="preserve">the </w:t>
      </w:r>
      <w:r w:rsidR="00B5777A" w:rsidRPr="00BA0E9B">
        <w:rPr>
          <w:rFonts w:ascii="Arial" w:hAnsi="Arial" w:cs="Arial"/>
          <w:color w:val="FF0000"/>
        </w:rPr>
        <w:t>match demands</w:t>
      </w:r>
      <w:r w:rsidR="00B5777A" w:rsidRPr="001F05D9">
        <w:rPr>
          <w:rFonts w:ascii="Arial" w:hAnsi="Arial" w:cs="Arial"/>
          <w:color w:val="auto"/>
        </w:rPr>
        <w:t xml:space="preserve">. </w:t>
      </w:r>
      <w:r w:rsidR="00B5777A" w:rsidRPr="001F05D9">
        <w:rPr>
          <w:rFonts w:ascii="Arial" w:eastAsia="Times New Roman" w:hAnsi="Arial" w:cs="Arial"/>
          <w:color w:val="auto"/>
        </w:rPr>
        <w:t xml:space="preserve">Accuracy of micro-technology for measuring distance and metabolic power in team sport activity has been reported (Rampinini et al., 2015), and is reliable for measures of instantaneous speed and acceleration (Varley et al., 2012). </w:t>
      </w:r>
    </w:p>
    <w:p w14:paraId="0394B9CF" w14:textId="77777777" w:rsidR="005E1321" w:rsidRPr="001F05D9" w:rsidRDefault="005E1321">
      <w:pPr>
        <w:widowControl w:val="0"/>
        <w:spacing w:after="240" w:line="480" w:lineRule="auto"/>
        <w:jc w:val="both"/>
        <w:rPr>
          <w:color w:val="auto"/>
        </w:rPr>
      </w:pPr>
    </w:p>
    <w:p w14:paraId="7BA8E19C" w14:textId="77777777" w:rsidR="004A34CA" w:rsidRPr="001F05D9" w:rsidRDefault="00B5777A">
      <w:pPr>
        <w:spacing w:line="480" w:lineRule="auto"/>
        <w:jc w:val="both"/>
        <w:rPr>
          <w:color w:val="auto"/>
        </w:rPr>
      </w:pPr>
      <w:r w:rsidRPr="001F05D9">
        <w:rPr>
          <w:rFonts w:ascii="Arial" w:hAnsi="Arial" w:cs="Arial"/>
          <w:i/>
          <w:color w:val="auto"/>
        </w:rPr>
        <w:lastRenderedPageBreak/>
        <w:t xml:space="preserve">Measurement of Energy Intake </w:t>
      </w:r>
    </w:p>
    <w:p w14:paraId="18E40C58" w14:textId="77777777" w:rsidR="00AD2E4A" w:rsidRPr="001F05D9" w:rsidRDefault="00B5777A">
      <w:pPr>
        <w:spacing w:line="480" w:lineRule="auto"/>
        <w:jc w:val="both"/>
        <w:rPr>
          <w:rFonts w:ascii="Arial" w:hAnsi="Arial" w:cs="Arial"/>
          <w:color w:val="auto"/>
        </w:rPr>
      </w:pPr>
      <w:r w:rsidRPr="001F05D9">
        <w:rPr>
          <w:rFonts w:ascii="Arial" w:hAnsi="Arial" w:cs="Arial"/>
          <w:color w:val="auto"/>
        </w:rPr>
        <w:t>Participants recorded all foods and drinks consumed during the data collection period using a four-day food diary. One diary was not returned at the end of the tournament; thus, analysis is based on 15 players. The researcher (a Registered Dietitian) gave verbal and written instructions asking participants to accurately record volumes, quantities and brand names where possible. The researcher was on site throughout the tournament to assist players in recording food and drink intakes accurately. Nutrient intakes were calculated using Nutritics software (Nutritics Education Edition, v4.097, Ireland).</w:t>
      </w:r>
    </w:p>
    <w:p w14:paraId="7FBA4A61" w14:textId="77777777" w:rsidR="005E1321" w:rsidRPr="001F05D9" w:rsidRDefault="005E1321">
      <w:pPr>
        <w:spacing w:line="480" w:lineRule="auto"/>
        <w:jc w:val="both"/>
        <w:rPr>
          <w:rFonts w:ascii="Arial" w:hAnsi="Arial" w:cs="Arial"/>
          <w:color w:val="auto"/>
        </w:rPr>
      </w:pPr>
    </w:p>
    <w:p w14:paraId="28C47735" w14:textId="77777777" w:rsidR="004A34CA" w:rsidRPr="001F05D9" w:rsidRDefault="00B5777A">
      <w:pPr>
        <w:widowControl w:val="0"/>
        <w:spacing w:after="240" w:line="480" w:lineRule="auto"/>
        <w:jc w:val="both"/>
        <w:rPr>
          <w:color w:val="auto"/>
        </w:rPr>
      </w:pPr>
      <w:r w:rsidRPr="001F05D9">
        <w:rPr>
          <w:rFonts w:ascii="Arial" w:hAnsi="Arial" w:cs="Arial"/>
          <w:b/>
          <w:color w:val="auto"/>
        </w:rPr>
        <w:t>Statistical Analysis</w:t>
      </w:r>
    </w:p>
    <w:p w14:paraId="141DEB6C" w14:textId="77777777" w:rsidR="004A34CA" w:rsidRPr="001F05D9" w:rsidRDefault="00B5777A">
      <w:pPr>
        <w:widowControl w:val="0"/>
        <w:spacing w:after="240" w:line="480" w:lineRule="auto"/>
        <w:jc w:val="both"/>
        <w:rPr>
          <w:rFonts w:ascii="Arial" w:hAnsi="Arial" w:cs="Arial"/>
          <w:color w:val="auto"/>
        </w:rPr>
      </w:pPr>
      <w:r w:rsidRPr="001F05D9">
        <w:rPr>
          <w:rFonts w:ascii="Arial" w:hAnsi="Arial" w:cs="Arial"/>
          <w:color w:val="auto"/>
        </w:rPr>
        <w:t xml:space="preserve">All data are expressed as means ± standard deviation (SD) and were checked for normality and homogeneity using the Shapiro-Wilk test and Levene’s test, respectively. An alpha level of ≤ 0.05 was used to detect significant differences in all tests. Differences in match demands across the tournament were analysed via one-way analysis of variance (ANOVA). Differences in and between TDEE and EI (days one to three) were analysed via two-way ANOVA. If Mauchley’s test of sphericity was violated, data was corrected using the Greenhouse Geisser (ε). Day four was shorter so required a separate analysis for EI and EE with a proportion (63.5%) of REE added to reflect the data collection period (0000 h to 1515 h), and as such, were assessed using a paired samples </w:t>
      </w:r>
      <w:r w:rsidRPr="001F05D9">
        <w:rPr>
          <w:rFonts w:ascii="Arial" w:hAnsi="Arial" w:cs="Arial"/>
          <w:i/>
          <w:color w:val="auto"/>
        </w:rPr>
        <w:t>t</w:t>
      </w:r>
      <w:r w:rsidRPr="001F05D9">
        <w:rPr>
          <w:rFonts w:ascii="Arial" w:hAnsi="Arial" w:cs="Arial"/>
          <w:color w:val="auto"/>
        </w:rPr>
        <w:t xml:space="preserve">-test. Differences in mean macronutrient intakes (day one to three) and current sports nutrition recommendations were assessed using one-sample </w:t>
      </w:r>
      <w:r w:rsidRPr="001F05D9">
        <w:rPr>
          <w:rFonts w:ascii="Arial" w:hAnsi="Arial" w:cs="Arial"/>
          <w:i/>
          <w:color w:val="auto"/>
        </w:rPr>
        <w:t>t</w:t>
      </w:r>
      <w:r w:rsidRPr="001F05D9">
        <w:rPr>
          <w:rFonts w:ascii="Arial" w:hAnsi="Arial" w:cs="Arial"/>
          <w:color w:val="auto"/>
        </w:rPr>
        <w:t xml:space="preserve">-tests. Data were analysed using the Statistical Package for Social Sciences (Version </w:t>
      </w:r>
      <w:r w:rsidRPr="001F05D9">
        <w:rPr>
          <w:rFonts w:ascii="Arial" w:hAnsi="Arial" w:cs="Arial"/>
          <w:color w:val="auto"/>
        </w:rPr>
        <w:lastRenderedPageBreak/>
        <w:t>22, 2015).</w:t>
      </w:r>
    </w:p>
    <w:p w14:paraId="5ADD466E" w14:textId="77777777" w:rsidR="005E1321" w:rsidRPr="001F05D9" w:rsidRDefault="005E1321">
      <w:pPr>
        <w:widowControl w:val="0"/>
        <w:spacing w:after="240" w:line="480" w:lineRule="auto"/>
        <w:jc w:val="both"/>
        <w:rPr>
          <w:color w:val="auto"/>
        </w:rPr>
      </w:pPr>
    </w:p>
    <w:p w14:paraId="75E3CCA3" w14:textId="77777777" w:rsidR="004A34CA" w:rsidRPr="001F05D9" w:rsidRDefault="00B5777A" w:rsidP="00AD2E4A">
      <w:pPr>
        <w:widowControl w:val="0"/>
        <w:spacing w:after="240" w:line="480" w:lineRule="auto"/>
        <w:jc w:val="both"/>
        <w:rPr>
          <w:color w:val="auto"/>
        </w:rPr>
      </w:pPr>
      <w:r w:rsidRPr="001F05D9">
        <w:rPr>
          <w:rFonts w:ascii="Arial" w:hAnsi="Arial" w:cs="Arial"/>
          <w:b/>
          <w:color w:val="auto"/>
        </w:rPr>
        <w:t>R</w:t>
      </w:r>
      <w:r w:rsidR="005E1321" w:rsidRPr="001F05D9">
        <w:rPr>
          <w:rFonts w:ascii="Arial" w:hAnsi="Arial" w:cs="Arial"/>
          <w:b/>
          <w:color w:val="auto"/>
        </w:rPr>
        <w:t>esults</w:t>
      </w:r>
    </w:p>
    <w:p w14:paraId="3F2E91E2" w14:textId="77777777" w:rsidR="005E1321" w:rsidRDefault="00B5777A">
      <w:pPr>
        <w:widowControl w:val="0"/>
        <w:spacing w:after="240" w:line="480" w:lineRule="auto"/>
        <w:jc w:val="both"/>
        <w:rPr>
          <w:rFonts w:ascii="Arial" w:hAnsi="Arial" w:cs="Arial"/>
          <w:color w:val="auto"/>
        </w:rPr>
      </w:pPr>
      <w:r w:rsidRPr="001F05D9">
        <w:rPr>
          <w:rFonts w:ascii="Arial" w:hAnsi="Arial"/>
          <w:color w:val="auto"/>
        </w:rPr>
        <w:t xml:space="preserve">There were no differences in match demands between matches (all </w:t>
      </w:r>
      <w:r w:rsidRPr="001F05D9">
        <w:rPr>
          <w:rFonts w:ascii="Arial" w:hAnsi="Arial"/>
          <w:i/>
          <w:color w:val="auto"/>
        </w:rPr>
        <w:t>P</w:t>
      </w:r>
      <w:r w:rsidRPr="001F05D9">
        <w:rPr>
          <w:rFonts w:ascii="Arial" w:hAnsi="Arial"/>
          <w:color w:val="auto"/>
        </w:rPr>
        <w:t xml:space="preserve"> &gt; 0.05). However, overall </w:t>
      </w:r>
      <w:r w:rsidRPr="001F05D9">
        <w:rPr>
          <w:rFonts w:ascii="Arial" w:hAnsi="Arial" w:cs="Arial"/>
          <w:color w:val="auto"/>
        </w:rPr>
        <w:t>high-intensity distance was lower (</w:t>
      </w:r>
      <w:r w:rsidRPr="001F05D9">
        <w:rPr>
          <w:rFonts w:ascii="Arial" w:hAnsi="Arial" w:cs="Arial"/>
          <w:i/>
          <w:color w:val="auto"/>
        </w:rPr>
        <w:t>P</w:t>
      </w:r>
      <w:r w:rsidRPr="001F05D9">
        <w:rPr>
          <w:rFonts w:ascii="Arial" w:hAnsi="Arial" w:cs="Arial"/>
          <w:color w:val="auto"/>
        </w:rPr>
        <w:t xml:space="preserve"> &lt; 0.05) on day three (20.2 ± 6.8 m·min</w:t>
      </w:r>
      <w:r w:rsidRPr="001F05D9">
        <w:rPr>
          <w:rFonts w:ascii="Arial" w:hAnsi="Arial" w:cs="Arial"/>
          <w:color w:val="auto"/>
          <w:vertAlign w:val="superscript"/>
        </w:rPr>
        <w:t>-1</w:t>
      </w:r>
      <w:r w:rsidRPr="001F05D9">
        <w:rPr>
          <w:rFonts w:ascii="Arial" w:hAnsi="Arial" w:cs="Arial"/>
          <w:color w:val="auto"/>
        </w:rPr>
        <w:t>) compared to day one (29.0 ± 14.3 m·min</w:t>
      </w:r>
      <w:r w:rsidRPr="001F05D9">
        <w:rPr>
          <w:rFonts w:ascii="Arial" w:hAnsi="Arial" w:cs="Arial"/>
          <w:color w:val="auto"/>
          <w:vertAlign w:val="superscript"/>
        </w:rPr>
        <w:t>-1</w:t>
      </w:r>
      <w:r w:rsidRPr="001F05D9">
        <w:rPr>
          <w:rFonts w:ascii="Arial" w:hAnsi="Arial" w:cs="Arial"/>
          <w:color w:val="auto"/>
        </w:rPr>
        <w:t>). All data are shown in Table 2.</w:t>
      </w:r>
    </w:p>
    <w:p w14:paraId="789F70ED" w14:textId="77777777" w:rsidR="005F5FCF" w:rsidRPr="005F5FCF" w:rsidRDefault="005F5FCF">
      <w:pPr>
        <w:widowControl w:val="0"/>
        <w:spacing w:after="240" w:line="480" w:lineRule="auto"/>
        <w:jc w:val="both"/>
        <w:rPr>
          <w:rFonts w:ascii="Arial" w:hAnsi="Arial" w:cs="Arial"/>
          <w:color w:val="auto"/>
        </w:rPr>
      </w:pPr>
    </w:p>
    <w:p w14:paraId="17BC2E89" w14:textId="3D439FF7" w:rsidR="00AD2E4A" w:rsidRPr="001F05D9" w:rsidRDefault="00B5777A">
      <w:pPr>
        <w:spacing w:line="480" w:lineRule="auto"/>
        <w:jc w:val="both"/>
        <w:rPr>
          <w:rFonts w:ascii="Arial" w:hAnsi="Arial" w:cs="Arial"/>
          <w:color w:val="auto"/>
        </w:rPr>
      </w:pPr>
      <w:r w:rsidRPr="001F05D9">
        <w:rPr>
          <w:rFonts w:ascii="Arial" w:hAnsi="Arial" w:cs="Arial"/>
          <w:color w:val="auto"/>
        </w:rPr>
        <w:t xml:space="preserve">Daily EI and TDEE assessed over days </w:t>
      </w:r>
      <w:r w:rsidR="00101BAC">
        <w:rPr>
          <w:rFonts w:ascii="Arial" w:hAnsi="Arial" w:cs="Arial"/>
          <w:color w:val="auto"/>
        </w:rPr>
        <w:t>one to three and EI and EE for day four</w:t>
      </w:r>
      <w:r w:rsidRPr="001F05D9">
        <w:rPr>
          <w:rFonts w:ascii="Arial" w:hAnsi="Arial" w:cs="Arial"/>
          <w:color w:val="auto"/>
        </w:rPr>
        <w:t xml:space="preserve"> are shown in Figure 1. Mean daily EI and TDEE was 39.9 ± 9.4 </w:t>
      </w:r>
      <w:r w:rsidRPr="001F05D9">
        <w:rPr>
          <w:rFonts w:ascii="Arial" w:eastAsia="Calibri" w:hAnsi="Arial" w:cs="Arial"/>
          <w:color w:val="auto"/>
        </w:rPr>
        <w:t>Kcal</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 xml:space="preserve">-1 </w:t>
      </w:r>
      <w:r w:rsidRPr="001F05D9">
        <w:rPr>
          <w:rFonts w:ascii="Arial" w:eastAsia="Calibri" w:hAnsi="Arial" w:cs="Arial"/>
          <w:color w:val="auto"/>
        </w:rPr>
        <w:t xml:space="preserve">BM </w:t>
      </w:r>
      <w:r w:rsidRPr="001F05D9">
        <w:rPr>
          <w:rFonts w:ascii="Arial" w:hAnsi="Arial" w:cs="Arial"/>
          <w:color w:val="auto"/>
        </w:rPr>
        <w:t xml:space="preserve">and 43.6 ± 3.1 </w:t>
      </w:r>
      <w:r w:rsidRPr="001F05D9">
        <w:rPr>
          <w:rFonts w:ascii="Arial" w:eastAsia="Calibri" w:hAnsi="Arial" w:cs="Arial"/>
          <w:color w:val="auto"/>
        </w:rPr>
        <w:t>Kcal</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 xml:space="preserve">-1 </w:t>
      </w:r>
      <w:r w:rsidRPr="001F05D9">
        <w:rPr>
          <w:rFonts w:ascii="Arial" w:eastAsia="Calibri" w:hAnsi="Arial" w:cs="Arial"/>
          <w:color w:val="auto"/>
        </w:rPr>
        <w:t>BM</w:t>
      </w:r>
      <w:r w:rsidRPr="001F05D9">
        <w:rPr>
          <w:rFonts w:ascii="Arial" w:hAnsi="Arial" w:cs="Arial"/>
          <w:color w:val="auto"/>
        </w:rPr>
        <w:t xml:space="preserve">, respectively. There was no significant time x condition effect for daily EI and TDEE (F = 0.488, </w:t>
      </w:r>
      <w:r w:rsidRPr="001F05D9">
        <w:rPr>
          <w:rFonts w:ascii="Arial" w:hAnsi="Arial" w:cs="Arial"/>
          <w:i/>
          <w:color w:val="auto"/>
        </w:rPr>
        <w:t xml:space="preserve">P </w:t>
      </w:r>
      <w:r w:rsidRPr="001F05D9">
        <w:rPr>
          <w:rFonts w:ascii="Arial" w:hAnsi="Arial" w:cs="Arial"/>
          <w:color w:val="auto"/>
        </w:rPr>
        <w:t xml:space="preserve">&gt; 0.05) and no difference between </w:t>
      </w:r>
      <w:r w:rsidR="00101BAC">
        <w:rPr>
          <w:rFonts w:ascii="Arial" w:hAnsi="Arial" w:cs="Arial"/>
          <w:color w:val="auto"/>
        </w:rPr>
        <w:t>daily EI and TDEE over days one to three</w:t>
      </w:r>
      <w:r w:rsidR="002C5776">
        <w:rPr>
          <w:rFonts w:ascii="Arial" w:hAnsi="Arial" w:cs="Arial"/>
          <w:color w:val="auto"/>
        </w:rPr>
        <w:t xml:space="preserve"> </w:t>
      </w:r>
      <w:r w:rsidRPr="001F05D9">
        <w:rPr>
          <w:rFonts w:ascii="Arial" w:hAnsi="Arial" w:cs="Arial"/>
          <w:color w:val="auto"/>
        </w:rPr>
        <w:t xml:space="preserve">(F = 0.293, </w:t>
      </w:r>
      <w:r w:rsidRPr="001F05D9">
        <w:rPr>
          <w:rFonts w:ascii="Arial" w:hAnsi="Arial" w:cs="Arial"/>
          <w:i/>
          <w:color w:val="auto"/>
        </w:rPr>
        <w:t>P</w:t>
      </w:r>
      <w:r w:rsidRPr="001F05D9">
        <w:rPr>
          <w:rFonts w:ascii="Arial" w:hAnsi="Arial" w:cs="Arial"/>
          <w:color w:val="auto"/>
        </w:rPr>
        <w:t xml:space="preserve"> &gt; 0.05). EI (20.7 ± 9.9 Kcal</w:t>
      </w:r>
      <w:r w:rsidRPr="001F05D9">
        <w:rPr>
          <w:rFonts w:ascii="Arial" w:hAnsi="Arial" w:cs="Arial"/>
          <w:color w:val="auto"/>
          <w:vertAlign w:val="superscript"/>
        </w:rPr>
        <w:t>.</w:t>
      </w:r>
      <w:r w:rsidRPr="001F05D9">
        <w:rPr>
          <w:rFonts w:ascii="Arial" w:hAnsi="Arial" w:cs="Arial"/>
          <w:color w:val="auto"/>
        </w:rPr>
        <w:t>kg</w:t>
      </w:r>
      <w:r w:rsidRPr="001F05D9">
        <w:rPr>
          <w:rFonts w:ascii="Arial" w:hAnsi="Arial" w:cs="Arial"/>
          <w:color w:val="auto"/>
          <w:vertAlign w:val="superscript"/>
        </w:rPr>
        <w:t xml:space="preserve">-1 </w:t>
      </w:r>
      <w:r w:rsidRPr="001F05D9">
        <w:rPr>
          <w:rFonts w:ascii="Arial" w:hAnsi="Arial" w:cs="Arial"/>
          <w:color w:val="auto"/>
        </w:rPr>
        <w:t>BM) was lower than EE (29.4 ± 2.4 Kcal</w:t>
      </w:r>
      <w:r w:rsidRPr="001F05D9">
        <w:rPr>
          <w:rFonts w:ascii="Arial" w:hAnsi="Arial" w:cs="Arial"/>
          <w:color w:val="auto"/>
          <w:vertAlign w:val="superscript"/>
        </w:rPr>
        <w:t>.</w:t>
      </w:r>
      <w:r w:rsidRPr="001F05D9">
        <w:rPr>
          <w:rFonts w:ascii="Arial" w:hAnsi="Arial" w:cs="Arial"/>
          <w:color w:val="auto"/>
        </w:rPr>
        <w:t>kg</w:t>
      </w:r>
      <w:r w:rsidRPr="001F05D9">
        <w:rPr>
          <w:rFonts w:ascii="Arial" w:hAnsi="Arial" w:cs="Arial"/>
          <w:color w:val="auto"/>
          <w:vertAlign w:val="superscript"/>
        </w:rPr>
        <w:t xml:space="preserve">-1 </w:t>
      </w:r>
      <w:r w:rsidR="00101BAC">
        <w:rPr>
          <w:rFonts w:ascii="Arial" w:hAnsi="Arial" w:cs="Arial"/>
          <w:color w:val="auto"/>
        </w:rPr>
        <w:t>BM) on day four</w:t>
      </w:r>
      <w:r w:rsidR="002C5776">
        <w:rPr>
          <w:rFonts w:ascii="Arial" w:hAnsi="Arial" w:cs="Arial"/>
          <w:color w:val="auto"/>
        </w:rPr>
        <w:t xml:space="preserve"> </w:t>
      </w:r>
      <w:r w:rsidRPr="001F05D9">
        <w:rPr>
          <w:rFonts w:ascii="Arial" w:hAnsi="Arial" w:cs="Arial"/>
          <w:color w:val="auto"/>
        </w:rPr>
        <w:t>(</w:t>
      </w:r>
      <w:r w:rsidRPr="001F05D9">
        <w:rPr>
          <w:rFonts w:ascii="Arial" w:hAnsi="Arial" w:cs="Arial"/>
          <w:i/>
          <w:color w:val="auto"/>
        </w:rPr>
        <w:t>t</w:t>
      </w:r>
      <w:r w:rsidRPr="001F05D9">
        <w:rPr>
          <w:rFonts w:ascii="Arial" w:hAnsi="Arial" w:cs="Arial"/>
          <w:color w:val="auto"/>
        </w:rPr>
        <w:t xml:space="preserve"> = -3.712 and </w:t>
      </w:r>
      <w:r w:rsidRPr="001F05D9">
        <w:rPr>
          <w:rFonts w:ascii="Arial" w:hAnsi="Arial" w:cs="Arial"/>
          <w:i/>
          <w:color w:val="auto"/>
        </w:rPr>
        <w:t>P</w:t>
      </w:r>
      <w:r w:rsidRPr="001F05D9">
        <w:rPr>
          <w:rFonts w:ascii="Arial" w:hAnsi="Arial" w:cs="Arial"/>
          <w:color w:val="auto"/>
        </w:rPr>
        <w:t xml:space="preserve"> &lt; 0.05).</w:t>
      </w:r>
    </w:p>
    <w:p w14:paraId="2951E9C1" w14:textId="77777777" w:rsidR="005F5FCF" w:rsidRDefault="005F5FCF">
      <w:pPr>
        <w:spacing w:line="480" w:lineRule="auto"/>
        <w:jc w:val="both"/>
        <w:rPr>
          <w:rFonts w:ascii="Arial" w:hAnsi="Arial" w:cs="Arial"/>
          <w:color w:val="auto"/>
        </w:rPr>
      </w:pPr>
    </w:p>
    <w:p w14:paraId="46815C7E" w14:textId="3AC94535" w:rsidR="00AD2E4A" w:rsidRPr="001F05D9" w:rsidRDefault="00B5777A">
      <w:pPr>
        <w:spacing w:line="480" w:lineRule="auto"/>
        <w:jc w:val="both"/>
        <w:rPr>
          <w:rFonts w:ascii="Arial" w:hAnsi="Arial" w:cs="Arial"/>
          <w:color w:val="auto"/>
        </w:rPr>
      </w:pPr>
      <w:r w:rsidRPr="001F05D9">
        <w:rPr>
          <w:rFonts w:ascii="Arial" w:hAnsi="Arial" w:cs="Arial"/>
          <w:color w:val="auto"/>
        </w:rPr>
        <w:t xml:space="preserve">Mean daily macronutrient intakes assessed from food diaries compared to current sports nutrition recommendations are shown in Table 3. Mean daily CHO intakes were below the lower threshold of recommended intakes (6 </w:t>
      </w:r>
      <w:r w:rsidRPr="001F05D9">
        <w:rPr>
          <w:rFonts w:ascii="Arial" w:eastAsia="Calibri" w:hAnsi="Arial" w:cs="Arial"/>
          <w:color w:val="auto"/>
        </w:rPr>
        <w:t>g</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 xml:space="preserve">-1 </w:t>
      </w:r>
      <w:r w:rsidRPr="001F05D9">
        <w:rPr>
          <w:rFonts w:ascii="Arial" w:eastAsia="Calibri" w:hAnsi="Arial" w:cs="Arial"/>
          <w:color w:val="auto"/>
        </w:rPr>
        <w:t>BM</w:t>
      </w:r>
      <w:r w:rsidR="00101BAC">
        <w:rPr>
          <w:rFonts w:ascii="Arial" w:hAnsi="Arial" w:cs="Arial"/>
          <w:color w:val="auto"/>
        </w:rPr>
        <w:t>) on day one</w:t>
      </w:r>
      <w:r w:rsidRPr="001F05D9">
        <w:rPr>
          <w:rFonts w:ascii="Arial" w:hAnsi="Arial" w:cs="Arial"/>
          <w:color w:val="auto"/>
        </w:rPr>
        <w:t xml:space="preserve"> (</w:t>
      </w:r>
      <w:r w:rsidRPr="001F05D9">
        <w:rPr>
          <w:rFonts w:ascii="Arial" w:hAnsi="Arial" w:cs="Arial"/>
          <w:i/>
          <w:color w:val="auto"/>
        </w:rPr>
        <w:t xml:space="preserve">t </w:t>
      </w:r>
      <w:r w:rsidRPr="001F05D9">
        <w:rPr>
          <w:rFonts w:ascii="Arial" w:hAnsi="Arial" w:cs="Arial"/>
          <w:color w:val="auto"/>
        </w:rPr>
        <w:t xml:space="preserve">= -1.931, </w:t>
      </w:r>
      <w:r w:rsidRPr="001F05D9">
        <w:rPr>
          <w:rFonts w:ascii="Arial" w:hAnsi="Arial" w:cs="Arial"/>
          <w:i/>
          <w:color w:val="auto"/>
        </w:rPr>
        <w:t>P</w:t>
      </w:r>
      <w:r w:rsidR="002C5776">
        <w:rPr>
          <w:rFonts w:ascii="Arial" w:hAnsi="Arial" w:cs="Arial"/>
          <w:color w:val="auto"/>
        </w:rPr>
        <w:t xml:space="preserve"> &gt; 0.05),</w:t>
      </w:r>
      <w:r w:rsidR="00101BAC">
        <w:rPr>
          <w:rFonts w:ascii="Arial" w:hAnsi="Arial" w:cs="Arial"/>
          <w:color w:val="auto"/>
        </w:rPr>
        <w:t xml:space="preserve"> two</w:t>
      </w:r>
      <w:r w:rsidRPr="001F05D9">
        <w:rPr>
          <w:rFonts w:ascii="Arial" w:hAnsi="Arial" w:cs="Arial"/>
          <w:color w:val="auto"/>
        </w:rPr>
        <w:t xml:space="preserve"> (</w:t>
      </w:r>
      <w:r w:rsidRPr="001F05D9">
        <w:rPr>
          <w:rFonts w:ascii="Arial" w:hAnsi="Arial" w:cs="Arial"/>
          <w:i/>
          <w:color w:val="auto"/>
        </w:rPr>
        <w:t>t</w:t>
      </w:r>
      <w:r w:rsidRPr="001F05D9">
        <w:rPr>
          <w:rFonts w:ascii="Arial" w:hAnsi="Arial" w:cs="Arial"/>
          <w:color w:val="auto"/>
        </w:rPr>
        <w:t xml:space="preserve"> = -3.771, </w:t>
      </w:r>
      <w:r w:rsidRPr="001F05D9">
        <w:rPr>
          <w:rFonts w:ascii="Arial" w:hAnsi="Arial" w:cs="Arial"/>
          <w:i/>
          <w:color w:val="auto"/>
        </w:rPr>
        <w:t>P</w:t>
      </w:r>
      <w:r w:rsidR="002C5776">
        <w:rPr>
          <w:rFonts w:ascii="Arial" w:hAnsi="Arial" w:cs="Arial"/>
          <w:color w:val="auto"/>
        </w:rPr>
        <w:t xml:space="preserve"> &lt; 0.05) </w:t>
      </w:r>
      <w:r w:rsidR="00FA52CD">
        <w:rPr>
          <w:rFonts w:ascii="Arial" w:hAnsi="Arial" w:cs="Arial"/>
          <w:color w:val="auto"/>
        </w:rPr>
        <w:t xml:space="preserve">and </w:t>
      </w:r>
      <w:r w:rsidR="00101BAC">
        <w:rPr>
          <w:rFonts w:ascii="Arial" w:hAnsi="Arial" w:cs="Arial"/>
          <w:color w:val="auto"/>
        </w:rPr>
        <w:t>three</w:t>
      </w:r>
      <w:r w:rsidRPr="001F05D9">
        <w:rPr>
          <w:rFonts w:ascii="Arial" w:hAnsi="Arial" w:cs="Arial"/>
          <w:color w:val="auto"/>
        </w:rPr>
        <w:t xml:space="preserve"> (</w:t>
      </w:r>
      <w:r w:rsidRPr="001F05D9">
        <w:rPr>
          <w:rFonts w:ascii="Arial" w:hAnsi="Arial" w:cs="Arial"/>
          <w:i/>
          <w:color w:val="auto"/>
        </w:rPr>
        <w:t>t</w:t>
      </w:r>
      <w:r w:rsidRPr="001F05D9">
        <w:rPr>
          <w:rFonts w:ascii="Arial" w:hAnsi="Arial" w:cs="Arial"/>
          <w:color w:val="auto"/>
        </w:rPr>
        <w:t xml:space="preserve"> = -1.244, </w:t>
      </w:r>
      <w:r w:rsidRPr="001F05D9">
        <w:rPr>
          <w:rFonts w:ascii="Arial" w:hAnsi="Arial" w:cs="Arial"/>
          <w:i/>
          <w:color w:val="auto"/>
        </w:rPr>
        <w:t xml:space="preserve">P </w:t>
      </w:r>
      <w:r w:rsidRPr="001F05D9">
        <w:rPr>
          <w:rFonts w:ascii="Arial" w:hAnsi="Arial" w:cs="Arial"/>
          <w:color w:val="auto"/>
        </w:rPr>
        <w:t xml:space="preserve">&gt; 0.05) for intermittent team sport athletes. Protein intake was higher than the lower recommendation for protein consumption (1.2 - 2 </w:t>
      </w:r>
      <w:r w:rsidRPr="001F05D9">
        <w:rPr>
          <w:rFonts w:ascii="Arial" w:eastAsia="Calibri" w:hAnsi="Arial" w:cs="Arial"/>
          <w:color w:val="auto"/>
        </w:rPr>
        <w:t>g</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 xml:space="preserve">-1 </w:t>
      </w:r>
      <w:r w:rsidRPr="001F05D9">
        <w:rPr>
          <w:rFonts w:ascii="Arial" w:eastAsia="Calibri" w:hAnsi="Arial" w:cs="Arial"/>
          <w:color w:val="auto"/>
        </w:rPr>
        <w:t>BM</w:t>
      </w:r>
      <w:r w:rsidR="00101BAC">
        <w:rPr>
          <w:rFonts w:ascii="Arial" w:hAnsi="Arial" w:cs="Arial"/>
          <w:color w:val="auto"/>
        </w:rPr>
        <w:t>) on day one</w:t>
      </w:r>
      <w:r w:rsidRPr="001F05D9">
        <w:rPr>
          <w:rFonts w:ascii="Arial" w:hAnsi="Arial" w:cs="Arial"/>
          <w:color w:val="auto"/>
        </w:rPr>
        <w:t xml:space="preserve"> (</w:t>
      </w:r>
      <w:r w:rsidRPr="001F05D9">
        <w:rPr>
          <w:rFonts w:ascii="Arial" w:hAnsi="Arial" w:cs="Arial"/>
          <w:i/>
          <w:color w:val="auto"/>
        </w:rPr>
        <w:t xml:space="preserve">t = </w:t>
      </w:r>
      <w:r w:rsidRPr="001F05D9">
        <w:rPr>
          <w:rFonts w:ascii="Arial" w:hAnsi="Arial" w:cs="Arial"/>
          <w:color w:val="auto"/>
        </w:rPr>
        <w:t xml:space="preserve">3.056, </w:t>
      </w:r>
      <w:r w:rsidRPr="001F05D9">
        <w:rPr>
          <w:rFonts w:ascii="Arial" w:hAnsi="Arial" w:cs="Arial"/>
          <w:i/>
          <w:color w:val="auto"/>
        </w:rPr>
        <w:t xml:space="preserve">P </w:t>
      </w:r>
      <w:r w:rsidR="002C5776">
        <w:rPr>
          <w:rFonts w:ascii="Arial" w:hAnsi="Arial" w:cs="Arial"/>
          <w:color w:val="auto"/>
        </w:rPr>
        <w:t xml:space="preserve">&lt; 0.05), </w:t>
      </w:r>
      <w:r w:rsidR="00101BAC">
        <w:rPr>
          <w:rFonts w:ascii="Arial" w:hAnsi="Arial" w:cs="Arial"/>
          <w:color w:val="auto"/>
        </w:rPr>
        <w:t xml:space="preserve">two </w:t>
      </w:r>
      <w:r w:rsidRPr="001F05D9">
        <w:rPr>
          <w:rFonts w:ascii="Arial" w:hAnsi="Arial" w:cs="Arial"/>
          <w:color w:val="auto"/>
        </w:rPr>
        <w:t>(</w:t>
      </w:r>
      <w:r w:rsidRPr="001F05D9">
        <w:rPr>
          <w:rFonts w:ascii="Arial" w:hAnsi="Arial" w:cs="Arial"/>
          <w:i/>
          <w:color w:val="auto"/>
        </w:rPr>
        <w:t xml:space="preserve">t </w:t>
      </w:r>
      <w:r w:rsidRPr="001F05D9">
        <w:rPr>
          <w:rFonts w:ascii="Arial" w:hAnsi="Arial" w:cs="Arial"/>
          <w:color w:val="auto"/>
        </w:rPr>
        <w:t xml:space="preserve">= 4.626, </w:t>
      </w:r>
      <w:r w:rsidRPr="001F05D9">
        <w:rPr>
          <w:rFonts w:ascii="Arial" w:hAnsi="Arial" w:cs="Arial"/>
          <w:i/>
          <w:color w:val="auto"/>
        </w:rPr>
        <w:t xml:space="preserve">P </w:t>
      </w:r>
      <w:r w:rsidRPr="001F05D9">
        <w:rPr>
          <w:rFonts w:ascii="Arial" w:hAnsi="Arial" w:cs="Arial"/>
          <w:color w:val="auto"/>
        </w:rPr>
        <w:t>&lt;</w:t>
      </w:r>
      <w:r w:rsidRPr="001F05D9">
        <w:rPr>
          <w:rFonts w:ascii="Arial" w:hAnsi="Arial" w:cs="Arial"/>
          <w:i/>
          <w:color w:val="auto"/>
        </w:rPr>
        <w:t xml:space="preserve"> </w:t>
      </w:r>
      <w:r w:rsidR="002C5776">
        <w:rPr>
          <w:rFonts w:ascii="Arial" w:hAnsi="Arial" w:cs="Arial"/>
          <w:color w:val="auto"/>
        </w:rPr>
        <w:t>0.05) and</w:t>
      </w:r>
      <w:r w:rsidR="00101BAC">
        <w:rPr>
          <w:rFonts w:ascii="Arial" w:hAnsi="Arial" w:cs="Arial"/>
          <w:color w:val="auto"/>
        </w:rPr>
        <w:t xml:space="preserve"> three </w:t>
      </w:r>
      <w:r w:rsidRPr="001F05D9">
        <w:rPr>
          <w:rFonts w:ascii="Arial" w:hAnsi="Arial" w:cs="Arial"/>
          <w:color w:val="auto"/>
        </w:rPr>
        <w:t>(</w:t>
      </w:r>
      <w:r w:rsidRPr="001F05D9">
        <w:rPr>
          <w:rFonts w:ascii="Arial" w:hAnsi="Arial" w:cs="Arial"/>
          <w:i/>
          <w:color w:val="auto"/>
        </w:rPr>
        <w:t xml:space="preserve">t = </w:t>
      </w:r>
      <w:r w:rsidRPr="001F05D9">
        <w:rPr>
          <w:rFonts w:ascii="Arial" w:hAnsi="Arial" w:cs="Arial"/>
          <w:color w:val="auto"/>
        </w:rPr>
        <w:t xml:space="preserve">4.360, </w:t>
      </w:r>
      <w:r w:rsidRPr="001F05D9">
        <w:rPr>
          <w:rFonts w:ascii="Arial" w:hAnsi="Arial" w:cs="Arial"/>
          <w:i/>
          <w:color w:val="auto"/>
        </w:rPr>
        <w:t>P</w:t>
      </w:r>
      <w:r w:rsidRPr="001F05D9">
        <w:rPr>
          <w:rFonts w:ascii="Arial" w:hAnsi="Arial" w:cs="Arial"/>
          <w:color w:val="auto"/>
        </w:rPr>
        <w:t xml:space="preserve"> &lt; 0.</w:t>
      </w:r>
      <w:r w:rsidR="00101BAC">
        <w:rPr>
          <w:rFonts w:ascii="Arial" w:hAnsi="Arial" w:cs="Arial"/>
          <w:color w:val="auto"/>
        </w:rPr>
        <w:t>05) but not upper range on day one</w:t>
      </w:r>
      <w:r w:rsidRPr="001F05D9">
        <w:rPr>
          <w:rFonts w:ascii="Arial" w:hAnsi="Arial" w:cs="Arial"/>
          <w:color w:val="auto"/>
        </w:rPr>
        <w:t xml:space="preserve"> (</w:t>
      </w:r>
      <w:r w:rsidRPr="001F05D9">
        <w:rPr>
          <w:rFonts w:ascii="Arial" w:hAnsi="Arial" w:cs="Arial"/>
          <w:i/>
          <w:color w:val="auto"/>
        </w:rPr>
        <w:t xml:space="preserve">t </w:t>
      </w:r>
      <w:r w:rsidRPr="001F05D9">
        <w:rPr>
          <w:rFonts w:ascii="Arial" w:hAnsi="Arial" w:cs="Arial"/>
          <w:color w:val="auto"/>
        </w:rPr>
        <w:t>=</w:t>
      </w:r>
      <w:r w:rsidRPr="001F05D9">
        <w:rPr>
          <w:rFonts w:ascii="Arial" w:hAnsi="Arial" w:cs="Arial"/>
          <w:i/>
          <w:color w:val="auto"/>
        </w:rPr>
        <w:t xml:space="preserve"> </w:t>
      </w:r>
      <w:r w:rsidRPr="001F05D9">
        <w:rPr>
          <w:rFonts w:ascii="Arial" w:hAnsi="Arial" w:cs="Arial"/>
          <w:color w:val="auto"/>
        </w:rPr>
        <w:t xml:space="preserve">-0.686, </w:t>
      </w:r>
      <w:r w:rsidRPr="001F05D9">
        <w:rPr>
          <w:rFonts w:ascii="Arial" w:hAnsi="Arial" w:cs="Arial"/>
          <w:i/>
          <w:color w:val="auto"/>
        </w:rPr>
        <w:t xml:space="preserve">P </w:t>
      </w:r>
      <w:r w:rsidR="002C5776">
        <w:rPr>
          <w:rFonts w:ascii="Arial" w:hAnsi="Arial" w:cs="Arial"/>
          <w:color w:val="auto"/>
        </w:rPr>
        <w:t>&gt; 0.05),</w:t>
      </w:r>
      <w:r w:rsidR="00101BAC">
        <w:rPr>
          <w:rFonts w:ascii="Arial" w:hAnsi="Arial" w:cs="Arial"/>
          <w:color w:val="auto"/>
        </w:rPr>
        <w:t xml:space="preserve"> two</w:t>
      </w:r>
      <w:r w:rsidRPr="001F05D9">
        <w:rPr>
          <w:rFonts w:ascii="Arial" w:hAnsi="Arial" w:cs="Arial"/>
          <w:color w:val="auto"/>
        </w:rPr>
        <w:t xml:space="preserve"> (</w:t>
      </w:r>
      <w:r w:rsidRPr="001F05D9">
        <w:rPr>
          <w:rFonts w:ascii="Arial" w:hAnsi="Arial" w:cs="Arial"/>
          <w:i/>
          <w:color w:val="auto"/>
        </w:rPr>
        <w:t xml:space="preserve">t </w:t>
      </w:r>
      <w:r w:rsidRPr="001F05D9">
        <w:rPr>
          <w:rFonts w:ascii="Arial" w:hAnsi="Arial" w:cs="Arial"/>
          <w:color w:val="auto"/>
        </w:rPr>
        <w:t>= 0.744</w:t>
      </w:r>
      <w:r w:rsidRPr="001F05D9">
        <w:rPr>
          <w:rFonts w:ascii="Arial" w:hAnsi="Arial" w:cs="Arial"/>
          <w:i/>
          <w:color w:val="auto"/>
        </w:rPr>
        <w:t xml:space="preserve">, P </w:t>
      </w:r>
      <w:r w:rsidR="002C5776">
        <w:rPr>
          <w:rFonts w:ascii="Arial" w:hAnsi="Arial" w:cs="Arial"/>
          <w:color w:val="auto"/>
        </w:rPr>
        <w:t>= &gt; 0.05), and</w:t>
      </w:r>
      <w:r w:rsidR="00101BAC">
        <w:rPr>
          <w:rFonts w:ascii="Arial" w:hAnsi="Arial" w:cs="Arial"/>
          <w:color w:val="auto"/>
        </w:rPr>
        <w:t xml:space="preserve"> three</w:t>
      </w:r>
      <w:r w:rsidRPr="001F05D9">
        <w:rPr>
          <w:rFonts w:ascii="Arial" w:hAnsi="Arial" w:cs="Arial"/>
          <w:color w:val="auto"/>
        </w:rPr>
        <w:t xml:space="preserve"> (</w:t>
      </w:r>
      <w:r w:rsidRPr="001F05D9">
        <w:rPr>
          <w:rFonts w:ascii="Arial" w:hAnsi="Arial" w:cs="Arial"/>
          <w:i/>
          <w:color w:val="auto"/>
        </w:rPr>
        <w:t xml:space="preserve">t </w:t>
      </w:r>
      <w:r w:rsidRPr="001F05D9">
        <w:rPr>
          <w:rFonts w:ascii="Arial" w:hAnsi="Arial" w:cs="Arial"/>
          <w:color w:val="auto"/>
        </w:rPr>
        <w:t>= 0.240</w:t>
      </w:r>
      <w:r w:rsidRPr="001F05D9">
        <w:rPr>
          <w:rFonts w:ascii="Arial" w:hAnsi="Arial" w:cs="Arial"/>
          <w:i/>
          <w:color w:val="auto"/>
        </w:rPr>
        <w:t xml:space="preserve">, P </w:t>
      </w:r>
      <w:r w:rsidRPr="001F05D9">
        <w:rPr>
          <w:rFonts w:ascii="Arial" w:hAnsi="Arial" w:cs="Arial"/>
          <w:color w:val="auto"/>
        </w:rPr>
        <w:lastRenderedPageBreak/>
        <w:t>&gt; 0.05). Total fat intake was greater than the lower threshold (20% total Kcal) on d</w:t>
      </w:r>
      <w:r w:rsidR="00101BAC">
        <w:rPr>
          <w:rFonts w:ascii="Arial" w:hAnsi="Arial" w:cs="Arial"/>
          <w:color w:val="auto"/>
        </w:rPr>
        <w:t>ay one</w:t>
      </w:r>
      <w:r w:rsidRPr="001F05D9">
        <w:rPr>
          <w:rFonts w:ascii="Arial" w:hAnsi="Arial" w:cs="Arial"/>
          <w:color w:val="auto"/>
        </w:rPr>
        <w:t xml:space="preserve"> (</w:t>
      </w:r>
      <w:r w:rsidRPr="001F05D9">
        <w:rPr>
          <w:rFonts w:ascii="Arial" w:hAnsi="Arial" w:cs="Arial"/>
          <w:i/>
          <w:color w:val="auto"/>
        </w:rPr>
        <w:t xml:space="preserve">t = </w:t>
      </w:r>
      <w:r w:rsidRPr="001F05D9">
        <w:rPr>
          <w:rFonts w:ascii="Arial" w:hAnsi="Arial" w:cs="Arial"/>
          <w:color w:val="auto"/>
        </w:rPr>
        <w:t>8.878</w:t>
      </w:r>
      <w:r w:rsidRPr="001F05D9">
        <w:rPr>
          <w:rFonts w:ascii="Arial" w:hAnsi="Arial" w:cs="Arial"/>
          <w:i/>
          <w:color w:val="auto"/>
        </w:rPr>
        <w:t xml:space="preserve">, P </w:t>
      </w:r>
      <w:r w:rsidRPr="001F05D9">
        <w:rPr>
          <w:rFonts w:ascii="Arial" w:hAnsi="Arial" w:cs="Arial"/>
          <w:color w:val="auto"/>
        </w:rPr>
        <w:t>&lt; 0.05</w:t>
      </w:r>
      <w:r w:rsidRPr="001F05D9">
        <w:rPr>
          <w:rFonts w:ascii="Arial" w:hAnsi="Arial" w:cs="Arial"/>
          <w:i/>
          <w:color w:val="auto"/>
        </w:rPr>
        <w:t>)</w:t>
      </w:r>
      <w:r w:rsidR="002C5776">
        <w:rPr>
          <w:rFonts w:ascii="Arial" w:hAnsi="Arial" w:cs="Arial"/>
          <w:color w:val="auto"/>
        </w:rPr>
        <w:t>,</w:t>
      </w:r>
      <w:r w:rsidR="00101BAC">
        <w:rPr>
          <w:rFonts w:ascii="Arial" w:hAnsi="Arial" w:cs="Arial"/>
          <w:color w:val="auto"/>
        </w:rPr>
        <w:t xml:space="preserve"> two</w:t>
      </w:r>
      <w:r w:rsidRPr="001F05D9">
        <w:rPr>
          <w:rFonts w:ascii="Arial" w:hAnsi="Arial" w:cs="Arial"/>
          <w:color w:val="auto"/>
        </w:rPr>
        <w:t xml:space="preserve"> (</w:t>
      </w:r>
      <w:r w:rsidRPr="001F05D9">
        <w:rPr>
          <w:rFonts w:ascii="Arial" w:hAnsi="Arial" w:cs="Arial"/>
          <w:i/>
          <w:color w:val="auto"/>
        </w:rPr>
        <w:t xml:space="preserve">t = </w:t>
      </w:r>
      <w:r w:rsidRPr="001F05D9">
        <w:rPr>
          <w:rFonts w:ascii="Arial" w:hAnsi="Arial" w:cs="Arial"/>
          <w:color w:val="auto"/>
        </w:rPr>
        <w:t>11.220</w:t>
      </w:r>
      <w:r w:rsidRPr="001F05D9">
        <w:rPr>
          <w:rFonts w:ascii="Arial" w:hAnsi="Arial" w:cs="Arial"/>
          <w:i/>
          <w:color w:val="auto"/>
        </w:rPr>
        <w:t xml:space="preserve">, P &lt; </w:t>
      </w:r>
      <w:r w:rsidR="002C5776">
        <w:rPr>
          <w:rFonts w:ascii="Arial" w:hAnsi="Arial" w:cs="Arial"/>
          <w:color w:val="auto"/>
        </w:rPr>
        <w:t xml:space="preserve">0.05) and </w:t>
      </w:r>
      <w:r w:rsidR="00101BAC">
        <w:rPr>
          <w:rFonts w:ascii="Arial" w:hAnsi="Arial" w:cs="Arial"/>
          <w:color w:val="auto"/>
        </w:rPr>
        <w:t>three</w:t>
      </w:r>
      <w:r w:rsidRPr="001F05D9">
        <w:rPr>
          <w:rFonts w:ascii="Arial" w:hAnsi="Arial" w:cs="Arial"/>
          <w:color w:val="auto"/>
        </w:rPr>
        <w:t xml:space="preserve"> (</w:t>
      </w:r>
      <w:r w:rsidRPr="001F05D9">
        <w:rPr>
          <w:rFonts w:ascii="Arial" w:hAnsi="Arial" w:cs="Arial"/>
          <w:i/>
          <w:color w:val="auto"/>
        </w:rPr>
        <w:t xml:space="preserve">t = </w:t>
      </w:r>
      <w:r w:rsidRPr="001F05D9">
        <w:rPr>
          <w:rFonts w:ascii="Arial" w:hAnsi="Arial" w:cs="Arial"/>
          <w:color w:val="auto"/>
        </w:rPr>
        <w:t>11.307</w:t>
      </w:r>
      <w:r w:rsidRPr="001F05D9">
        <w:rPr>
          <w:rFonts w:ascii="Arial" w:hAnsi="Arial" w:cs="Arial"/>
          <w:i/>
          <w:color w:val="auto"/>
        </w:rPr>
        <w:t xml:space="preserve">, P </w:t>
      </w:r>
      <w:r w:rsidRPr="001F05D9">
        <w:rPr>
          <w:rFonts w:ascii="Arial" w:hAnsi="Arial" w:cs="Arial"/>
          <w:color w:val="auto"/>
        </w:rPr>
        <w:t>&lt; 0.05), but not different from the upper threshold of recommended fat i</w:t>
      </w:r>
      <w:r w:rsidR="00101BAC">
        <w:rPr>
          <w:rFonts w:ascii="Arial" w:hAnsi="Arial" w:cs="Arial"/>
          <w:color w:val="auto"/>
        </w:rPr>
        <w:t>ntakes (35% total Kcal) on day one</w:t>
      </w:r>
      <w:r w:rsidRPr="001F05D9">
        <w:rPr>
          <w:rFonts w:ascii="Arial" w:hAnsi="Arial" w:cs="Arial"/>
          <w:color w:val="auto"/>
        </w:rPr>
        <w:t xml:space="preserve"> (</w:t>
      </w:r>
      <w:r w:rsidRPr="001F05D9">
        <w:rPr>
          <w:rFonts w:ascii="Arial" w:hAnsi="Arial" w:cs="Arial"/>
          <w:i/>
          <w:color w:val="auto"/>
        </w:rPr>
        <w:t xml:space="preserve">t </w:t>
      </w:r>
      <w:r w:rsidRPr="001F05D9">
        <w:rPr>
          <w:rFonts w:ascii="Arial" w:hAnsi="Arial" w:cs="Arial"/>
          <w:color w:val="auto"/>
        </w:rPr>
        <w:t>= 0.360</w:t>
      </w:r>
      <w:r w:rsidRPr="001F05D9">
        <w:rPr>
          <w:rFonts w:ascii="Arial" w:hAnsi="Arial" w:cs="Arial"/>
          <w:i/>
          <w:color w:val="auto"/>
        </w:rPr>
        <w:t xml:space="preserve">, P </w:t>
      </w:r>
      <w:r w:rsidR="002C5776">
        <w:rPr>
          <w:rFonts w:ascii="Arial" w:hAnsi="Arial" w:cs="Arial"/>
          <w:color w:val="auto"/>
        </w:rPr>
        <w:t>&gt; 0.05),</w:t>
      </w:r>
      <w:r w:rsidR="00101BAC">
        <w:rPr>
          <w:rFonts w:ascii="Arial" w:hAnsi="Arial" w:cs="Arial"/>
          <w:color w:val="auto"/>
        </w:rPr>
        <w:t xml:space="preserve"> two</w:t>
      </w:r>
      <w:r w:rsidRPr="001F05D9">
        <w:rPr>
          <w:rFonts w:ascii="Arial" w:hAnsi="Arial" w:cs="Arial"/>
          <w:color w:val="auto"/>
        </w:rPr>
        <w:t xml:space="preserve"> (</w:t>
      </w:r>
      <w:r w:rsidRPr="001F05D9">
        <w:rPr>
          <w:rFonts w:ascii="Arial" w:hAnsi="Arial" w:cs="Arial"/>
          <w:i/>
          <w:color w:val="auto"/>
        </w:rPr>
        <w:t xml:space="preserve">t = </w:t>
      </w:r>
      <w:r w:rsidRPr="001F05D9">
        <w:rPr>
          <w:rFonts w:ascii="Arial" w:hAnsi="Arial" w:cs="Arial"/>
          <w:color w:val="auto"/>
        </w:rPr>
        <w:t>2.113</w:t>
      </w:r>
      <w:r w:rsidRPr="001F05D9">
        <w:rPr>
          <w:rFonts w:ascii="Arial" w:hAnsi="Arial" w:cs="Arial"/>
          <w:i/>
          <w:color w:val="auto"/>
        </w:rPr>
        <w:t xml:space="preserve">, P </w:t>
      </w:r>
      <w:r w:rsidR="002C5776">
        <w:rPr>
          <w:rFonts w:ascii="Arial" w:hAnsi="Arial" w:cs="Arial"/>
          <w:color w:val="auto"/>
        </w:rPr>
        <w:t>&gt; 0.05), and</w:t>
      </w:r>
      <w:r w:rsidR="00101BAC">
        <w:rPr>
          <w:rFonts w:ascii="Arial" w:hAnsi="Arial" w:cs="Arial"/>
          <w:color w:val="auto"/>
        </w:rPr>
        <w:t xml:space="preserve"> three</w:t>
      </w:r>
      <w:r w:rsidRPr="001F05D9">
        <w:rPr>
          <w:rFonts w:ascii="Arial" w:hAnsi="Arial" w:cs="Arial"/>
          <w:color w:val="auto"/>
        </w:rPr>
        <w:t xml:space="preserve"> (</w:t>
      </w:r>
      <w:r w:rsidRPr="001F05D9">
        <w:rPr>
          <w:rFonts w:ascii="Arial" w:hAnsi="Arial" w:cs="Arial"/>
          <w:i/>
          <w:color w:val="auto"/>
        </w:rPr>
        <w:t xml:space="preserve">t </w:t>
      </w:r>
      <w:r w:rsidRPr="001F05D9">
        <w:rPr>
          <w:rFonts w:ascii="Arial" w:hAnsi="Arial" w:cs="Arial"/>
          <w:color w:val="auto"/>
        </w:rPr>
        <w:t>= 0.613</w:t>
      </w:r>
      <w:r w:rsidRPr="001F05D9">
        <w:rPr>
          <w:rFonts w:ascii="Arial" w:hAnsi="Arial" w:cs="Arial"/>
          <w:i/>
          <w:color w:val="auto"/>
        </w:rPr>
        <w:t>, P</w:t>
      </w:r>
      <w:r w:rsidRPr="001F05D9">
        <w:rPr>
          <w:rFonts w:ascii="Arial" w:hAnsi="Arial" w:cs="Arial"/>
          <w:color w:val="auto"/>
        </w:rPr>
        <w:t xml:space="preserve"> &gt; 0.05). However, saturated fat intake was greater than recommended saturated fat intakes for </w:t>
      </w:r>
      <w:r w:rsidR="00101BAC">
        <w:rPr>
          <w:rFonts w:ascii="Arial" w:hAnsi="Arial" w:cs="Arial"/>
          <w:color w:val="auto"/>
        </w:rPr>
        <w:t>health (10% total Kcal) on day one</w:t>
      </w:r>
      <w:r w:rsidRPr="001F05D9">
        <w:rPr>
          <w:rFonts w:ascii="Arial" w:hAnsi="Arial" w:cs="Arial"/>
          <w:color w:val="auto"/>
        </w:rPr>
        <w:t xml:space="preserve"> (</w:t>
      </w:r>
      <w:r w:rsidRPr="001F05D9">
        <w:rPr>
          <w:rFonts w:ascii="Arial" w:hAnsi="Arial" w:cs="Arial"/>
          <w:i/>
          <w:color w:val="auto"/>
        </w:rPr>
        <w:t>t</w:t>
      </w:r>
      <w:r w:rsidRPr="001F05D9">
        <w:rPr>
          <w:rFonts w:ascii="Arial" w:hAnsi="Arial" w:cs="Arial"/>
          <w:color w:val="auto"/>
        </w:rPr>
        <w:t xml:space="preserve"> = -7.883, </w:t>
      </w:r>
      <w:r w:rsidRPr="001F05D9">
        <w:rPr>
          <w:rFonts w:ascii="Arial" w:hAnsi="Arial" w:cs="Arial"/>
          <w:i/>
          <w:color w:val="auto"/>
        </w:rPr>
        <w:t>P</w:t>
      </w:r>
      <w:r w:rsidR="002C5776">
        <w:rPr>
          <w:rFonts w:ascii="Arial" w:hAnsi="Arial" w:cs="Arial"/>
          <w:color w:val="auto"/>
        </w:rPr>
        <w:t xml:space="preserve"> &lt; 0.05), </w:t>
      </w:r>
      <w:r w:rsidR="00101BAC">
        <w:rPr>
          <w:rFonts w:ascii="Arial" w:hAnsi="Arial" w:cs="Arial"/>
          <w:color w:val="auto"/>
        </w:rPr>
        <w:t>two</w:t>
      </w:r>
      <w:r w:rsidRPr="001F05D9">
        <w:rPr>
          <w:rFonts w:ascii="Arial" w:hAnsi="Arial" w:cs="Arial"/>
          <w:color w:val="auto"/>
        </w:rPr>
        <w:t xml:space="preserve"> (</w:t>
      </w:r>
      <w:r w:rsidRPr="001F05D9">
        <w:rPr>
          <w:rFonts w:ascii="Arial" w:hAnsi="Arial" w:cs="Arial"/>
          <w:i/>
          <w:color w:val="auto"/>
        </w:rPr>
        <w:t>t</w:t>
      </w:r>
      <w:r w:rsidRPr="001F05D9">
        <w:rPr>
          <w:rFonts w:ascii="Arial" w:hAnsi="Arial" w:cs="Arial"/>
          <w:color w:val="auto"/>
        </w:rPr>
        <w:t xml:space="preserve"> = 7.809, </w:t>
      </w:r>
      <w:r w:rsidRPr="001F05D9">
        <w:rPr>
          <w:rFonts w:ascii="Arial" w:hAnsi="Arial" w:cs="Arial"/>
          <w:i/>
          <w:color w:val="auto"/>
        </w:rPr>
        <w:t>P</w:t>
      </w:r>
      <w:r w:rsidR="002C5776">
        <w:rPr>
          <w:rFonts w:ascii="Arial" w:hAnsi="Arial" w:cs="Arial"/>
          <w:color w:val="auto"/>
        </w:rPr>
        <w:t xml:space="preserve"> &lt; 0.05) and</w:t>
      </w:r>
      <w:r w:rsidR="00101BAC">
        <w:rPr>
          <w:rFonts w:ascii="Arial" w:hAnsi="Arial" w:cs="Arial"/>
          <w:color w:val="auto"/>
        </w:rPr>
        <w:t xml:space="preserve"> three</w:t>
      </w:r>
      <w:r w:rsidRPr="001F05D9">
        <w:rPr>
          <w:rFonts w:ascii="Arial" w:hAnsi="Arial" w:cs="Arial"/>
          <w:color w:val="auto"/>
        </w:rPr>
        <w:t xml:space="preserve"> (</w:t>
      </w:r>
      <w:r w:rsidRPr="001F05D9">
        <w:rPr>
          <w:rFonts w:ascii="Arial" w:hAnsi="Arial" w:cs="Arial"/>
          <w:i/>
          <w:color w:val="auto"/>
        </w:rPr>
        <w:t>t</w:t>
      </w:r>
      <w:r w:rsidRPr="001F05D9">
        <w:rPr>
          <w:rFonts w:ascii="Arial" w:hAnsi="Arial" w:cs="Arial"/>
          <w:color w:val="auto"/>
        </w:rPr>
        <w:t xml:space="preserve"> = 8.048, </w:t>
      </w:r>
      <w:r w:rsidRPr="001F05D9">
        <w:rPr>
          <w:rFonts w:ascii="Arial" w:hAnsi="Arial" w:cs="Arial"/>
          <w:i/>
          <w:color w:val="auto"/>
        </w:rPr>
        <w:t xml:space="preserve">P </w:t>
      </w:r>
      <w:r w:rsidRPr="001F05D9">
        <w:rPr>
          <w:rFonts w:ascii="Arial" w:hAnsi="Arial" w:cs="Arial"/>
          <w:color w:val="auto"/>
        </w:rPr>
        <w:t xml:space="preserve">&lt; 0.05). </w:t>
      </w:r>
    </w:p>
    <w:p w14:paraId="6BC61D45" w14:textId="77777777" w:rsidR="005E1321" w:rsidRPr="001F05D9" w:rsidRDefault="005E1321">
      <w:pPr>
        <w:spacing w:line="480" w:lineRule="auto"/>
        <w:jc w:val="both"/>
        <w:rPr>
          <w:color w:val="auto"/>
        </w:rPr>
      </w:pPr>
    </w:p>
    <w:p w14:paraId="2A5DD58E" w14:textId="77777777" w:rsidR="004A34CA" w:rsidRPr="001F05D9" w:rsidRDefault="00B5777A">
      <w:pPr>
        <w:widowControl w:val="0"/>
        <w:spacing w:after="240" w:line="480" w:lineRule="auto"/>
        <w:jc w:val="both"/>
        <w:rPr>
          <w:color w:val="auto"/>
        </w:rPr>
      </w:pPr>
      <w:r w:rsidRPr="001F05D9">
        <w:rPr>
          <w:rFonts w:ascii="Arial" w:hAnsi="Arial" w:cs="Arial"/>
          <w:b/>
          <w:color w:val="auto"/>
        </w:rPr>
        <w:t>D</w:t>
      </w:r>
      <w:r w:rsidR="005E1321" w:rsidRPr="001F05D9">
        <w:rPr>
          <w:rFonts w:ascii="Arial" w:hAnsi="Arial" w:cs="Arial"/>
          <w:b/>
          <w:color w:val="auto"/>
        </w:rPr>
        <w:t>iscussion</w:t>
      </w:r>
      <w:r w:rsidRPr="001F05D9">
        <w:rPr>
          <w:rFonts w:ascii="Arial" w:hAnsi="Arial" w:cs="Arial"/>
          <w:b/>
          <w:color w:val="auto"/>
        </w:rPr>
        <w:t xml:space="preserve"> </w:t>
      </w:r>
    </w:p>
    <w:p w14:paraId="6CD67B3B" w14:textId="77777777" w:rsidR="004A34CA" w:rsidRPr="001F05D9" w:rsidRDefault="00B5777A">
      <w:pPr>
        <w:widowControl w:val="0"/>
        <w:spacing w:after="240" w:line="480" w:lineRule="auto"/>
        <w:jc w:val="both"/>
        <w:rPr>
          <w:rFonts w:ascii="Arial" w:hAnsi="Arial" w:cs="Arial"/>
          <w:color w:val="auto"/>
        </w:rPr>
      </w:pPr>
      <w:r w:rsidRPr="001F05D9">
        <w:rPr>
          <w:rFonts w:ascii="Arial" w:hAnsi="Arial" w:cs="Arial"/>
          <w:color w:val="auto"/>
        </w:rPr>
        <w:t xml:space="preserve">The aims of this study were to 1) quantify TDEE and EI of elite female Touch players during an international competition and 2) to determine whether players were meeting the current sports nutrition recommendations. Our results indicate players’ mean daily EI was not different from their TDEE during an international competition. CHO intake was below and saturated fat intake above current sports nutrition recommendations. This information has immediate practical application to inform nutritional intervention or educational targets for female international Touch players. </w:t>
      </w:r>
    </w:p>
    <w:p w14:paraId="7B426DAE" w14:textId="77777777" w:rsidR="005E1321" w:rsidRPr="001F05D9" w:rsidRDefault="005E1321">
      <w:pPr>
        <w:widowControl w:val="0"/>
        <w:spacing w:after="240" w:line="480" w:lineRule="auto"/>
        <w:jc w:val="both"/>
        <w:rPr>
          <w:color w:val="auto"/>
        </w:rPr>
      </w:pPr>
    </w:p>
    <w:p w14:paraId="3E76B81A" w14:textId="77777777" w:rsidR="004A34CA" w:rsidRPr="001F05D9" w:rsidRDefault="00B5777A">
      <w:pPr>
        <w:spacing w:line="480" w:lineRule="auto"/>
        <w:jc w:val="both"/>
        <w:rPr>
          <w:rFonts w:ascii="Arial" w:eastAsia="Times New Roman" w:hAnsi="Arial" w:cs="Arial"/>
          <w:color w:val="auto"/>
        </w:rPr>
      </w:pPr>
      <w:r w:rsidRPr="001F05D9">
        <w:rPr>
          <w:rFonts w:ascii="Arial" w:hAnsi="Arial" w:cs="Arial"/>
          <w:color w:val="auto"/>
        </w:rPr>
        <w:t xml:space="preserve">Daily EI (39.9 ± 9.4 </w:t>
      </w:r>
      <w:r w:rsidRPr="001F05D9">
        <w:rPr>
          <w:rFonts w:ascii="Arial" w:eastAsia="Calibri" w:hAnsi="Arial" w:cs="Arial"/>
          <w:color w:val="auto"/>
        </w:rPr>
        <w:t>Kcal</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-1</w:t>
      </w:r>
      <w:r w:rsidRPr="001F05D9">
        <w:rPr>
          <w:rFonts w:ascii="Arial" w:eastAsia="Calibri" w:hAnsi="Arial" w:cs="Arial"/>
          <w:color w:val="auto"/>
        </w:rPr>
        <w:t xml:space="preserve"> BM) </w:t>
      </w:r>
      <w:r w:rsidRPr="001F05D9">
        <w:rPr>
          <w:rFonts w:ascii="Arial" w:hAnsi="Arial" w:cs="Arial"/>
          <w:color w:val="auto"/>
        </w:rPr>
        <w:t>of elite female Touch players was comparable with that observed in multi-match tournaments for elite netball (39.6</w:t>
      </w:r>
      <w:r w:rsidRPr="001F05D9">
        <w:rPr>
          <w:rFonts w:ascii="Arial" w:eastAsia="Calibri" w:hAnsi="Arial" w:cs="Arial"/>
          <w:color w:val="auto"/>
        </w:rPr>
        <w:t xml:space="preserve"> Kcal</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 xml:space="preserve">-1 </w:t>
      </w:r>
      <w:r w:rsidRPr="001F05D9">
        <w:rPr>
          <w:rFonts w:ascii="Arial" w:eastAsia="Calibri" w:hAnsi="Arial" w:cs="Arial"/>
          <w:color w:val="auto"/>
        </w:rPr>
        <w:t xml:space="preserve">BM; </w:t>
      </w:r>
      <w:r w:rsidRPr="001F05D9">
        <w:rPr>
          <w:rFonts w:ascii="Arial" w:hAnsi="Arial" w:cs="Arial"/>
          <w:color w:val="auto"/>
        </w:rPr>
        <w:t>Heaney et al., 2010</w:t>
      </w:r>
      <w:r w:rsidRPr="001F05D9">
        <w:rPr>
          <w:rFonts w:ascii="Arial" w:eastAsia="Calibri" w:hAnsi="Arial" w:cs="Arial"/>
          <w:color w:val="auto"/>
        </w:rPr>
        <w:t>) and volleyball players (40.7 Kcal</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-1</w:t>
      </w:r>
      <w:r w:rsidRPr="001F05D9">
        <w:rPr>
          <w:rFonts w:ascii="Arial" w:eastAsia="Calibri" w:hAnsi="Arial" w:cs="Arial"/>
          <w:color w:val="auto"/>
        </w:rPr>
        <w:t>; Zourdos et al., 2015). However, EI is greater than values reported in elite soccer players (30.9 Kcal</w:t>
      </w:r>
      <w:r w:rsidRPr="001F05D9">
        <w:rPr>
          <w:rFonts w:ascii="Arial" w:eastAsia="Calibri" w:hAnsi="Arial" w:cs="Arial"/>
          <w:color w:val="auto"/>
          <w:vertAlign w:val="superscript"/>
        </w:rPr>
        <w:t>.</w:t>
      </w:r>
      <w:r w:rsidRPr="001F05D9">
        <w:rPr>
          <w:rFonts w:ascii="Arial" w:eastAsia="Calibri" w:hAnsi="Arial" w:cs="Arial"/>
          <w:color w:val="auto"/>
        </w:rPr>
        <w:t>kg</w:t>
      </w:r>
      <w:r w:rsidRPr="001F05D9">
        <w:rPr>
          <w:rFonts w:ascii="Arial" w:eastAsia="Calibri" w:hAnsi="Arial" w:cs="Arial"/>
          <w:color w:val="auto"/>
          <w:vertAlign w:val="superscript"/>
        </w:rPr>
        <w:t xml:space="preserve">-1 </w:t>
      </w:r>
      <w:r w:rsidRPr="001F05D9">
        <w:rPr>
          <w:rFonts w:ascii="Arial" w:eastAsia="Calibri" w:hAnsi="Arial" w:cs="Arial"/>
          <w:color w:val="auto"/>
        </w:rPr>
        <w:t xml:space="preserve">BM; Martin et al., 2006) during single match events where less emphasis may be on EI due to longer times between training and competition. Furthermore, despite a 7-day food diary being </w:t>
      </w:r>
      <w:r w:rsidRPr="001F05D9">
        <w:rPr>
          <w:rFonts w:ascii="Arial" w:eastAsia="Calibri" w:hAnsi="Arial" w:cs="Arial"/>
          <w:color w:val="auto"/>
        </w:rPr>
        <w:lastRenderedPageBreak/>
        <w:t>a valid method for capturing participants’ habitual intakes, it is possible that the 7-day food and activity diary employed by Martin and colleagues (2006) resulted in participant burden and consequently under-reporting (Shim et al., 2014). It is possible that the higher mean EI reported compared to previous studies (Noack et al., 2016; Clark et al., 2003), was a consequence of thorough familiarisation before the tournament and support from the researcher during the data collection period. It is, however, important to note that the</w:t>
      </w:r>
      <w:r w:rsidRPr="001F05D9">
        <w:rPr>
          <w:rFonts w:ascii="Arial" w:eastAsia="Times New Roman" w:hAnsi="Arial" w:cs="Arial"/>
          <w:color w:val="auto"/>
        </w:rPr>
        <w:t xml:space="preserve"> use of different nutrient databases to assess nutrient intakes might explain some of the differences between studies (Slimani et al., 2007). </w:t>
      </w:r>
    </w:p>
    <w:p w14:paraId="6B819C14" w14:textId="77777777" w:rsidR="005E1321" w:rsidRPr="001F05D9" w:rsidRDefault="005E1321">
      <w:pPr>
        <w:spacing w:line="480" w:lineRule="auto"/>
        <w:jc w:val="both"/>
        <w:rPr>
          <w:color w:val="auto"/>
        </w:rPr>
      </w:pPr>
    </w:p>
    <w:p w14:paraId="664D94EA" w14:textId="77777777" w:rsidR="004A34CA" w:rsidRPr="001F05D9" w:rsidRDefault="00B5777A">
      <w:pPr>
        <w:spacing w:line="480" w:lineRule="auto"/>
        <w:jc w:val="both"/>
        <w:rPr>
          <w:rFonts w:ascii="Arial" w:hAnsi="Arial" w:cs="Arial"/>
          <w:color w:val="auto"/>
        </w:rPr>
      </w:pPr>
      <w:r w:rsidRPr="001F05D9">
        <w:rPr>
          <w:rFonts w:ascii="Arial" w:eastAsia="Calibri" w:hAnsi="Arial" w:cs="Arial"/>
          <w:color w:val="auto"/>
        </w:rPr>
        <w:t xml:space="preserve">No difference was observed between mean TDEE and EI (days one to three), contrasting with studies reporting a shortfall in energy intake compared to expenditure in female athletes (Noack et al., 2016; Zourdos et al., 2015; Mullinix et al., 2003). However, </w:t>
      </w:r>
      <w:r w:rsidRPr="001F05D9">
        <w:rPr>
          <w:rFonts w:ascii="Arial" w:hAnsi="Arial" w:cs="Arial"/>
          <w:color w:val="auto"/>
        </w:rPr>
        <w:t>large individual variation in energy balance (-19.1 to 16.9 Kcal</w:t>
      </w:r>
      <w:r w:rsidRPr="001F05D9">
        <w:rPr>
          <w:rFonts w:ascii="Arial" w:hAnsi="Arial" w:cs="Arial"/>
          <w:color w:val="auto"/>
          <w:vertAlign w:val="superscript"/>
        </w:rPr>
        <w:t>.</w:t>
      </w:r>
      <w:r w:rsidRPr="001F05D9">
        <w:rPr>
          <w:rFonts w:ascii="Arial" w:hAnsi="Arial" w:cs="Arial"/>
          <w:color w:val="auto"/>
        </w:rPr>
        <w:t>kg</w:t>
      </w:r>
      <w:r w:rsidRPr="001F05D9">
        <w:rPr>
          <w:rFonts w:ascii="Arial" w:hAnsi="Arial" w:cs="Arial"/>
          <w:color w:val="auto"/>
          <w:vertAlign w:val="superscript"/>
        </w:rPr>
        <w:t>-1</w:t>
      </w:r>
      <w:r w:rsidRPr="001F05D9">
        <w:rPr>
          <w:rFonts w:ascii="Arial" w:hAnsi="Arial" w:cs="Arial"/>
          <w:color w:val="auto"/>
        </w:rPr>
        <w:t xml:space="preserve"> BM) was observed in this study. Differences in number of matches played, as well as nutrition knowledge, tournament preparation and food availability might have contributed to large individual variation. Consideration of individual nutritional practices is important (Figure 2) to identify those athletes who require nutrition support. An acute energy deficit might lead to poorer performance in tournaments (Bradley et al., 2015), while long-term energy deficits could result in a loss of body and lean mass (Martin et al., 2006) as well as consequences for health (Mountjoy et al., 2014). </w:t>
      </w:r>
    </w:p>
    <w:p w14:paraId="4956B358" w14:textId="77777777" w:rsidR="005E1321" w:rsidRPr="001F05D9" w:rsidRDefault="005E1321">
      <w:pPr>
        <w:spacing w:line="480" w:lineRule="auto"/>
        <w:jc w:val="both"/>
        <w:rPr>
          <w:color w:val="auto"/>
        </w:rPr>
      </w:pPr>
    </w:p>
    <w:p w14:paraId="1E2B04BF" w14:textId="77777777" w:rsidR="005E1321" w:rsidRPr="001F05D9" w:rsidRDefault="00B5777A">
      <w:pPr>
        <w:spacing w:line="480" w:lineRule="auto"/>
        <w:jc w:val="both"/>
        <w:rPr>
          <w:rFonts w:ascii="Arial" w:eastAsia="Times New Roman" w:hAnsi="Arial" w:cs="Arial"/>
          <w:color w:val="auto"/>
        </w:rPr>
      </w:pPr>
      <w:r w:rsidRPr="001F05D9">
        <w:rPr>
          <w:rFonts w:ascii="Arial" w:eastAsia="Times New Roman" w:hAnsi="Arial" w:cs="Arial"/>
          <w:color w:val="auto"/>
        </w:rPr>
        <w:lastRenderedPageBreak/>
        <w:t xml:space="preserve">Energy intake was lower than EE on day four. This could be because of an early match on day four (0830) resulting in players eating less before the final, potentially impacting on performances at a crucial time. The data collection period on day four does not represent a 24-h period due to equipment availability and access to participants. Meals and snacks consumed outside of this time were therefore not accounted for and may have made up the deficit incurred in the first half of the day. </w:t>
      </w:r>
    </w:p>
    <w:p w14:paraId="7361DBB1" w14:textId="77777777" w:rsidR="004A34CA" w:rsidRPr="001F05D9" w:rsidRDefault="00B5777A">
      <w:pPr>
        <w:spacing w:line="480" w:lineRule="auto"/>
        <w:jc w:val="both"/>
        <w:rPr>
          <w:color w:val="auto"/>
        </w:rPr>
      </w:pPr>
      <w:r w:rsidRPr="001F05D9">
        <w:rPr>
          <w:rFonts w:ascii="Arial" w:eastAsia="Times New Roman" w:hAnsi="Arial" w:cs="Arial"/>
          <w:color w:val="auto"/>
        </w:rPr>
        <w:t xml:space="preserve"> </w:t>
      </w:r>
    </w:p>
    <w:p w14:paraId="0C35FA02" w14:textId="77777777" w:rsidR="004A34CA" w:rsidRPr="001F05D9" w:rsidRDefault="00B5777A">
      <w:pPr>
        <w:spacing w:line="480" w:lineRule="auto"/>
        <w:jc w:val="both"/>
        <w:rPr>
          <w:rFonts w:ascii="Arial" w:eastAsia="Times New Roman" w:hAnsi="Arial" w:cs="Arial"/>
          <w:color w:val="auto"/>
        </w:rPr>
      </w:pPr>
      <w:r w:rsidRPr="001F05D9">
        <w:rPr>
          <w:rFonts w:ascii="Arial" w:eastAsia="Times New Roman" w:hAnsi="Arial" w:cs="Arial"/>
          <w:color w:val="auto"/>
        </w:rPr>
        <w:t>Whist current CHO recommendations (6-10 g</w:t>
      </w:r>
      <w:r w:rsidRPr="001F05D9">
        <w:rPr>
          <w:rFonts w:ascii="Arial" w:eastAsia="Times New Roman" w:hAnsi="Arial" w:cs="Arial"/>
          <w:color w:val="auto"/>
          <w:vertAlign w:val="superscript"/>
        </w:rPr>
        <w:t>.</w:t>
      </w:r>
      <w:r w:rsidRPr="001F05D9">
        <w:rPr>
          <w:rFonts w:ascii="Arial" w:eastAsia="Times New Roman" w:hAnsi="Arial" w:cs="Arial"/>
          <w:color w:val="auto"/>
        </w:rPr>
        <w:t>kg</w:t>
      </w:r>
      <w:r w:rsidRPr="001F05D9">
        <w:rPr>
          <w:rFonts w:ascii="Arial" w:eastAsia="Times New Roman" w:hAnsi="Arial" w:cs="Arial"/>
          <w:color w:val="auto"/>
          <w:vertAlign w:val="superscript"/>
        </w:rPr>
        <w:t xml:space="preserve">-1 </w:t>
      </w:r>
      <w:r w:rsidRPr="001F05D9">
        <w:rPr>
          <w:rFonts w:ascii="Arial" w:eastAsia="Times New Roman" w:hAnsi="Arial" w:cs="Arial"/>
          <w:color w:val="auto"/>
        </w:rPr>
        <w:t xml:space="preserve">BM) are not specific to Touch; </w:t>
      </w:r>
      <w:r w:rsidRPr="001F05D9">
        <w:rPr>
          <w:rFonts w:ascii="Arial" w:hAnsi="Arial" w:cs="Arial"/>
          <w:color w:val="auto"/>
        </w:rPr>
        <w:t xml:space="preserve">the observed CHO intakes might be inadequate to replete and maintain players’ glycogen reserves, possibly compromising performance and recovery (Burke et al., 2011). </w:t>
      </w:r>
      <w:r w:rsidRPr="001F05D9">
        <w:rPr>
          <w:rFonts w:ascii="Arial" w:eastAsia="Times New Roman" w:hAnsi="Arial" w:cs="Arial"/>
          <w:color w:val="auto"/>
        </w:rPr>
        <w:t xml:space="preserve">In other multiple sprint sports muscle glycogen </w:t>
      </w:r>
      <w:r w:rsidRPr="001F05D9">
        <w:rPr>
          <w:rFonts w:ascii="Arial" w:hAnsi="Arial" w:cs="Arial"/>
          <w:color w:val="auto"/>
        </w:rPr>
        <w:t xml:space="preserve">decreases by ~40% during an 80-90 minute match (Bradley et al., 2016; Bangsbo et al., 2007), resulting in a reduction in </w:t>
      </w:r>
      <w:r w:rsidRPr="001F05D9">
        <w:rPr>
          <w:rFonts w:ascii="Arial" w:eastAsia="Times New Roman" w:hAnsi="Arial" w:cs="Arial"/>
          <w:color w:val="auto"/>
        </w:rPr>
        <w:t xml:space="preserve">high-intensity running and sprinting (Krustrup et al., 2006; </w:t>
      </w:r>
      <w:r w:rsidRPr="001F05D9">
        <w:rPr>
          <w:rFonts w:ascii="Arial" w:hAnsi="Arial" w:cs="Arial"/>
          <w:color w:val="auto"/>
        </w:rPr>
        <w:t>Bradley et al., 2016</w:t>
      </w:r>
      <w:r w:rsidRPr="001F05D9">
        <w:rPr>
          <w:rFonts w:ascii="Arial" w:eastAsia="Times New Roman" w:hAnsi="Arial" w:cs="Arial"/>
          <w:color w:val="auto"/>
        </w:rPr>
        <w:t xml:space="preserve">). It is likely Touch places a lower demand on glycogen stores given a match is shorter in duration (40 minutes cf. 90 minutes) and total distance covered is less compared to soccer (~2300 m cf. ~9500 to 11000 m). No studies have investigated changes in muscle glycogen during multi-match, multi-day tournaments. However, Touch match-play, comprising multiple repeated-sprint matches over four days with as little as &lt;2 h recovery between matches is likely to result in some degradation of muscle glycogen (Williams &amp; Rollo, 2015). </w:t>
      </w:r>
    </w:p>
    <w:p w14:paraId="0DC4D700" w14:textId="77777777" w:rsidR="005E1321" w:rsidRPr="001F05D9" w:rsidRDefault="005E1321">
      <w:pPr>
        <w:spacing w:line="480" w:lineRule="auto"/>
        <w:jc w:val="both"/>
        <w:rPr>
          <w:color w:val="auto"/>
        </w:rPr>
      </w:pPr>
    </w:p>
    <w:p w14:paraId="5378DE49" w14:textId="0BF102F7" w:rsidR="004A34CA" w:rsidRPr="001F05D9" w:rsidRDefault="00B5777A">
      <w:pPr>
        <w:spacing w:line="480" w:lineRule="auto"/>
        <w:jc w:val="both"/>
        <w:rPr>
          <w:color w:val="auto"/>
        </w:rPr>
      </w:pPr>
      <w:r w:rsidRPr="001F05D9">
        <w:rPr>
          <w:rFonts w:ascii="Arial" w:eastAsia="Times New Roman" w:hAnsi="Arial" w:cs="Arial"/>
          <w:color w:val="auto"/>
        </w:rPr>
        <w:t>Lower CHO intakes reported by participants might</w:t>
      </w:r>
      <w:r w:rsidR="000824BE">
        <w:rPr>
          <w:rFonts w:ascii="Arial" w:eastAsia="Times New Roman" w:hAnsi="Arial" w:cs="Arial"/>
          <w:color w:val="auto"/>
        </w:rPr>
        <w:t xml:space="preserve"> partly explain the lowest high-</w:t>
      </w:r>
      <w:r w:rsidRPr="001F05D9">
        <w:rPr>
          <w:rFonts w:ascii="Arial" w:eastAsia="Times New Roman" w:hAnsi="Arial" w:cs="Arial"/>
          <w:color w:val="auto"/>
        </w:rPr>
        <w:t>intensity distance observed in matches 6 (19.3 ± 6.6 m</w:t>
      </w:r>
      <w:r w:rsidRPr="001F05D9">
        <w:rPr>
          <w:rFonts w:ascii="Arial" w:eastAsia="Times New Roman" w:hAnsi="Arial" w:cs="Arial"/>
          <w:color w:val="auto"/>
          <w:vertAlign w:val="superscript"/>
        </w:rPr>
        <w:t>.</w:t>
      </w:r>
      <w:r w:rsidRPr="001F05D9">
        <w:rPr>
          <w:rFonts w:ascii="Arial" w:eastAsia="Times New Roman" w:hAnsi="Arial" w:cs="Arial"/>
          <w:color w:val="auto"/>
        </w:rPr>
        <w:t>min</w:t>
      </w:r>
      <w:r w:rsidRPr="001F05D9">
        <w:rPr>
          <w:rFonts w:ascii="Arial" w:eastAsia="Times New Roman" w:hAnsi="Arial" w:cs="Arial"/>
          <w:color w:val="auto"/>
          <w:vertAlign w:val="superscript"/>
        </w:rPr>
        <w:t>-1</w:t>
      </w:r>
      <w:r w:rsidRPr="001F05D9">
        <w:rPr>
          <w:rFonts w:ascii="Arial" w:eastAsia="Times New Roman" w:hAnsi="Arial" w:cs="Arial"/>
          <w:color w:val="auto"/>
        </w:rPr>
        <w:t>) and 7 (18.2 ± 6.9 m</w:t>
      </w:r>
      <w:r w:rsidRPr="001F05D9">
        <w:rPr>
          <w:rFonts w:ascii="Arial" w:eastAsia="Times New Roman" w:hAnsi="Arial" w:cs="Arial"/>
          <w:color w:val="auto"/>
          <w:vertAlign w:val="superscript"/>
        </w:rPr>
        <w:t>.</w:t>
      </w:r>
      <w:r w:rsidRPr="001F05D9">
        <w:rPr>
          <w:rFonts w:ascii="Arial" w:eastAsia="Times New Roman" w:hAnsi="Arial" w:cs="Arial"/>
          <w:color w:val="auto"/>
        </w:rPr>
        <w:t>min</w:t>
      </w:r>
      <w:r w:rsidRPr="001F05D9">
        <w:rPr>
          <w:rFonts w:ascii="Arial" w:eastAsia="Times New Roman" w:hAnsi="Arial" w:cs="Arial"/>
          <w:color w:val="auto"/>
          <w:vertAlign w:val="superscript"/>
        </w:rPr>
        <w:t>-</w:t>
      </w:r>
      <w:r w:rsidRPr="001F05D9">
        <w:rPr>
          <w:rFonts w:ascii="Arial" w:eastAsia="Times New Roman" w:hAnsi="Arial" w:cs="Arial"/>
          <w:color w:val="auto"/>
          <w:vertAlign w:val="superscript"/>
        </w:rPr>
        <w:lastRenderedPageBreak/>
        <w:t>1</w:t>
      </w:r>
      <w:r w:rsidRPr="001F05D9">
        <w:rPr>
          <w:rFonts w:ascii="Arial" w:eastAsia="Times New Roman" w:hAnsi="Arial" w:cs="Arial"/>
          <w:color w:val="auto"/>
        </w:rPr>
        <w:t>)</w:t>
      </w:r>
      <w:r w:rsidR="000824BE">
        <w:rPr>
          <w:rFonts w:ascii="Arial" w:eastAsia="Times New Roman" w:hAnsi="Arial" w:cs="Arial"/>
          <w:color w:val="auto"/>
        </w:rPr>
        <w:t>, with a reduction in mean high-</w:t>
      </w:r>
      <w:r w:rsidRPr="001F05D9">
        <w:rPr>
          <w:rFonts w:ascii="Arial" w:eastAsia="Times New Roman" w:hAnsi="Arial" w:cs="Arial"/>
          <w:color w:val="auto"/>
        </w:rPr>
        <w:t xml:space="preserve">intensity </w:t>
      </w:r>
      <w:r w:rsidR="00101BAC">
        <w:rPr>
          <w:rFonts w:ascii="Arial" w:eastAsia="Times New Roman" w:hAnsi="Arial" w:cs="Arial"/>
          <w:color w:val="auto"/>
        </w:rPr>
        <w:t>distance observed between days one and three</w:t>
      </w:r>
      <w:r w:rsidRPr="001F05D9">
        <w:rPr>
          <w:rFonts w:ascii="Arial" w:eastAsia="Times New Roman" w:hAnsi="Arial" w:cs="Arial"/>
          <w:color w:val="auto"/>
        </w:rPr>
        <w:t>. Notwithstanding the contribution</w:t>
      </w:r>
      <w:r w:rsidR="00101BAC">
        <w:rPr>
          <w:rFonts w:ascii="Arial" w:eastAsia="Times New Roman" w:hAnsi="Arial" w:cs="Arial"/>
          <w:color w:val="auto"/>
        </w:rPr>
        <w:t xml:space="preserve"> of an additional match on day three</w:t>
      </w:r>
      <w:r w:rsidRPr="001F05D9">
        <w:rPr>
          <w:rFonts w:ascii="Arial" w:eastAsia="Times New Roman" w:hAnsi="Arial" w:cs="Arial"/>
          <w:color w:val="auto"/>
        </w:rPr>
        <w:t>, food diary analysis revealed players had lowest CHO intake</w:t>
      </w:r>
      <w:r w:rsidR="002C3155">
        <w:rPr>
          <w:rFonts w:ascii="Arial" w:eastAsia="Times New Roman" w:hAnsi="Arial" w:cs="Arial"/>
          <w:color w:val="auto"/>
        </w:rPr>
        <w:t>s</w:t>
      </w:r>
      <w:r w:rsidRPr="001F05D9">
        <w:rPr>
          <w:rFonts w:ascii="Arial" w:eastAsia="Times New Roman" w:hAnsi="Arial" w:cs="Arial"/>
          <w:color w:val="auto"/>
        </w:rPr>
        <w:t xml:space="preserve"> on day two (4.1 g</w:t>
      </w:r>
      <w:r w:rsidRPr="001F05D9">
        <w:rPr>
          <w:rFonts w:ascii="Arial" w:eastAsia="Times New Roman" w:hAnsi="Arial" w:cs="Arial"/>
          <w:color w:val="auto"/>
          <w:vertAlign w:val="superscript"/>
        </w:rPr>
        <w:t>.</w:t>
      </w:r>
      <w:r w:rsidRPr="001F05D9">
        <w:rPr>
          <w:rFonts w:ascii="Arial" w:eastAsia="Times New Roman" w:hAnsi="Arial" w:cs="Arial"/>
          <w:color w:val="auto"/>
        </w:rPr>
        <w:t>kg</w:t>
      </w:r>
      <w:r w:rsidRPr="001F05D9">
        <w:rPr>
          <w:rFonts w:ascii="Arial" w:eastAsia="Times New Roman" w:hAnsi="Arial" w:cs="Arial"/>
          <w:color w:val="auto"/>
          <w:vertAlign w:val="superscript"/>
        </w:rPr>
        <w:t xml:space="preserve">-1 </w:t>
      </w:r>
      <w:r w:rsidRPr="001F05D9">
        <w:rPr>
          <w:rFonts w:ascii="Arial" w:eastAsia="Times New Roman" w:hAnsi="Arial" w:cs="Arial"/>
          <w:color w:val="auto"/>
        </w:rPr>
        <w:t>BM), which was below (</w:t>
      </w:r>
      <w:r w:rsidRPr="001F05D9">
        <w:rPr>
          <w:rFonts w:ascii="Arial" w:eastAsia="Times New Roman" w:hAnsi="Arial" w:cs="Arial"/>
          <w:i/>
          <w:color w:val="auto"/>
        </w:rPr>
        <w:t xml:space="preserve">P </w:t>
      </w:r>
      <w:r w:rsidRPr="001F05D9">
        <w:rPr>
          <w:rFonts w:ascii="Arial" w:eastAsia="Times New Roman" w:hAnsi="Arial" w:cs="Arial"/>
          <w:color w:val="auto"/>
        </w:rPr>
        <w:t>&lt; 0.05) current sports nutrition recommendations (6-10 g</w:t>
      </w:r>
      <w:r w:rsidRPr="001F05D9">
        <w:rPr>
          <w:rFonts w:ascii="Arial" w:eastAsia="Times New Roman" w:hAnsi="Arial" w:cs="Arial"/>
          <w:color w:val="auto"/>
          <w:vertAlign w:val="superscript"/>
        </w:rPr>
        <w:t>.</w:t>
      </w:r>
      <w:r w:rsidRPr="001F05D9">
        <w:rPr>
          <w:rFonts w:ascii="Arial" w:eastAsia="Times New Roman" w:hAnsi="Arial" w:cs="Arial"/>
          <w:color w:val="auto"/>
        </w:rPr>
        <w:t>kg</w:t>
      </w:r>
      <w:r w:rsidRPr="001F05D9">
        <w:rPr>
          <w:rFonts w:ascii="Arial" w:eastAsia="Times New Roman" w:hAnsi="Arial" w:cs="Arial"/>
          <w:color w:val="auto"/>
          <w:vertAlign w:val="superscript"/>
        </w:rPr>
        <w:t xml:space="preserve">-1 </w:t>
      </w:r>
      <w:r w:rsidRPr="001F05D9">
        <w:rPr>
          <w:rFonts w:ascii="Arial" w:eastAsia="Times New Roman" w:hAnsi="Arial" w:cs="Arial"/>
          <w:color w:val="auto"/>
        </w:rPr>
        <w:t>BM) and may have been inadequate preparation for</w:t>
      </w:r>
      <w:r w:rsidR="00101BAC">
        <w:rPr>
          <w:rFonts w:ascii="Arial" w:eastAsia="Times New Roman" w:hAnsi="Arial" w:cs="Arial"/>
          <w:color w:val="auto"/>
        </w:rPr>
        <w:t xml:space="preserve"> the congested fixtures on day three</w:t>
      </w:r>
      <w:r w:rsidRPr="001F05D9">
        <w:rPr>
          <w:rFonts w:ascii="Arial" w:eastAsia="Times New Roman" w:hAnsi="Arial" w:cs="Arial"/>
          <w:color w:val="auto"/>
        </w:rPr>
        <w:t>. These findings raise interesting questions regarding optimal CHO requirements for athletes participating in multiple matches over consecutive days. Unlike other team sports where nutrition support for competition occurs around a single match, Touch players must conside</w:t>
      </w:r>
      <w:r w:rsidR="00101BAC">
        <w:rPr>
          <w:rFonts w:ascii="Arial" w:eastAsia="Times New Roman" w:hAnsi="Arial" w:cs="Arial"/>
          <w:color w:val="auto"/>
        </w:rPr>
        <w:t>r eating and drinking around a three to four</w:t>
      </w:r>
      <w:r w:rsidRPr="001F05D9">
        <w:rPr>
          <w:rFonts w:ascii="Arial" w:eastAsia="Times New Roman" w:hAnsi="Arial" w:cs="Arial"/>
          <w:color w:val="auto"/>
        </w:rPr>
        <w:t xml:space="preserve"> day multi-match tournament (Dziedzic &amp; Higham, 2014). Further research is therefore required </w:t>
      </w:r>
      <w:r w:rsidR="007D7462" w:rsidRPr="00163EC1">
        <w:rPr>
          <w:rFonts w:ascii="Arial" w:eastAsia="Times New Roman" w:hAnsi="Arial" w:cs="Arial"/>
          <w:color w:val="FF0000"/>
        </w:rPr>
        <w:t>to optimise</w:t>
      </w:r>
      <w:r w:rsidRPr="00163EC1">
        <w:rPr>
          <w:rFonts w:ascii="Arial" w:eastAsia="Times New Roman" w:hAnsi="Arial" w:cs="Arial"/>
          <w:color w:val="FF0000"/>
        </w:rPr>
        <w:t xml:space="preserve"> </w:t>
      </w:r>
      <w:r w:rsidRPr="001F05D9">
        <w:rPr>
          <w:rFonts w:ascii="Arial" w:eastAsia="Times New Roman" w:hAnsi="Arial" w:cs="Arial"/>
          <w:color w:val="auto"/>
        </w:rPr>
        <w:t>CHO intake for multi-match, multi-day tournaments and</w:t>
      </w:r>
      <w:r w:rsidRPr="001F05D9">
        <w:rPr>
          <w:rFonts w:ascii="Arial" w:hAnsi="Arial" w:cs="Arial"/>
          <w:color w:val="auto"/>
        </w:rPr>
        <w:t xml:space="preserve"> how best to periodise this for Touch players.</w:t>
      </w:r>
    </w:p>
    <w:p w14:paraId="5EF474B4" w14:textId="77777777" w:rsidR="004A34CA" w:rsidRPr="001F05D9" w:rsidRDefault="004A34CA">
      <w:pPr>
        <w:spacing w:line="480" w:lineRule="auto"/>
        <w:jc w:val="both"/>
        <w:rPr>
          <w:color w:val="auto"/>
        </w:rPr>
      </w:pPr>
    </w:p>
    <w:p w14:paraId="632E0397" w14:textId="77777777" w:rsidR="004A34CA" w:rsidRPr="001F05D9" w:rsidRDefault="00B5777A">
      <w:pPr>
        <w:spacing w:line="480" w:lineRule="auto"/>
        <w:jc w:val="both"/>
        <w:rPr>
          <w:rFonts w:ascii="Arial" w:eastAsia="Times New Roman" w:hAnsi="Arial" w:cs="Arial"/>
          <w:color w:val="auto"/>
        </w:rPr>
      </w:pPr>
      <w:r w:rsidRPr="001F05D9">
        <w:rPr>
          <w:rFonts w:ascii="Arial" w:eastAsia="Times New Roman" w:hAnsi="Arial" w:cs="Arial"/>
          <w:color w:val="auto"/>
        </w:rPr>
        <w:t xml:space="preserve">Protein intakes were above minimum recommendations necessary for maintaining nitrogen balance and stimulating muscle protein synthesis (Phillips &amp; van Loon, 2011). Timing and types of protein ingested by players was not reported, but is an important consideration given its role in reducing muscle damage and enhancing performance during subsequent exercise bouts (Phillips &amp; van Loon, 2011). Future studies could provide a more thorough analysis of Touch players’ protein consumption during a multi-day tournament. </w:t>
      </w:r>
    </w:p>
    <w:p w14:paraId="774CAEC3" w14:textId="77777777" w:rsidR="005E1321" w:rsidRPr="001F05D9" w:rsidRDefault="005E1321">
      <w:pPr>
        <w:spacing w:line="480" w:lineRule="auto"/>
        <w:jc w:val="both"/>
        <w:rPr>
          <w:color w:val="auto"/>
        </w:rPr>
      </w:pPr>
    </w:p>
    <w:p w14:paraId="53D97928" w14:textId="77777777" w:rsidR="004A34CA" w:rsidRPr="001F05D9" w:rsidRDefault="00B5777A">
      <w:pPr>
        <w:spacing w:line="480" w:lineRule="auto"/>
        <w:jc w:val="both"/>
        <w:rPr>
          <w:rFonts w:ascii="Arial" w:hAnsi="Arial" w:cs="Arial"/>
          <w:color w:val="auto"/>
        </w:rPr>
      </w:pPr>
      <w:r w:rsidRPr="001F05D9">
        <w:rPr>
          <w:rFonts w:ascii="Arial" w:hAnsi="Arial" w:cs="Arial"/>
          <w:color w:val="auto"/>
        </w:rPr>
        <w:t xml:space="preserve">Total fat intakes were consistent with current recommendations (20-35% total Kcal) (Thomas et al., 2016) and are comparable with that previously reported (36.1 ± 4.6% </w:t>
      </w:r>
      <w:r w:rsidRPr="001F05D9">
        <w:rPr>
          <w:rFonts w:ascii="Arial" w:hAnsi="Arial" w:cs="Arial"/>
          <w:color w:val="auto"/>
        </w:rPr>
        <w:lastRenderedPageBreak/>
        <w:t xml:space="preserve">total Kcal) in elite volleyball players (Zourdos et al., 2015). However, players’ daily saturated fat intakes significantly exceeded maximal recommended intakes (COMA, 1991). Competitive Touch players might compromise high-intensity efforts during competition if fat is consumed in place of adequate CHO (Thomas et al., 2016). Future education could be directed at reducing saturated fat intake during competition allowing for greater CHO consumption whilst maintaining energy balance. </w:t>
      </w:r>
    </w:p>
    <w:p w14:paraId="5909D95C" w14:textId="77777777" w:rsidR="005E1321" w:rsidRPr="001F05D9" w:rsidRDefault="005E1321">
      <w:pPr>
        <w:spacing w:line="480" w:lineRule="auto"/>
        <w:jc w:val="both"/>
        <w:rPr>
          <w:color w:val="auto"/>
        </w:rPr>
      </w:pPr>
    </w:p>
    <w:p w14:paraId="69E4727D" w14:textId="77777777" w:rsidR="004A34CA" w:rsidRPr="001F05D9" w:rsidRDefault="00B5777A">
      <w:pPr>
        <w:spacing w:line="480" w:lineRule="auto"/>
        <w:jc w:val="both"/>
        <w:rPr>
          <w:rFonts w:ascii="Arial" w:hAnsi="Arial" w:cs="Arial"/>
          <w:color w:val="auto"/>
        </w:rPr>
      </w:pPr>
      <w:r w:rsidRPr="001F05D9">
        <w:rPr>
          <w:rFonts w:ascii="Arial" w:hAnsi="Arial" w:cs="Arial"/>
          <w:color w:val="auto"/>
        </w:rPr>
        <w:t>Given the nature of the environment in which data were collected, this study is not without limitations. While a metabolic power approach has been used previously in other sports (Polglaze et al., 2017; Coutts et al., 2015), we acknowledge the possible underestimation of EE during match play by employing this method (Highton et al., 2016; Buchheit et al., 2015). Furthermore, data were gathered from a small sample size from one female International Touch squad during a single tournament. Further research is required using data from multiple teams of both sexes to better understand the nutritional requirements of elite Touch players.</w:t>
      </w:r>
    </w:p>
    <w:p w14:paraId="7C091DF7" w14:textId="77777777" w:rsidR="005E1321" w:rsidRPr="001F05D9" w:rsidRDefault="005E1321">
      <w:pPr>
        <w:spacing w:line="480" w:lineRule="auto"/>
        <w:jc w:val="both"/>
        <w:rPr>
          <w:color w:val="auto"/>
        </w:rPr>
      </w:pPr>
    </w:p>
    <w:p w14:paraId="04CF96E7" w14:textId="77777777" w:rsidR="00AD2E4A" w:rsidRPr="001F05D9" w:rsidRDefault="00B5777A">
      <w:pPr>
        <w:spacing w:line="480" w:lineRule="auto"/>
        <w:jc w:val="both"/>
        <w:rPr>
          <w:rFonts w:ascii="Arial" w:hAnsi="Arial" w:cs="Arial"/>
          <w:color w:val="auto"/>
        </w:rPr>
      </w:pPr>
      <w:r w:rsidRPr="001F05D9">
        <w:rPr>
          <w:rFonts w:ascii="Arial" w:hAnsi="Arial" w:cs="Arial"/>
          <w:color w:val="auto"/>
        </w:rPr>
        <w:t>In conclusion</w:t>
      </w:r>
      <w:r w:rsidRPr="001F05D9">
        <w:rPr>
          <w:rFonts w:ascii="Arial" w:eastAsia="Calibri" w:hAnsi="Arial" w:cs="Arial"/>
          <w:color w:val="auto"/>
        </w:rPr>
        <w:t>, elite female Touch players can balance energy requirements and energy intake during a tournament as no significant difference was observed. Although the unique structure of Touch</w:t>
      </w:r>
      <w:r w:rsidRPr="001F05D9">
        <w:rPr>
          <w:rFonts w:ascii="Arial" w:eastAsia="Times New Roman" w:hAnsi="Arial" w:cs="Arial"/>
          <w:color w:val="auto"/>
        </w:rPr>
        <w:t xml:space="preserve"> tournaments (multiple-matches over consecutive days) questions the applicability of sports nutrition recommendations to inform nutritional practices of other team sports (Bradley et al., 2016), p</w:t>
      </w:r>
      <w:r w:rsidRPr="001F05D9">
        <w:rPr>
          <w:rFonts w:ascii="Arial" w:eastAsia="Calibri" w:hAnsi="Arial" w:cs="Arial"/>
          <w:color w:val="auto"/>
        </w:rPr>
        <w:t xml:space="preserve">layers studied here were not meeting recommendations for daily CHO intakes. This, along with large individual variability suggests that individual nutrition support is warranted. Elite female Touch </w:t>
      </w:r>
      <w:r w:rsidRPr="001F05D9">
        <w:rPr>
          <w:rFonts w:ascii="Arial" w:eastAsia="Calibri" w:hAnsi="Arial" w:cs="Arial"/>
          <w:color w:val="auto"/>
        </w:rPr>
        <w:lastRenderedPageBreak/>
        <w:t>players are meeting recommended intakes for protein and total fat but exceeded recommendations for saturated fat. These findings have immediate practical application as players might benefit from education of adequate CHO as an important substrate for energy production.</w:t>
      </w:r>
      <w:r w:rsidRPr="001F05D9">
        <w:rPr>
          <w:rFonts w:ascii="Arial" w:hAnsi="Arial" w:cs="Arial"/>
          <w:color w:val="auto"/>
        </w:rPr>
        <w:t xml:space="preserve"> </w:t>
      </w:r>
    </w:p>
    <w:p w14:paraId="2ADCCD4C" w14:textId="77777777" w:rsidR="005E1321" w:rsidRPr="001F05D9" w:rsidRDefault="005E1321">
      <w:pPr>
        <w:spacing w:line="480" w:lineRule="auto"/>
        <w:jc w:val="both"/>
        <w:rPr>
          <w:color w:val="auto"/>
        </w:rPr>
      </w:pPr>
    </w:p>
    <w:p w14:paraId="73BCAAFB"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Acknowledgments</w:t>
      </w:r>
    </w:p>
    <w:p w14:paraId="27F85F3D" w14:textId="75FEF037" w:rsidR="005E1321" w:rsidRPr="001F05D9" w:rsidRDefault="00B5777A">
      <w:pPr>
        <w:spacing w:line="480" w:lineRule="auto"/>
        <w:jc w:val="both"/>
        <w:rPr>
          <w:rFonts w:ascii="Arial" w:eastAsia="Times New Roman" w:hAnsi="Arial" w:cs="Arial"/>
          <w:color w:val="auto"/>
          <w:shd w:val="clear" w:color="auto" w:fill="FFFFFF"/>
        </w:rPr>
      </w:pPr>
      <w:r w:rsidRPr="001F05D9">
        <w:rPr>
          <w:rFonts w:ascii="Arial" w:eastAsia="Times New Roman" w:hAnsi="Arial" w:cs="Arial"/>
          <w:color w:val="auto"/>
          <w:shd w:val="clear" w:color="auto" w:fill="FFFFFF"/>
        </w:rPr>
        <w:t>The authors would like to thank England Touch Association, players and coaches for th</w:t>
      </w:r>
      <w:r w:rsidR="006A756F">
        <w:rPr>
          <w:rFonts w:ascii="Arial" w:eastAsia="Times New Roman" w:hAnsi="Arial" w:cs="Arial"/>
          <w:color w:val="auto"/>
          <w:shd w:val="clear" w:color="auto" w:fill="FFFFFF"/>
        </w:rPr>
        <w:t>eir support.</w:t>
      </w:r>
      <w:r w:rsidRPr="001F05D9">
        <w:rPr>
          <w:rFonts w:ascii="Arial" w:eastAsia="Times New Roman" w:hAnsi="Arial" w:cs="Arial"/>
          <w:color w:val="auto"/>
          <w:shd w:val="clear" w:color="auto" w:fill="FFFFFF"/>
        </w:rPr>
        <w:t xml:space="preserve"> We also acknowledge the support of Catapult and Perform Better for providing the GPS units.</w:t>
      </w:r>
    </w:p>
    <w:p w14:paraId="7E6A6AF7"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Authorships</w:t>
      </w:r>
    </w:p>
    <w:p w14:paraId="539694B1"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This study was designed by NM and CC, data were collected and analysed by NM and ND, data interpretation and manuscript preparation were undertaken by NM, ND, CT and CC. All authors approved the final version of the paper. </w:t>
      </w:r>
    </w:p>
    <w:p w14:paraId="52D33A05"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 xml:space="preserve">Disclosure statement </w:t>
      </w:r>
    </w:p>
    <w:p w14:paraId="0C65A4FE"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The authors reported no potential conflict of interest. </w:t>
      </w:r>
    </w:p>
    <w:p w14:paraId="627B2B03" w14:textId="77777777" w:rsidR="004A34CA" w:rsidRPr="001F05D9" w:rsidRDefault="00B5777A">
      <w:pPr>
        <w:pStyle w:val="NormalWeb"/>
        <w:spacing w:line="480" w:lineRule="auto"/>
        <w:jc w:val="both"/>
        <w:rPr>
          <w:color w:val="auto"/>
        </w:rPr>
      </w:pPr>
      <w:r w:rsidRPr="001F05D9">
        <w:rPr>
          <w:rFonts w:ascii="Arial" w:hAnsi="Arial" w:cs="Arial"/>
          <w:b/>
          <w:color w:val="auto"/>
          <w:sz w:val="24"/>
          <w:szCs w:val="24"/>
        </w:rPr>
        <w:t>References</w:t>
      </w:r>
    </w:p>
    <w:p w14:paraId="2A2DFCDD"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Bangsbo, J., Iaia, F. M., &amp; Krustrup, P. (2007). Metabolic response and fatigue in soccer. </w:t>
      </w:r>
      <w:r w:rsidRPr="001F05D9">
        <w:rPr>
          <w:rFonts w:ascii="Arial" w:hAnsi="Arial" w:cs="Arial"/>
          <w:i/>
          <w:color w:val="auto"/>
          <w:sz w:val="24"/>
          <w:szCs w:val="24"/>
        </w:rPr>
        <w:t>International Journal Sports Physiology Performance, 2</w:t>
      </w:r>
      <w:r w:rsidRPr="001F05D9">
        <w:rPr>
          <w:rFonts w:ascii="Arial" w:hAnsi="Arial" w:cs="Arial"/>
          <w:color w:val="auto"/>
          <w:sz w:val="24"/>
          <w:szCs w:val="24"/>
        </w:rPr>
        <w:t>(2), 111-27.</w:t>
      </w:r>
    </w:p>
    <w:p w14:paraId="414A7DE8" w14:textId="77777777" w:rsidR="004A34CA" w:rsidRPr="001F05D9" w:rsidRDefault="00B5777A">
      <w:pPr>
        <w:spacing w:before="28" w:after="28" w:line="480" w:lineRule="auto"/>
        <w:ind w:left="720" w:hanging="720"/>
        <w:jc w:val="both"/>
        <w:rPr>
          <w:color w:val="auto"/>
        </w:rPr>
      </w:pPr>
      <w:r w:rsidRPr="001F05D9">
        <w:rPr>
          <w:rFonts w:ascii="Arial" w:hAnsi="Arial" w:cs="Arial"/>
          <w:color w:val="auto"/>
        </w:rPr>
        <w:t>Beaven, R. P., Highton, J. M., Thorpe, M., Knott, E. V., &amp; Twist, C. (2014). Movement and physiological demands of international and regional Menʼs touch rugby matches.</w:t>
      </w:r>
      <w:r w:rsidRPr="001F05D9">
        <w:rPr>
          <w:rFonts w:ascii="Arial" w:hAnsi="Arial" w:cs="Arial"/>
          <w:i/>
          <w:iCs/>
          <w:color w:val="auto"/>
        </w:rPr>
        <w:t xml:space="preserve"> Journal of Strength and Conditioning Research, 28</w:t>
      </w:r>
      <w:r w:rsidRPr="001F05D9">
        <w:rPr>
          <w:rFonts w:ascii="Arial" w:hAnsi="Arial" w:cs="Arial"/>
          <w:color w:val="auto"/>
        </w:rPr>
        <w:t xml:space="preserve">(11), 3274-3279. doi:10.1519/JSC.0000000000000535. </w:t>
      </w:r>
    </w:p>
    <w:p w14:paraId="61CCFC07"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lastRenderedPageBreak/>
        <w:t>Bluck, L. J. C. (2008). Doubly labelled water for the measurement of total energy expenditure in man – progress and applications in the last decade.</w:t>
      </w:r>
      <w:r w:rsidRPr="001F05D9">
        <w:rPr>
          <w:rFonts w:ascii="Arial" w:hAnsi="Arial" w:cs="Arial"/>
          <w:i/>
          <w:iCs/>
          <w:color w:val="auto"/>
          <w:sz w:val="24"/>
          <w:szCs w:val="24"/>
        </w:rPr>
        <w:t xml:space="preserve"> Nutrition Bulletin, 33</w:t>
      </w:r>
      <w:r w:rsidRPr="001F05D9">
        <w:rPr>
          <w:rFonts w:ascii="Arial" w:hAnsi="Arial" w:cs="Arial"/>
          <w:color w:val="auto"/>
          <w:sz w:val="24"/>
          <w:szCs w:val="24"/>
        </w:rPr>
        <w:t>(2), 80-90. doi:10.1111/j.1467-3010.2008.00695.</w:t>
      </w:r>
    </w:p>
    <w:p w14:paraId="0FED9514"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Bradley, W. J., Cavanagh, B., Douglas, W., Donovan, T. F., Twist, C., Morton, J. P., et al. (2015). Energy intake and expenditure assessed 'in-season' in an elite European rugby union squad.</w:t>
      </w:r>
      <w:r w:rsidRPr="001F05D9">
        <w:rPr>
          <w:rFonts w:ascii="Arial" w:hAnsi="Arial" w:cs="Arial"/>
          <w:i/>
          <w:iCs/>
          <w:color w:val="auto"/>
          <w:sz w:val="24"/>
          <w:szCs w:val="24"/>
        </w:rPr>
        <w:t xml:space="preserve"> European Journal of Sport Science, 15</w:t>
      </w:r>
      <w:r w:rsidRPr="001F05D9">
        <w:rPr>
          <w:rFonts w:ascii="Arial" w:hAnsi="Arial" w:cs="Arial"/>
          <w:color w:val="auto"/>
          <w:sz w:val="24"/>
          <w:szCs w:val="24"/>
        </w:rPr>
        <w:t xml:space="preserve">(6), 469. doi:10.1080/17461391.2015.1042528. </w:t>
      </w:r>
    </w:p>
    <w:p w14:paraId="287CCF66"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Bradley, W. J., Morehen, J. C., Haigh, J., Clarke, J., Donovan, T. F., Twist, C., et al. (2016). Muscle glycogen utilisation during rugby match play: Effects of pre-game carbohydrate.</w:t>
      </w:r>
      <w:r w:rsidRPr="001F05D9">
        <w:rPr>
          <w:rFonts w:ascii="Arial" w:hAnsi="Arial" w:cs="Arial"/>
          <w:i/>
          <w:iCs/>
          <w:color w:val="auto"/>
          <w:sz w:val="24"/>
          <w:szCs w:val="24"/>
        </w:rPr>
        <w:t xml:space="preserve"> Journal of Science and Medicine in Sport, </w:t>
      </w:r>
      <w:r w:rsidRPr="001F05D9">
        <w:rPr>
          <w:rFonts w:ascii="Arial" w:hAnsi="Arial" w:cs="Arial"/>
          <w:color w:val="auto"/>
          <w:sz w:val="24"/>
          <w:szCs w:val="24"/>
        </w:rPr>
        <w:t xml:space="preserve">doi:10.1016/j.jsams.2016.03.008. </w:t>
      </w:r>
    </w:p>
    <w:p w14:paraId="572D3932"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Briggs, M. A., Cockburn, E., Rumbold, P. L. S., Rae, G., Stevenson, E. J., &amp; Russell, M. (2015). Assessment of energy intake and energy expenditure of male adolescent academy-level soccer players during a competitive week. </w:t>
      </w:r>
      <w:r w:rsidRPr="001F05D9">
        <w:rPr>
          <w:rFonts w:ascii="Arial" w:hAnsi="Arial" w:cs="Arial"/>
          <w:i/>
          <w:color w:val="auto"/>
          <w:sz w:val="24"/>
          <w:szCs w:val="24"/>
        </w:rPr>
        <w:t>Nutrients, 7</w:t>
      </w:r>
      <w:r w:rsidRPr="001F05D9">
        <w:rPr>
          <w:rFonts w:ascii="Arial" w:hAnsi="Arial" w:cs="Arial"/>
          <w:color w:val="auto"/>
          <w:sz w:val="24"/>
          <w:szCs w:val="24"/>
        </w:rPr>
        <w:t xml:space="preserve">(10), 8392-8401. </w:t>
      </w:r>
    </w:p>
    <w:p w14:paraId="7CF81564"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Brønd, J. C., &amp; Arvidsson, D. (2016). Sample frequency affects the processing of ActiGraph raw acceleration data to activity counts. </w:t>
      </w:r>
      <w:r w:rsidRPr="001F05D9">
        <w:rPr>
          <w:rFonts w:ascii="Arial" w:hAnsi="Arial" w:cs="Arial"/>
          <w:i/>
          <w:color w:val="auto"/>
          <w:sz w:val="24"/>
          <w:szCs w:val="24"/>
        </w:rPr>
        <w:t>Journal Applied Physiology. 120</w:t>
      </w:r>
      <w:r w:rsidRPr="001F05D9">
        <w:rPr>
          <w:rFonts w:ascii="Arial" w:hAnsi="Arial" w:cs="Arial"/>
          <w:color w:val="auto"/>
          <w:sz w:val="24"/>
          <w:szCs w:val="24"/>
        </w:rPr>
        <w:t>(3), 362-9. doi: 10.1152/japplphysiol.00628.2015.</w:t>
      </w:r>
    </w:p>
    <w:p w14:paraId="5459A28D" w14:textId="77777777" w:rsidR="004A34CA" w:rsidRPr="001F05D9" w:rsidRDefault="00B5777A">
      <w:pPr>
        <w:spacing w:before="28" w:after="28" w:line="480" w:lineRule="auto"/>
        <w:ind w:left="720" w:hanging="720"/>
        <w:jc w:val="both"/>
        <w:rPr>
          <w:color w:val="auto"/>
        </w:rPr>
      </w:pPr>
      <w:r w:rsidRPr="001F05D9">
        <w:rPr>
          <w:rFonts w:ascii="Arial" w:hAnsi="Arial" w:cs="Arial"/>
          <w:color w:val="auto"/>
        </w:rPr>
        <w:t>Buchheit, M., Manouvrier, C., Cassirame, J., &amp; Morin, J. (2015). Monitoring locomotor load in soccer: Is metabolic power, powerful?</w:t>
      </w:r>
      <w:r w:rsidRPr="001F05D9">
        <w:rPr>
          <w:rFonts w:ascii="Arial" w:hAnsi="Arial" w:cs="Arial"/>
          <w:i/>
          <w:iCs/>
          <w:color w:val="auto"/>
        </w:rPr>
        <w:t xml:space="preserve"> International Journal Sports Medicine, 36</w:t>
      </w:r>
      <w:r w:rsidRPr="001F05D9">
        <w:rPr>
          <w:rFonts w:ascii="Arial" w:hAnsi="Arial" w:cs="Arial"/>
          <w:color w:val="auto"/>
        </w:rPr>
        <w:t>(14), 1149-1155. doi:10.1055/s-0035-1555927.</w:t>
      </w:r>
    </w:p>
    <w:p w14:paraId="0DBDD391" w14:textId="77777777" w:rsidR="004A34CA" w:rsidRPr="001F05D9" w:rsidRDefault="00B5777A">
      <w:pPr>
        <w:spacing w:before="28" w:after="28" w:line="480" w:lineRule="auto"/>
        <w:ind w:left="720" w:hanging="720"/>
        <w:jc w:val="both"/>
        <w:rPr>
          <w:color w:val="auto"/>
        </w:rPr>
      </w:pPr>
      <w:r w:rsidRPr="001F05D9">
        <w:rPr>
          <w:rFonts w:ascii="Arial" w:hAnsi="Arial" w:cs="Arial"/>
          <w:color w:val="auto"/>
        </w:rPr>
        <w:t xml:space="preserve">Burke, L. M., Hawley, J. A., Wong, S. H. S., &amp; Jeukendrup, A. E. (2011). Carbohydrates for training and competition. </w:t>
      </w:r>
      <w:r w:rsidRPr="001F05D9">
        <w:rPr>
          <w:rFonts w:ascii="Arial" w:hAnsi="Arial" w:cs="Arial"/>
          <w:i/>
          <w:iCs/>
          <w:color w:val="auto"/>
        </w:rPr>
        <w:t xml:space="preserve">Journal of Sports Sciences, </w:t>
      </w:r>
      <w:r w:rsidRPr="001F05D9">
        <w:rPr>
          <w:rFonts w:ascii="Arial" w:hAnsi="Arial" w:cs="Arial"/>
          <w:i/>
          <w:color w:val="auto"/>
        </w:rPr>
        <w:t>29</w:t>
      </w:r>
      <w:r w:rsidRPr="001F05D9">
        <w:rPr>
          <w:rFonts w:ascii="Arial" w:hAnsi="Arial" w:cs="Arial"/>
          <w:color w:val="auto"/>
        </w:rPr>
        <w:t>(1), S17-S27. doi:10.1080/02640414.2011.585473.</w:t>
      </w:r>
    </w:p>
    <w:p w14:paraId="466A1B12"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lastRenderedPageBreak/>
        <w:t>Burke, L. M., Loucks, A. B., &amp; Broad, N. (2006). Energy and carbohydrate for training and recovery.</w:t>
      </w:r>
      <w:r w:rsidRPr="001F05D9">
        <w:rPr>
          <w:rFonts w:ascii="Arial" w:hAnsi="Arial" w:cs="Arial"/>
          <w:i/>
          <w:iCs/>
          <w:color w:val="auto"/>
          <w:sz w:val="24"/>
          <w:szCs w:val="24"/>
        </w:rPr>
        <w:t xml:space="preserve"> Journal of Sports Sciences, 24</w:t>
      </w:r>
      <w:r w:rsidRPr="001F05D9">
        <w:rPr>
          <w:rFonts w:ascii="Arial" w:hAnsi="Arial" w:cs="Arial"/>
          <w:color w:val="auto"/>
          <w:sz w:val="24"/>
          <w:szCs w:val="24"/>
        </w:rPr>
        <w:t xml:space="preserve">(7), 675-685. doi:10.1080/02640410500482602. </w:t>
      </w:r>
    </w:p>
    <w:p w14:paraId="6F9D609F"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Committee on Medical Aspects of Food Policy (COMA) (1991). The 1991 COMA Report on Dietary Reference Values (DRVs). </w:t>
      </w:r>
    </w:p>
    <w:p w14:paraId="0390A0DC"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Clark, M., Reed, D. B., Crouse, S. F., &amp; Armstrong, R. B. (2003). Pre- and post-season dietary intake, body composition, and performance indices of NCAA Division I female soccer players.</w:t>
      </w:r>
      <w:r w:rsidRPr="001F05D9">
        <w:rPr>
          <w:rFonts w:ascii="Arial" w:hAnsi="Arial" w:cs="Arial"/>
          <w:i/>
          <w:color w:val="auto"/>
          <w:sz w:val="24"/>
          <w:szCs w:val="24"/>
        </w:rPr>
        <w:t xml:space="preserve"> International Journal of Sport Nutrition and Exercise Metabolism, 13</w:t>
      </w:r>
      <w:r w:rsidRPr="001F05D9">
        <w:rPr>
          <w:rFonts w:ascii="Arial" w:hAnsi="Arial" w:cs="Arial"/>
          <w:color w:val="auto"/>
          <w:sz w:val="24"/>
          <w:szCs w:val="24"/>
        </w:rPr>
        <w:t>, 303-319.</w:t>
      </w:r>
    </w:p>
    <w:p w14:paraId="5E77DD61" w14:textId="77777777" w:rsidR="004A34CA" w:rsidRPr="001F05D9" w:rsidRDefault="00B5777A">
      <w:pPr>
        <w:pStyle w:val="NormalWeb"/>
        <w:spacing w:line="480" w:lineRule="auto"/>
        <w:ind w:left="720" w:hanging="720"/>
        <w:jc w:val="both"/>
        <w:rPr>
          <w:color w:val="auto"/>
        </w:rPr>
      </w:pPr>
      <w:r w:rsidRPr="001F05D9">
        <w:rPr>
          <w:rFonts w:ascii="Arial" w:eastAsia="Times New Roman" w:hAnsi="Arial" w:cs="Arial"/>
          <w:color w:val="auto"/>
          <w:sz w:val="24"/>
          <w:szCs w:val="24"/>
        </w:rPr>
        <w:t xml:space="preserve">Coutts, A. J., Kempton, T., Sullivan, C., Bilsborough, J., Cordy, J., &amp; Rampinini, E. (2015). Metabolic power and energetic costs of professional Australian football match-play. </w:t>
      </w:r>
      <w:r w:rsidRPr="001F05D9">
        <w:rPr>
          <w:rFonts w:ascii="Arial" w:eastAsia="Times New Roman" w:hAnsi="Arial" w:cs="Arial"/>
          <w:i/>
          <w:color w:val="auto"/>
          <w:sz w:val="24"/>
          <w:szCs w:val="24"/>
        </w:rPr>
        <w:t>Journal of Science and Medicine in Sport,</w:t>
      </w:r>
      <w:r w:rsidRPr="001F05D9">
        <w:rPr>
          <w:rFonts w:ascii="Arial" w:eastAsia="Times New Roman" w:hAnsi="Arial" w:cs="Arial"/>
          <w:color w:val="auto"/>
          <w:sz w:val="24"/>
          <w:szCs w:val="24"/>
        </w:rPr>
        <w:t xml:space="preserve"> </w:t>
      </w:r>
      <w:r w:rsidRPr="001F05D9">
        <w:rPr>
          <w:rFonts w:ascii="Arial" w:eastAsia="Times New Roman" w:hAnsi="Arial" w:cs="Arial"/>
          <w:i/>
          <w:color w:val="auto"/>
          <w:sz w:val="24"/>
          <w:szCs w:val="24"/>
        </w:rPr>
        <w:t>18</w:t>
      </w:r>
      <w:r w:rsidRPr="001F05D9">
        <w:rPr>
          <w:rFonts w:ascii="Arial" w:eastAsia="Times New Roman" w:hAnsi="Arial" w:cs="Arial"/>
          <w:color w:val="auto"/>
          <w:sz w:val="24"/>
          <w:szCs w:val="24"/>
        </w:rPr>
        <w:t xml:space="preserve">(2), 219–224. doi:10.1016/j.jsams.2014.02.003 </w:t>
      </w:r>
    </w:p>
    <w:p w14:paraId="3774BAB0" w14:textId="77777777" w:rsidR="004A34CA" w:rsidRPr="001F05D9" w:rsidRDefault="00B5777A">
      <w:pPr>
        <w:pStyle w:val="NormalWeb"/>
        <w:spacing w:line="480" w:lineRule="auto"/>
        <w:ind w:left="720" w:hanging="720"/>
        <w:jc w:val="both"/>
        <w:rPr>
          <w:color w:val="auto"/>
        </w:rPr>
      </w:pPr>
      <w:r w:rsidRPr="001F05D9">
        <w:rPr>
          <w:rFonts w:ascii="Arial" w:eastAsia="Times New Roman" w:hAnsi="Arial" w:cs="Arial"/>
          <w:color w:val="auto"/>
          <w:sz w:val="24"/>
          <w:szCs w:val="24"/>
        </w:rPr>
        <w:t>di Prampero, P., Fusi, S., Sepulcri, L., Morin, J., Belli, A., &amp; Antonutto, G. (2005). Sprint running: A new energetic approach. J</w:t>
      </w:r>
      <w:r w:rsidRPr="001F05D9">
        <w:rPr>
          <w:rFonts w:ascii="Arial" w:eastAsia="Times New Roman" w:hAnsi="Arial" w:cs="Arial"/>
          <w:i/>
          <w:color w:val="auto"/>
          <w:sz w:val="24"/>
          <w:szCs w:val="24"/>
        </w:rPr>
        <w:t>ournal of Experimental Biology</w:t>
      </w:r>
      <w:r w:rsidRPr="001F05D9">
        <w:rPr>
          <w:rFonts w:ascii="Arial" w:eastAsia="Times New Roman" w:hAnsi="Arial" w:cs="Arial"/>
          <w:color w:val="auto"/>
          <w:sz w:val="24"/>
          <w:szCs w:val="24"/>
        </w:rPr>
        <w:t xml:space="preserve">, </w:t>
      </w:r>
      <w:r w:rsidRPr="001F05D9">
        <w:rPr>
          <w:rFonts w:ascii="Arial" w:eastAsia="Times New Roman" w:hAnsi="Arial" w:cs="Arial"/>
          <w:i/>
          <w:color w:val="auto"/>
          <w:sz w:val="24"/>
          <w:szCs w:val="24"/>
        </w:rPr>
        <w:t>208</w:t>
      </w:r>
      <w:r w:rsidRPr="001F05D9">
        <w:rPr>
          <w:rFonts w:ascii="Arial" w:eastAsia="Times New Roman" w:hAnsi="Arial" w:cs="Arial"/>
          <w:color w:val="auto"/>
          <w:sz w:val="24"/>
          <w:szCs w:val="24"/>
        </w:rPr>
        <w:t>(14), 2809–2816. doi:10.1242/jeb.01700</w:t>
      </w:r>
      <w:r w:rsidRPr="001F05D9">
        <w:rPr>
          <w:rFonts w:ascii="Arial" w:hAnsi="Arial" w:cs="Arial"/>
          <w:color w:val="auto"/>
          <w:sz w:val="24"/>
          <w:szCs w:val="24"/>
        </w:rPr>
        <w:t xml:space="preserve">. </w:t>
      </w:r>
    </w:p>
    <w:p w14:paraId="142AD3B9"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Drenowatz, C., &amp; Eisenmann, J. C. (2011). Validation of SenseWear Armband at high intensity exercise. European Journal Applied Physiology, </w:t>
      </w:r>
      <w:r w:rsidRPr="001F05D9">
        <w:rPr>
          <w:rFonts w:ascii="Arial" w:hAnsi="Arial" w:cs="Arial"/>
          <w:i/>
          <w:color w:val="auto"/>
          <w:sz w:val="24"/>
          <w:szCs w:val="24"/>
        </w:rPr>
        <w:t>111</w:t>
      </w:r>
      <w:r w:rsidRPr="001F05D9">
        <w:rPr>
          <w:rFonts w:ascii="Arial" w:hAnsi="Arial" w:cs="Arial"/>
          <w:color w:val="auto"/>
          <w:sz w:val="24"/>
          <w:szCs w:val="24"/>
        </w:rPr>
        <w:t>(5), 883-887. doi: 10.1007/s00421-010-1695-0.</w:t>
      </w:r>
    </w:p>
    <w:p w14:paraId="4A091542"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Dziedzic, C. E., &amp; Higham, D. G. (2014). Performance nutrition guidelines for international rugby sevens tournaments. </w:t>
      </w:r>
      <w:r w:rsidRPr="001F05D9">
        <w:rPr>
          <w:rFonts w:ascii="Arial" w:hAnsi="Arial" w:cs="Arial"/>
          <w:i/>
          <w:color w:val="auto"/>
          <w:sz w:val="24"/>
          <w:szCs w:val="24"/>
        </w:rPr>
        <w:t>International Journal Sports Nutrition and Exercise MetaboIism, 24</w:t>
      </w:r>
      <w:r w:rsidRPr="001F05D9">
        <w:rPr>
          <w:rFonts w:ascii="Arial" w:hAnsi="Arial" w:cs="Arial"/>
          <w:color w:val="auto"/>
          <w:sz w:val="24"/>
          <w:szCs w:val="24"/>
        </w:rPr>
        <w:t>(3), 305-14.</w:t>
      </w:r>
      <w:r w:rsidRPr="001F05D9">
        <w:rPr>
          <w:rFonts w:ascii="Arial" w:hAnsi="Arial" w:cs="Arial"/>
          <w:i/>
          <w:color w:val="auto"/>
          <w:sz w:val="24"/>
          <w:szCs w:val="24"/>
        </w:rPr>
        <w:t xml:space="preserve"> </w:t>
      </w:r>
    </w:p>
    <w:p w14:paraId="59814F87" w14:textId="77777777" w:rsidR="004A34CA" w:rsidRPr="001F05D9" w:rsidRDefault="00B5777A">
      <w:pPr>
        <w:spacing w:before="28" w:after="28" w:line="480" w:lineRule="auto"/>
        <w:ind w:left="720" w:hanging="720"/>
        <w:jc w:val="both"/>
        <w:rPr>
          <w:color w:val="auto"/>
        </w:rPr>
      </w:pPr>
      <w:r w:rsidRPr="001F05D9">
        <w:rPr>
          <w:rFonts w:ascii="Arial" w:hAnsi="Arial" w:cs="Arial"/>
          <w:color w:val="auto"/>
        </w:rPr>
        <w:t xml:space="preserve">Federation of International Touch © (FIT). (2008-2016). What is touch? Retrieved January 31, 2016, from </w:t>
      </w:r>
      <w:hyperlink r:id="rId8">
        <w:r w:rsidRPr="001F05D9">
          <w:rPr>
            <w:rStyle w:val="InternetLink"/>
            <w:rFonts w:ascii="Arial" w:hAnsi="Arial" w:cs="Arial"/>
            <w:color w:val="auto"/>
            <w:u w:val="none"/>
          </w:rPr>
          <w:t>https://www.internationaltouch.org/what-is-touch/</w:t>
        </w:r>
      </w:hyperlink>
      <w:r w:rsidRPr="001F05D9">
        <w:rPr>
          <w:rFonts w:ascii="Arial" w:hAnsi="Arial" w:cs="Arial"/>
          <w:color w:val="auto"/>
        </w:rPr>
        <w:t xml:space="preserve">. </w:t>
      </w:r>
    </w:p>
    <w:p w14:paraId="50D4E3FB" w14:textId="77777777" w:rsidR="004A34CA" w:rsidRPr="001F05D9" w:rsidRDefault="00B5777A">
      <w:pPr>
        <w:spacing w:before="28" w:after="28" w:line="480" w:lineRule="auto"/>
        <w:ind w:left="720" w:hanging="720"/>
        <w:jc w:val="both"/>
        <w:rPr>
          <w:color w:val="auto"/>
        </w:rPr>
      </w:pPr>
      <w:r w:rsidRPr="001F05D9">
        <w:rPr>
          <w:rFonts w:ascii="Arial" w:hAnsi="Arial" w:cs="Arial"/>
          <w:color w:val="auto"/>
        </w:rPr>
        <w:lastRenderedPageBreak/>
        <w:t xml:space="preserve">Heaney, S., O’Connor, H., Gifford, J., &amp; Naughton, G. (2010). Comparison of strategies for assessing nutritional adequacy in elite female athletes’ dietary intake. </w:t>
      </w:r>
      <w:r w:rsidRPr="001F05D9">
        <w:rPr>
          <w:rFonts w:ascii="Arial" w:hAnsi="Arial" w:cs="Arial"/>
          <w:i/>
          <w:color w:val="auto"/>
        </w:rPr>
        <w:t>International Journal of Sport Nutrition and Exercise Metabolism</w:t>
      </w:r>
      <w:r w:rsidRPr="001F05D9">
        <w:rPr>
          <w:rFonts w:ascii="Arial" w:hAnsi="Arial" w:cs="Arial"/>
          <w:color w:val="auto"/>
        </w:rPr>
        <w:t xml:space="preserve">, </w:t>
      </w:r>
      <w:r w:rsidRPr="001F05D9">
        <w:rPr>
          <w:rFonts w:ascii="Arial" w:hAnsi="Arial" w:cs="Arial"/>
          <w:i/>
          <w:color w:val="auto"/>
        </w:rPr>
        <w:t>20</w:t>
      </w:r>
      <w:r w:rsidRPr="001F05D9">
        <w:rPr>
          <w:rFonts w:ascii="Arial" w:hAnsi="Arial" w:cs="Arial"/>
          <w:color w:val="auto"/>
        </w:rPr>
        <w:t>, 245– 256.</w:t>
      </w:r>
    </w:p>
    <w:p w14:paraId="123AEA48" w14:textId="77777777" w:rsidR="004A34CA" w:rsidRPr="001F05D9" w:rsidRDefault="00B5777A">
      <w:pPr>
        <w:spacing w:before="28" w:after="28" w:line="480" w:lineRule="auto"/>
        <w:ind w:left="720" w:hanging="720"/>
        <w:jc w:val="both"/>
        <w:rPr>
          <w:color w:val="auto"/>
        </w:rPr>
      </w:pPr>
      <w:r w:rsidRPr="001F05D9">
        <w:rPr>
          <w:rFonts w:ascii="Arial" w:eastAsia="Times New Roman" w:hAnsi="Arial" w:cs="Arial"/>
          <w:color w:val="auto"/>
        </w:rPr>
        <w:t xml:space="preserve">Highton, J., Mullen, T., Norris, J., Oxendale, C., &amp; Twist, C. (2016). Energy expenditure derived from micro-technology is not suitable for assessing internal load in collision-based activities. </w:t>
      </w:r>
      <w:r w:rsidRPr="001F05D9">
        <w:rPr>
          <w:rFonts w:ascii="Arial" w:eastAsia="Times New Roman" w:hAnsi="Arial" w:cs="Arial"/>
          <w:i/>
          <w:color w:val="auto"/>
        </w:rPr>
        <w:t>International Journal of Sports Physiology and Performance</w:t>
      </w:r>
      <w:r w:rsidRPr="001F05D9">
        <w:rPr>
          <w:rFonts w:ascii="Arial" w:eastAsia="Times New Roman" w:hAnsi="Arial" w:cs="Arial"/>
          <w:color w:val="auto"/>
        </w:rPr>
        <w:t xml:space="preserve">, Ahead-Of-Print, 1–15. doi:10.1123/ ijspp.2016-0069. </w:t>
      </w:r>
    </w:p>
    <w:p w14:paraId="793A7451" w14:textId="77777777" w:rsidR="004A34CA" w:rsidRPr="001F05D9" w:rsidRDefault="00B5777A">
      <w:pPr>
        <w:spacing w:before="28" w:after="28" w:line="480" w:lineRule="auto"/>
        <w:ind w:left="720" w:hanging="720"/>
        <w:jc w:val="both"/>
        <w:rPr>
          <w:color w:val="auto"/>
        </w:rPr>
      </w:pPr>
      <w:r w:rsidRPr="001F05D9">
        <w:rPr>
          <w:rFonts w:ascii="Arial" w:eastAsia="Times New Roman" w:hAnsi="Arial" w:cs="Arial"/>
          <w:color w:val="auto"/>
        </w:rPr>
        <w:t xml:space="preserve">Hills, A. P., Mokhtar, N., &amp; Byrne, M. N. (2014). Assessment of physical activity and energy expenditure: An overview of objective measures. </w:t>
      </w:r>
      <w:r w:rsidRPr="001F05D9">
        <w:rPr>
          <w:rFonts w:ascii="Arial" w:eastAsia="Times New Roman" w:hAnsi="Arial" w:cs="Arial"/>
          <w:i/>
          <w:color w:val="auto"/>
        </w:rPr>
        <w:t xml:space="preserve">Frontiers in Nutrition, </w:t>
      </w:r>
      <w:r w:rsidRPr="001F05D9">
        <w:rPr>
          <w:rFonts w:ascii="Arial" w:eastAsia="Times New Roman" w:hAnsi="Arial" w:cs="Arial"/>
          <w:color w:val="auto"/>
        </w:rPr>
        <w:t xml:space="preserve">1-5. </w:t>
      </w:r>
      <w:r w:rsidRPr="001F05D9">
        <w:rPr>
          <w:rFonts w:ascii="Arial" w:eastAsia="Times New Roman" w:hAnsi="Arial" w:cs="Arial"/>
          <w:color w:val="auto"/>
          <w:shd w:val="clear" w:color="auto" w:fill="FFFFFF"/>
        </w:rPr>
        <w:t xml:space="preserve">doi:10.3389/fnut.2014.00005. </w:t>
      </w:r>
    </w:p>
    <w:p w14:paraId="528D2F0D"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Holway, F. E., &amp; Spriet, L. L. (2011). Sport-specific nutrition: Practical strategies for team sports.</w:t>
      </w:r>
      <w:r w:rsidRPr="001F05D9">
        <w:rPr>
          <w:rFonts w:ascii="Arial" w:hAnsi="Arial" w:cs="Arial"/>
          <w:i/>
          <w:iCs/>
          <w:color w:val="auto"/>
          <w:sz w:val="24"/>
          <w:szCs w:val="24"/>
        </w:rPr>
        <w:t xml:space="preserve"> Journal of Sports Sciences, 29</w:t>
      </w:r>
      <w:r w:rsidRPr="001F05D9">
        <w:rPr>
          <w:rFonts w:ascii="Arial" w:hAnsi="Arial" w:cs="Arial"/>
          <w:color w:val="auto"/>
          <w:sz w:val="24"/>
          <w:szCs w:val="24"/>
        </w:rPr>
        <w:t xml:space="preserve">(S1), S115-S125. doi:10.1080/02640414.2011.605459. </w:t>
      </w:r>
    </w:p>
    <w:p w14:paraId="0D52E7A8" w14:textId="77777777" w:rsidR="004A34CA" w:rsidRPr="001F05D9" w:rsidRDefault="0023623D">
      <w:pPr>
        <w:pStyle w:val="NormalWeb"/>
        <w:spacing w:line="480" w:lineRule="auto"/>
        <w:ind w:left="720" w:hanging="720"/>
        <w:jc w:val="both"/>
        <w:rPr>
          <w:color w:val="auto"/>
        </w:rPr>
      </w:pPr>
      <w:hyperlink r:id="rId9">
        <w:r w:rsidR="00B5777A" w:rsidRPr="001F05D9">
          <w:rPr>
            <w:rStyle w:val="InternetLink"/>
            <w:rFonts w:ascii="Arial" w:hAnsi="Arial" w:cs="Arial"/>
            <w:color w:val="auto"/>
            <w:sz w:val="24"/>
            <w:szCs w:val="24"/>
            <w:u w:val="none"/>
          </w:rPr>
          <w:t>Krustrup, P</w:t>
        </w:r>
      </w:hyperlink>
      <w:r w:rsidR="00B5777A" w:rsidRPr="001F05D9">
        <w:rPr>
          <w:rFonts w:ascii="Arial" w:hAnsi="Arial" w:cs="Arial"/>
          <w:bCs/>
          <w:color w:val="auto"/>
          <w:sz w:val="24"/>
          <w:szCs w:val="24"/>
        </w:rPr>
        <w:t>.</w:t>
      </w:r>
      <w:r w:rsidR="00B5777A" w:rsidRPr="001F05D9">
        <w:rPr>
          <w:rFonts w:ascii="Arial" w:hAnsi="Arial" w:cs="Arial"/>
          <w:color w:val="auto"/>
          <w:sz w:val="24"/>
          <w:szCs w:val="24"/>
        </w:rPr>
        <w:t xml:space="preserve">, </w:t>
      </w:r>
      <w:hyperlink r:id="rId10">
        <w:r w:rsidR="00B5777A" w:rsidRPr="001F05D9">
          <w:rPr>
            <w:rStyle w:val="InternetLink"/>
            <w:rFonts w:ascii="Arial" w:hAnsi="Arial" w:cs="Arial"/>
            <w:color w:val="auto"/>
            <w:sz w:val="24"/>
            <w:szCs w:val="24"/>
            <w:u w:val="none"/>
          </w:rPr>
          <w:t>Mohr, M</w:t>
        </w:r>
      </w:hyperlink>
      <w:r w:rsidR="00B5777A" w:rsidRPr="001F05D9">
        <w:rPr>
          <w:rFonts w:ascii="Arial" w:hAnsi="Arial" w:cs="Arial"/>
          <w:color w:val="auto"/>
          <w:sz w:val="24"/>
          <w:szCs w:val="24"/>
        </w:rPr>
        <w:t xml:space="preserve">., </w:t>
      </w:r>
      <w:hyperlink r:id="rId11">
        <w:r w:rsidR="00B5777A" w:rsidRPr="001F05D9">
          <w:rPr>
            <w:rStyle w:val="InternetLink"/>
            <w:rFonts w:ascii="Arial" w:hAnsi="Arial" w:cs="Arial"/>
            <w:color w:val="auto"/>
            <w:sz w:val="24"/>
            <w:szCs w:val="24"/>
            <w:u w:val="none"/>
          </w:rPr>
          <w:t>Steensberg, A</w:t>
        </w:r>
      </w:hyperlink>
      <w:r w:rsidR="00B5777A" w:rsidRPr="001F05D9">
        <w:rPr>
          <w:rFonts w:ascii="Arial" w:hAnsi="Arial" w:cs="Arial"/>
          <w:color w:val="auto"/>
          <w:sz w:val="24"/>
          <w:szCs w:val="24"/>
        </w:rPr>
        <w:t xml:space="preserve">., </w:t>
      </w:r>
      <w:hyperlink r:id="rId12">
        <w:r w:rsidR="00B5777A" w:rsidRPr="001F05D9">
          <w:rPr>
            <w:rStyle w:val="InternetLink"/>
            <w:rFonts w:ascii="Arial" w:hAnsi="Arial" w:cs="Arial"/>
            <w:color w:val="auto"/>
            <w:sz w:val="24"/>
            <w:szCs w:val="24"/>
            <w:u w:val="none"/>
          </w:rPr>
          <w:t>Bencke, J</w:t>
        </w:r>
      </w:hyperlink>
      <w:r w:rsidR="00B5777A" w:rsidRPr="001F05D9">
        <w:rPr>
          <w:rFonts w:ascii="Arial" w:hAnsi="Arial" w:cs="Arial"/>
          <w:color w:val="auto"/>
          <w:sz w:val="24"/>
          <w:szCs w:val="24"/>
        </w:rPr>
        <w:t xml:space="preserve">., </w:t>
      </w:r>
      <w:hyperlink r:id="rId13">
        <w:r w:rsidR="00B5777A" w:rsidRPr="001F05D9">
          <w:rPr>
            <w:rStyle w:val="InternetLink"/>
            <w:rFonts w:ascii="Arial" w:hAnsi="Arial" w:cs="Arial"/>
            <w:color w:val="auto"/>
            <w:sz w:val="24"/>
            <w:szCs w:val="24"/>
            <w:u w:val="none"/>
          </w:rPr>
          <w:t>Kjaer, M</w:t>
        </w:r>
      </w:hyperlink>
      <w:r w:rsidR="00B5777A" w:rsidRPr="001F05D9">
        <w:rPr>
          <w:rFonts w:ascii="Arial" w:hAnsi="Arial" w:cs="Arial"/>
          <w:color w:val="auto"/>
          <w:sz w:val="24"/>
          <w:szCs w:val="24"/>
        </w:rPr>
        <w:t xml:space="preserve">., &amp; </w:t>
      </w:r>
      <w:hyperlink r:id="rId14">
        <w:r w:rsidR="00B5777A" w:rsidRPr="001F05D9">
          <w:rPr>
            <w:rStyle w:val="InternetLink"/>
            <w:rFonts w:ascii="Arial" w:hAnsi="Arial" w:cs="Arial"/>
            <w:color w:val="auto"/>
            <w:sz w:val="24"/>
            <w:szCs w:val="24"/>
            <w:u w:val="none"/>
          </w:rPr>
          <w:t>Bangsbo J</w:t>
        </w:r>
      </w:hyperlink>
      <w:r w:rsidR="00B5777A" w:rsidRPr="001F05D9">
        <w:rPr>
          <w:rFonts w:ascii="Arial" w:hAnsi="Arial" w:cs="Arial"/>
          <w:color w:val="auto"/>
          <w:sz w:val="24"/>
          <w:szCs w:val="24"/>
        </w:rPr>
        <w:t>.</w:t>
      </w:r>
      <w:r w:rsidR="00B5777A" w:rsidRPr="001F05D9">
        <w:rPr>
          <w:rFonts w:ascii="Arial" w:hAnsi="Arial" w:cs="Arial"/>
          <w:b/>
          <w:bCs/>
          <w:color w:val="auto"/>
          <w:sz w:val="24"/>
          <w:szCs w:val="24"/>
        </w:rPr>
        <w:t xml:space="preserve"> </w:t>
      </w:r>
      <w:r w:rsidR="00B5777A" w:rsidRPr="001F05D9">
        <w:rPr>
          <w:rFonts w:ascii="Arial" w:hAnsi="Arial" w:cs="Arial"/>
          <w:bCs/>
          <w:color w:val="auto"/>
          <w:sz w:val="24"/>
          <w:szCs w:val="24"/>
        </w:rPr>
        <w:t>(2006).</w:t>
      </w:r>
      <w:r w:rsidR="00B5777A" w:rsidRPr="001F05D9">
        <w:rPr>
          <w:rFonts w:ascii="Arial" w:hAnsi="Arial" w:cs="Arial"/>
          <w:b/>
          <w:bCs/>
          <w:color w:val="auto"/>
          <w:sz w:val="24"/>
          <w:szCs w:val="24"/>
        </w:rPr>
        <w:t xml:space="preserve"> </w:t>
      </w:r>
      <w:r w:rsidR="00B5777A" w:rsidRPr="001F05D9">
        <w:rPr>
          <w:rFonts w:ascii="Arial" w:hAnsi="Arial" w:cs="Arial"/>
          <w:bCs/>
          <w:color w:val="auto"/>
          <w:sz w:val="24"/>
          <w:szCs w:val="24"/>
        </w:rPr>
        <w:t>Muscle and blood metabolites during a soccer game: implications for sprint performance.</w:t>
      </w:r>
      <w:r w:rsidR="00B5777A" w:rsidRPr="001F05D9">
        <w:rPr>
          <w:rFonts w:ascii="Arial" w:hAnsi="Arial" w:cs="Arial"/>
          <w:b/>
          <w:bCs/>
          <w:color w:val="auto"/>
          <w:sz w:val="24"/>
          <w:szCs w:val="24"/>
        </w:rPr>
        <w:t xml:space="preserve"> </w:t>
      </w:r>
      <w:r w:rsidR="00B5777A" w:rsidRPr="001F05D9">
        <w:rPr>
          <w:rFonts w:ascii="Arial" w:hAnsi="Arial" w:cs="Arial"/>
          <w:i/>
          <w:color w:val="auto"/>
          <w:sz w:val="24"/>
          <w:szCs w:val="24"/>
        </w:rPr>
        <w:t>Medicine and Science in Sports and Exercise</w:t>
      </w:r>
      <w:r w:rsidR="00B5777A" w:rsidRPr="001F05D9">
        <w:rPr>
          <w:rFonts w:ascii="Arial" w:hAnsi="Arial" w:cs="Arial"/>
          <w:color w:val="auto"/>
          <w:sz w:val="24"/>
          <w:szCs w:val="24"/>
        </w:rPr>
        <w:t xml:space="preserve">. </w:t>
      </w:r>
      <w:r w:rsidR="00B5777A" w:rsidRPr="001F05D9">
        <w:rPr>
          <w:rFonts w:ascii="Arial" w:hAnsi="Arial" w:cs="Arial"/>
          <w:i/>
          <w:color w:val="auto"/>
          <w:sz w:val="24"/>
          <w:szCs w:val="24"/>
        </w:rPr>
        <w:t>38</w:t>
      </w:r>
      <w:r w:rsidR="00B5777A" w:rsidRPr="001F05D9">
        <w:rPr>
          <w:rFonts w:ascii="Arial" w:hAnsi="Arial" w:cs="Arial"/>
          <w:color w:val="auto"/>
          <w:sz w:val="24"/>
          <w:szCs w:val="24"/>
        </w:rPr>
        <w:t>(6),1165-74.</w:t>
      </w:r>
    </w:p>
    <w:p w14:paraId="408DDB04"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lang w:val="en-US"/>
        </w:rPr>
        <w:t xml:space="preserve">MacLeod, H., &amp; Sunderland, C. (2009). Fluid balance and hydration habits of elite female field hockey players during consecutive international matches. </w:t>
      </w:r>
      <w:r w:rsidRPr="001F05D9">
        <w:rPr>
          <w:rFonts w:ascii="Arial" w:hAnsi="Arial" w:cs="Arial"/>
          <w:i/>
          <w:iCs/>
          <w:color w:val="auto"/>
          <w:sz w:val="24"/>
          <w:szCs w:val="24"/>
          <w:lang w:val="en-US"/>
        </w:rPr>
        <w:t xml:space="preserve">Journal of Strength and Conditioning Research, 23(4), </w:t>
      </w:r>
      <w:r w:rsidRPr="001F05D9">
        <w:rPr>
          <w:rFonts w:ascii="Arial" w:hAnsi="Arial" w:cs="Arial"/>
          <w:color w:val="auto"/>
          <w:sz w:val="24"/>
          <w:szCs w:val="24"/>
          <w:lang w:val="en-US"/>
        </w:rPr>
        <w:t xml:space="preserve">1245- 1251. doi:10.1519/JSC.0b013e318192b77a. </w:t>
      </w:r>
    </w:p>
    <w:p w14:paraId="1D181121"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lang w:val="en-US"/>
        </w:rPr>
        <w:t xml:space="preserve">Mara, J. K., Thompson, K. G., &amp; Pumpa, K. L. (2015). Assessing the energy expenditure of elite female soccer players: A preliminary study. </w:t>
      </w:r>
      <w:r w:rsidRPr="001F05D9">
        <w:rPr>
          <w:rFonts w:ascii="Arial" w:hAnsi="Arial" w:cs="Arial"/>
          <w:i/>
          <w:iCs/>
          <w:color w:val="auto"/>
          <w:sz w:val="24"/>
          <w:szCs w:val="24"/>
          <w:lang w:val="en-US"/>
        </w:rPr>
        <w:t xml:space="preserve">Journal of </w:t>
      </w:r>
      <w:r w:rsidRPr="001F05D9">
        <w:rPr>
          <w:rFonts w:ascii="Arial" w:hAnsi="Arial" w:cs="Arial"/>
          <w:i/>
          <w:iCs/>
          <w:color w:val="auto"/>
          <w:sz w:val="24"/>
          <w:szCs w:val="24"/>
          <w:lang w:val="en-US"/>
        </w:rPr>
        <w:lastRenderedPageBreak/>
        <w:t xml:space="preserve">Strength and Conditioning Research, </w:t>
      </w:r>
      <w:r w:rsidRPr="001F05D9">
        <w:rPr>
          <w:rFonts w:ascii="Arial" w:hAnsi="Arial" w:cs="Arial"/>
          <w:i/>
          <w:color w:val="auto"/>
          <w:sz w:val="24"/>
          <w:szCs w:val="24"/>
          <w:lang w:val="en-US"/>
        </w:rPr>
        <w:t>29</w:t>
      </w:r>
      <w:r w:rsidRPr="001F05D9">
        <w:rPr>
          <w:rFonts w:ascii="Arial" w:hAnsi="Arial" w:cs="Arial"/>
          <w:color w:val="auto"/>
          <w:sz w:val="24"/>
          <w:szCs w:val="24"/>
          <w:lang w:val="en-US"/>
        </w:rPr>
        <w:t>(10), 2780-2786. doi:10.1519/JSC.0000000000000952.</w:t>
      </w:r>
    </w:p>
    <w:p w14:paraId="3F55EF50"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Martin, L., Lambeth, A., &amp; Scott, D. (2006). Nutritional practices of national female soccer players: analysis and recommendations. </w:t>
      </w:r>
      <w:r w:rsidRPr="001F05D9">
        <w:rPr>
          <w:rFonts w:ascii="Arial" w:hAnsi="Arial" w:cs="Arial"/>
          <w:i/>
          <w:color w:val="auto"/>
          <w:sz w:val="24"/>
          <w:szCs w:val="24"/>
        </w:rPr>
        <w:t>Journal Sports Science and Medicine, 5</w:t>
      </w:r>
      <w:r w:rsidRPr="001F05D9">
        <w:rPr>
          <w:rFonts w:ascii="Arial" w:hAnsi="Arial" w:cs="Arial"/>
          <w:color w:val="auto"/>
          <w:sz w:val="24"/>
          <w:szCs w:val="24"/>
        </w:rPr>
        <w:t>, 130-137.</w:t>
      </w:r>
    </w:p>
    <w:p w14:paraId="5ECA9F1C"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Mountjoy, M., Sundgot-Borgen, J., Burke, L., Carter, S., Constantini, N., Lebrun, C., Meyer, N. et al. (2014). The IOC consensus statement: beyond the Female Athlete Triad – Relative Energy Deficiency in Sport (RED-S). </w:t>
      </w:r>
      <w:r w:rsidRPr="001F05D9">
        <w:rPr>
          <w:rFonts w:ascii="Arial" w:hAnsi="Arial" w:cs="Arial"/>
          <w:i/>
          <w:color w:val="auto"/>
          <w:sz w:val="24"/>
          <w:szCs w:val="24"/>
        </w:rPr>
        <w:t xml:space="preserve">British Journal of Sports Medicine, 48, </w:t>
      </w:r>
      <w:r w:rsidRPr="001F05D9">
        <w:rPr>
          <w:rFonts w:ascii="Arial" w:hAnsi="Arial" w:cs="Arial"/>
          <w:color w:val="auto"/>
          <w:sz w:val="24"/>
          <w:szCs w:val="24"/>
        </w:rPr>
        <w:t xml:space="preserve">491-497. </w:t>
      </w:r>
    </w:p>
    <w:p w14:paraId="1E46E737"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Mullinix, M. C., Jonnalagadda, S. S., Rosenbloom, C. A., Thompson, W. R., &amp; Kicklighter, J. R. (2003). Dietary intake of female U.S. soccer players. </w:t>
      </w:r>
      <w:r w:rsidRPr="001F05D9">
        <w:rPr>
          <w:rFonts w:ascii="Arial" w:hAnsi="Arial" w:cs="Arial"/>
          <w:i/>
          <w:color w:val="auto"/>
          <w:sz w:val="24"/>
          <w:szCs w:val="24"/>
        </w:rPr>
        <w:t xml:space="preserve">Nutrition Research, 23, </w:t>
      </w:r>
      <w:r w:rsidRPr="001F05D9">
        <w:rPr>
          <w:rFonts w:ascii="Arial" w:hAnsi="Arial" w:cs="Arial"/>
          <w:color w:val="auto"/>
          <w:sz w:val="24"/>
          <w:szCs w:val="24"/>
        </w:rPr>
        <w:t xml:space="preserve">585-593. </w:t>
      </w:r>
    </w:p>
    <w:p w14:paraId="2120EDFE"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Noack, B. L., Granados, J. Z., Nguyen, D., &amp; Crouse, S. F. (2016). Daily caloric intake and energy expenditure among D1 collegiate female soccer players and non-athletes. </w:t>
      </w:r>
      <w:r w:rsidRPr="001F05D9">
        <w:rPr>
          <w:rFonts w:ascii="Arial" w:hAnsi="Arial" w:cs="Arial"/>
          <w:i/>
          <w:iCs/>
          <w:color w:val="auto"/>
          <w:sz w:val="24"/>
          <w:szCs w:val="24"/>
        </w:rPr>
        <w:t>Medicine &amp; Science in Sports &amp; Exercise, 48</w:t>
      </w:r>
      <w:r w:rsidRPr="001F05D9">
        <w:rPr>
          <w:rFonts w:ascii="Arial" w:hAnsi="Arial" w:cs="Arial"/>
          <w:color w:val="auto"/>
          <w:sz w:val="24"/>
          <w:szCs w:val="24"/>
        </w:rPr>
        <w:t>, 376-377. doi:10.1249/01.mss.0000486139.27621.</w:t>
      </w:r>
    </w:p>
    <w:p w14:paraId="0756E7EB"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Polglaze, T., Dawson, B., Buttfield., &amp; Peeling, P. (2017). Metabolic power and energy expenditure in an international men’s hockey tournament. </w:t>
      </w:r>
      <w:r w:rsidRPr="001F05D9">
        <w:rPr>
          <w:rFonts w:ascii="Arial" w:hAnsi="Arial" w:cs="Arial"/>
          <w:i/>
          <w:color w:val="auto"/>
          <w:sz w:val="24"/>
          <w:szCs w:val="24"/>
        </w:rPr>
        <w:t xml:space="preserve">Journal of Sports Sciences, </w:t>
      </w:r>
      <w:hyperlink r:id="rId15">
        <w:r w:rsidRPr="001F05D9">
          <w:rPr>
            <w:rStyle w:val="InternetLink"/>
            <w:rFonts w:ascii="Arial" w:eastAsia="Times New Roman" w:hAnsi="Arial" w:cs="Arial"/>
            <w:color w:val="auto"/>
            <w:sz w:val="24"/>
            <w:szCs w:val="24"/>
            <w:u w:val="none"/>
          </w:rPr>
          <w:t>doi.org/10.1080/02640414.2017.1287933</w:t>
        </w:r>
      </w:hyperlink>
      <w:r w:rsidRPr="001F05D9">
        <w:rPr>
          <w:rFonts w:ascii="Arial" w:eastAsia="Times New Roman" w:hAnsi="Arial" w:cs="Arial"/>
          <w:color w:val="auto"/>
          <w:sz w:val="24"/>
          <w:szCs w:val="24"/>
        </w:rPr>
        <w:t>.</w:t>
      </w:r>
    </w:p>
    <w:p w14:paraId="2C0BD027"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Phillips, S. M., &amp; van Loon, L. J. C. (2011). Dietary protein for athletes: From requirements to optimum adaptation.</w:t>
      </w:r>
      <w:r w:rsidRPr="001F05D9">
        <w:rPr>
          <w:rFonts w:ascii="Arial" w:hAnsi="Arial" w:cs="Arial"/>
          <w:i/>
          <w:iCs/>
          <w:color w:val="auto"/>
          <w:sz w:val="24"/>
          <w:szCs w:val="24"/>
        </w:rPr>
        <w:t xml:space="preserve"> Journal of Sports Sciences, 29</w:t>
      </w:r>
      <w:r w:rsidRPr="001F05D9">
        <w:rPr>
          <w:rFonts w:ascii="Arial" w:hAnsi="Arial" w:cs="Arial"/>
          <w:color w:val="auto"/>
          <w:sz w:val="24"/>
          <w:szCs w:val="24"/>
        </w:rPr>
        <w:t>(1), S29-S38. doi:10.1080/02640414.2011.619204.</w:t>
      </w:r>
    </w:p>
    <w:p w14:paraId="5C3D4155" w14:textId="77777777" w:rsidR="004A34CA" w:rsidRPr="001F05D9" w:rsidRDefault="00B5777A">
      <w:pPr>
        <w:pStyle w:val="NormalWeb"/>
        <w:spacing w:line="480" w:lineRule="auto"/>
        <w:ind w:left="720" w:hanging="720"/>
        <w:jc w:val="both"/>
        <w:rPr>
          <w:color w:val="auto"/>
        </w:rPr>
      </w:pPr>
      <w:r w:rsidRPr="001F05D9">
        <w:rPr>
          <w:rFonts w:ascii="Arial" w:eastAsia="Times New Roman" w:hAnsi="Arial" w:cs="Arial"/>
          <w:color w:val="auto"/>
          <w:sz w:val="24"/>
          <w:szCs w:val="24"/>
        </w:rPr>
        <w:lastRenderedPageBreak/>
        <w:t xml:space="preserve">Rampinini, E., Alberti, G., Fiorenza, M., Riggio, M., Sassi, R., Borges, T., &amp; Coutts, A. (2015). Accuracy of GPS devices for measuring high-intensity running in field-based team sports. </w:t>
      </w:r>
      <w:r w:rsidRPr="001F05D9">
        <w:rPr>
          <w:rFonts w:ascii="Arial" w:eastAsia="Times New Roman" w:hAnsi="Arial" w:cs="Arial"/>
          <w:i/>
          <w:color w:val="auto"/>
          <w:sz w:val="24"/>
          <w:szCs w:val="24"/>
        </w:rPr>
        <w:t>International Journal of Sports Medicine</w:t>
      </w:r>
      <w:r w:rsidRPr="001F05D9">
        <w:rPr>
          <w:rFonts w:ascii="Arial" w:eastAsia="Times New Roman" w:hAnsi="Arial" w:cs="Arial"/>
          <w:color w:val="auto"/>
          <w:sz w:val="24"/>
          <w:szCs w:val="24"/>
        </w:rPr>
        <w:t xml:space="preserve">, </w:t>
      </w:r>
      <w:r w:rsidRPr="001F05D9">
        <w:rPr>
          <w:rFonts w:ascii="Arial" w:eastAsia="Times New Roman" w:hAnsi="Arial" w:cs="Arial"/>
          <w:i/>
          <w:color w:val="auto"/>
          <w:sz w:val="24"/>
          <w:szCs w:val="24"/>
        </w:rPr>
        <w:t>36</w:t>
      </w:r>
      <w:r w:rsidRPr="001F05D9">
        <w:rPr>
          <w:rFonts w:ascii="Arial" w:eastAsia="Times New Roman" w:hAnsi="Arial" w:cs="Arial"/>
          <w:color w:val="auto"/>
          <w:sz w:val="24"/>
          <w:szCs w:val="24"/>
        </w:rPr>
        <w:t>(1), 49–53.</w:t>
      </w:r>
    </w:p>
    <w:p w14:paraId="35003990"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Rosenbloom, C. A., Loucks, A. B. and Ekblom, B. (2006). Special populations: The female player and the youth player.</w:t>
      </w:r>
      <w:r w:rsidRPr="001F05D9">
        <w:rPr>
          <w:rFonts w:ascii="Arial" w:hAnsi="Arial" w:cs="Arial"/>
          <w:i/>
          <w:iCs/>
          <w:color w:val="auto"/>
          <w:sz w:val="24"/>
          <w:szCs w:val="24"/>
        </w:rPr>
        <w:t xml:space="preserve"> Journal of Sports Sciences, 24</w:t>
      </w:r>
      <w:r w:rsidRPr="001F05D9">
        <w:rPr>
          <w:rFonts w:ascii="Arial" w:hAnsi="Arial" w:cs="Arial"/>
          <w:color w:val="auto"/>
          <w:sz w:val="24"/>
          <w:szCs w:val="24"/>
        </w:rPr>
        <w:t xml:space="preserve">(7), 783-793. doi:10.1080/02640410500483071. </w:t>
      </w:r>
    </w:p>
    <w:p w14:paraId="64AD216D"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Shim, J., Oh, K., &amp; Kim, H. C. (2014). Dietary assessment methods in epidemiologic studies.</w:t>
      </w:r>
      <w:r w:rsidRPr="001F05D9">
        <w:rPr>
          <w:rFonts w:ascii="Arial" w:hAnsi="Arial" w:cs="Arial"/>
          <w:i/>
          <w:iCs/>
          <w:color w:val="auto"/>
          <w:sz w:val="24"/>
          <w:szCs w:val="24"/>
        </w:rPr>
        <w:t xml:space="preserve"> Epidemiology and Health, 36</w:t>
      </w:r>
      <w:r w:rsidRPr="001F05D9">
        <w:rPr>
          <w:rFonts w:ascii="Arial" w:hAnsi="Arial" w:cs="Arial"/>
          <w:color w:val="auto"/>
          <w:sz w:val="24"/>
          <w:szCs w:val="24"/>
        </w:rPr>
        <w:t xml:space="preserve">, 1-8. doi:10.4178/epih/e2014009. </w:t>
      </w:r>
    </w:p>
    <w:p w14:paraId="60E843D0" w14:textId="77777777" w:rsidR="004A34CA" w:rsidRPr="001F05D9" w:rsidRDefault="00B5777A">
      <w:pPr>
        <w:spacing w:before="28" w:after="28" w:line="480" w:lineRule="auto"/>
        <w:ind w:left="720" w:hanging="720"/>
        <w:jc w:val="both"/>
        <w:rPr>
          <w:color w:val="auto"/>
        </w:rPr>
      </w:pPr>
      <w:r w:rsidRPr="001F05D9">
        <w:rPr>
          <w:rFonts w:ascii="Arial" w:hAnsi="Arial" w:cs="Arial"/>
          <w:color w:val="auto"/>
        </w:rPr>
        <w:t>Slimani, N., Deharveng, G., Unwin, I., Southgate, D. A. T., Vignat, J., Skeie, G. et al. (2007). The EPIC nutrient database project (ENDB): A first attempt to standardize nutrient databases across the 10 european countries participating in the EPIC study.</w:t>
      </w:r>
      <w:r w:rsidRPr="001F05D9">
        <w:rPr>
          <w:rFonts w:ascii="Arial" w:hAnsi="Arial" w:cs="Arial"/>
          <w:i/>
          <w:iCs/>
          <w:color w:val="auto"/>
        </w:rPr>
        <w:t xml:space="preserve"> European Journal of Clinical Nutrition, 61</w:t>
      </w:r>
      <w:r w:rsidRPr="001F05D9">
        <w:rPr>
          <w:rFonts w:ascii="Arial" w:hAnsi="Arial" w:cs="Arial"/>
          <w:color w:val="auto"/>
        </w:rPr>
        <w:t>(9), 1037-1056. doi:10.1038/sj.ejcn.1602679.</w:t>
      </w:r>
    </w:p>
    <w:p w14:paraId="497E6E02"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ten Haaf, T., &amp; Weijs, P. J. M. (2014). Resting energy expenditure in recreational athletes of 18-35 years: Confirmation of Cunningham equation and an improved weight-based alternative. </w:t>
      </w:r>
      <w:r w:rsidRPr="001F05D9">
        <w:rPr>
          <w:rFonts w:ascii="Arial" w:hAnsi="Arial" w:cs="Arial"/>
          <w:i/>
          <w:color w:val="auto"/>
          <w:sz w:val="24"/>
          <w:szCs w:val="24"/>
        </w:rPr>
        <w:t>PLoS One, 9</w:t>
      </w:r>
      <w:r w:rsidRPr="001F05D9">
        <w:rPr>
          <w:rFonts w:ascii="Arial" w:hAnsi="Arial" w:cs="Arial"/>
          <w:color w:val="auto"/>
          <w:sz w:val="24"/>
          <w:szCs w:val="24"/>
        </w:rPr>
        <w:t xml:space="preserve">(10), 1-8. </w:t>
      </w:r>
    </w:p>
    <w:p w14:paraId="124F2EB4"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Thomas, D. T., Erdman, K. A., &amp; Burke, L. M. (2016). Position of the academy of nutrition and dietetics, dietitians of canada, and the american college of sports medicine: Nutrition and athletic performance. </w:t>
      </w:r>
      <w:r w:rsidRPr="001F05D9">
        <w:rPr>
          <w:rFonts w:ascii="Arial" w:hAnsi="Arial" w:cs="Arial"/>
          <w:i/>
          <w:iCs/>
          <w:color w:val="auto"/>
          <w:sz w:val="24"/>
          <w:szCs w:val="24"/>
        </w:rPr>
        <w:t xml:space="preserve">Journal of the Academy of Nutrition and Dietetics, 116(3), </w:t>
      </w:r>
      <w:r w:rsidRPr="001F05D9">
        <w:rPr>
          <w:rFonts w:ascii="Arial" w:hAnsi="Arial" w:cs="Arial"/>
          <w:color w:val="auto"/>
          <w:sz w:val="24"/>
          <w:szCs w:val="24"/>
        </w:rPr>
        <w:t>501-528. doi:10.1016/j.jand.2015.12.006.</w:t>
      </w:r>
    </w:p>
    <w:p w14:paraId="02BF590E" w14:textId="77777777" w:rsidR="004A34CA" w:rsidRPr="001F05D9" w:rsidRDefault="00B5777A">
      <w:pPr>
        <w:pStyle w:val="NormalWeb"/>
        <w:spacing w:line="480" w:lineRule="auto"/>
        <w:ind w:left="720" w:hanging="720"/>
        <w:jc w:val="both"/>
        <w:rPr>
          <w:color w:val="auto"/>
        </w:rPr>
      </w:pPr>
      <w:r w:rsidRPr="001F05D9">
        <w:rPr>
          <w:rFonts w:ascii="Arial" w:eastAsia="Times New Roman" w:hAnsi="Arial" w:cs="Arial"/>
          <w:color w:val="auto"/>
          <w:sz w:val="24"/>
          <w:szCs w:val="24"/>
        </w:rPr>
        <w:t xml:space="preserve">Varley, M. C., Fairweather, I. H., &amp; Aughey, R. J. (2012). Validity and reliability of GPS for measuring instantaneous velocity during acceleration, deceleration, and constant motion. </w:t>
      </w:r>
      <w:r w:rsidRPr="001F05D9">
        <w:rPr>
          <w:rFonts w:ascii="Arial" w:eastAsia="Times New Roman" w:hAnsi="Arial" w:cs="Arial"/>
          <w:i/>
          <w:color w:val="auto"/>
          <w:sz w:val="24"/>
          <w:szCs w:val="24"/>
        </w:rPr>
        <w:t>Journal of Sports Sciences,</w:t>
      </w:r>
      <w:r w:rsidRPr="001F05D9">
        <w:rPr>
          <w:rFonts w:ascii="Arial" w:eastAsia="Times New Roman" w:hAnsi="Arial" w:cs="Arial"/>
          <w:color w:val="auto"/>
          <w:sz w:val="24"/>
          <w:szCs w:val="24"/>
        </w:rPr>
        <w:t xml:space="preserve"> </w:t>
      </w:r>
      <w:r w:rsidRPr="001F05D9">
        <w:rPr>
          <w:rFonts w:ascii="Arial" w:eastAsia="Times New Roman" w:hAnsi="Arial" w:cs="Arial"/>
          <w:i/>
          <w:color w:val="auto"/>
          <w:sz w:val="24"/>
          <w:szCs w:val="24"/>
        </w:rPr>
        <w:t>30</w:t>
      </w:r>
      <w:r w:rsidRPr="001F05D9">
        <w:rPr>
          <w:rFonts w:ascii="Arial" w:eastAsia="Times New Roman" w:hAnsi="Arial" w:cs="Arial"/>
          <w:color w:val="auto"/>
          <w:sz w:val="24"/>
          <w:szCs w:val="24"/>
        </w:rPr>
        <w:t>(2), 121–127. doi:10.1080/02640414.2011.627941</w:t>
      </w:r>
    </w:p>
    <w:p w14:paraId="01C82144" w14:textId="77777777" w:rsidR="004A34CA" w:rsidRPr="001F05D9" w:rsidRDefault="00B5777A">
      <w:pPr>
        <w:pStyle w:val="NormalWeb"/>
        <w:spacing w:line="480" w:lineRule="auto"/>
        <w:ind w:left="720" w:hanging="720"/>
        <w:jc w:val="both"/>
        <w:rPr>
          <w:color w:val="auto"/>
        </w:rPr>
      </w:pPr>
      <w:r w:rsidRPr="001F05D9">
        <w:rPr>
          <w:rFonts w:ascii="Arial" w:eastAsia="Times New Roman" w:hAnsi="Arial" w:cs="Arial"/>
          <w:color w:val="auto"/>
          <w:sz w:val="24"/>
          <w:szCs w:val="24"/>
        </w:rPr>
        <w:lastRenderedPageBreak/>
        <w:t xml:space="preserve">Williams, C., &amp; Rollo, I. (2015). Carbohydrate nutrition and team sport. </w:t>
      </w:r>
      <w:r w:rsidRPr="001F05D9">
        <w:rPr>
          <w:rFonts w:ascii="Arial" w:eastAsia="Times New Roman" w:hAnsi="Arial" w:cs="Arial"/>
          <w:i/>
          <w:color w:val="auto"/>
          <w:sz w:val="24"/>
          <w:szCs w:val="24"/>
        </w:rPr>
        <w:t>Sports Medicine, 45</w:t>
      </w:r>
      <w:r w:rsidRPr="001F05D9">
        <w:rPr>
          <w:rFonts w:ascii="Arial" w:eastAsia="Times New Roman" w:hAnsi="Arial" w:cs="Arial"/>
          <w:color w:val="auto"/>
          <w:sz w:val="24"/>
          <w:szCs w:val="24"/>
        </w:rPr>
        <w:t xml:space="preserve">, 13-22. </w:t>
      </w:r>
    </w:p>
    <w:p w14:paraId="75B0E380"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 xml:space="preserve">Winnick, J. J., Davis, J. M., Welsh, R. S., Carmichael, M. D., Murphy, E. A., Blackmon, J. A. (2005). Carbohydrate feedings during team sport exercise preserve physical and CNS function. </w:t>
      </w:r>
      <w:r w:rsidRPr="001F05D9">
        <w:rPr>
          <w:rFonts w:ascii="Arial" w:hAnsi="Arial" w:cs="Arial"/>
          <w:i/>
          <w:color w:val="auto"/>
          <w:sz w:val="24"/>
          <w:szCs w:val="24"/>
        </w:rPr>
        <w:t>Medicine and Science in Sports and Exercise, 37</w:t>
      </w:r>
      <w:r w:rsidRPr="001F05D9">
        <w:rPr>
          <w:rFonts w:ascii="Arial" w:hAnsi="Arial" w:cs="Arial"/>
          <w:color w:val="auto"/>
          <w:sz w:val="24"/>
          <w:szCs w:val="24"/>
        </w:rPr>
        <w:t xml:space="preserve">(2), 306-15. </w:t>
      </w:r>
    </w:p>
    <w:p w14:paraId="1E14A660" w14:textId="77777777" w:rsidR="004A34CA" w:rsidRPr="001F05D9" w:rsidRDefault="00B5777A">
      <w:pPr>
        <w:pStyle w:val="NormalWeb"/>
        <w:spacing w:line="480" w:lineRule="auto"/>
        <w:ind w:left="720" w:hanging="720"/>
        <w:jc w:val="both"/>
        <w:rPr>
          <w:color w:val="auto"/>
        </w:rPr>
      </w:pPr>
      <w:r w:rsidRPr="001F05D9">
        <w:rPr>
          <w:rFonts w:ascii="Arial" w:hAnsi="Arial" w:cs="Arial"/>
          <w:color w:val="auto"/>
          <w:sz w:val="24"/>
          <w:szCs w:val="24"/>
        </w:rPr>
        <w:t>Zourdos, M. C., Mielgo-Ayuso, J., Urdampilleta, A., Calleja-González, J., &amp; Ostojic, S. M. (2015). Dietary intake habits and controlled training on body composition and strength in elite female volleyball players during the season.</w:t>
      </w:r>
      <w:r w:rsidRPr="001F05D9">
        <w:rPr>
          <w:rFonts w:ascii="Arial" w:hAnsi="Arial" w:cs="Arial"/>
          <w:i/>
          <w:iCs/>
          <w:color w:val="auto"/>
          <w:sz w:val="24"/>
          <w:szCs w:val="24"/>
        </w:rPr>
        <w:t xml:space="preserve"> Applied Physiology, Nutrition, and Metabolism, 40</w:t>
      </w:r>
      <w:r w:rsidRPr="001F05D9">
        <w:rPr>
          <w:rFonts w:ascii="Arial" w:hAnsi="Arial" w:cs="Arial"/>
          <w:color w:val="auto"/>
          <w:sz w:val="24"/>
          <w:szCs w:val="24"/>
        </w:rPr>
        <w:t xml:space="preserve">(8), 827-834. doi:10.1139/apnm-2015-0100. </w:t>
      </w:r>
    </w:p>
    <w:p w14:paraId="193F6D0C" w14:textId="77777777" w:rsidR="004A34CA" w:rsidRPr="001F05D9" w:rsidRDefault="004A34CA">
      <w:pPr>
        <w:pStyle w:val="NormalWeb"/>
        <w:spacing w:line="480" w:lineRule="auto"/>
        <w:jc w:val="both"/>
        <w:rPr>
          <w:color w:val="auto"/>
        </w:rPr>
      </w:pPr>
    </w:p>
    <w:p w14:paraId="3147135E" w14:textId="77777777" w:rsidR="004A34CA" w:rsidRPr="001F05D9" w:rsidRDefault="00B5777A">
      <w:pPr>
        <w:pageBreakBefore/>
        <w:spacing w:line="480" w:lineRule="auto"/>
        <w:rPr>
          <w:color w:val="auto"/>
        </w:rPr>
      </w:pPr>
      <w:r w:rsidRPr="001F05D9">
        <w:rPr>
          <w:rFonts w:ascii="Arial" w:hAnsi="Arial" w:cs="Arial"/>
          <w:color w:val="auto"/>
        </w:rPr>
        <w:lastRenderedPageBreak/>
        <w:t xml:space="preserve"> </w:t>
      </w:r>
      <w:r w:rsidRPr="001F05D9">
        <w:rPr>
          <w:rFonts w:ascii="Arial" w:hAnsi="Arial" w:cs="Arial"/>
          <w:b/>
          <w:color w:val="auto"/>
        </w:rPr>
        <w:t xml:space="preserve">Table 1. </w:t>
      </w:r>
      <w:r w:rsidRPr="001F05D9">
        <w:rPr>
          <w:rFonts w:ascii="Arial" w:hAnsi="Arial" w:cs="Arial"/>
          <w:color w:val="auto"/>
        </w:rPr>
        <w:t>Daily structure of international Touch tournament</w:t>
      </w:r>
      <w:r w:rsidRPr="001F05D9">
        <w:rPr>
          <w:rFonts w:ascii="Arial" w:hAnsi="Arial" w:cs="Arial"/>
          <w:b/>
          <w:color w:val="auto"/>
        </w:rPr>
        <w:t xml:space="preserve"> </w:t>
      </w:r>
      <w:r w:rsidRPr="001F05D9">
        <w:rPr>
          <w:rFonts w:ascii="Arial" w:hAnsi="Arial" w:cs="Arial"/>
          <w:color w:val="auto"/>
        </w:rPr>
        <w:t>for study participants</w:t>
      </w:r>
    </w:p>
    <w:tbl>
      <w:tblPr>
        <w:tblW w:w="9538" w:type="dxa"/>
        <w:tblInd w:w="-216" w:type="dxa"/>
        <w:tblBorders>
          <w:top w:val="single" w:sz="4" w:space="0" w:color="00000A"/>
          <w:bottom w:val="single" w:sz="4" w:space="0" w:color="00000A"/>
        </w:tblBorders>
        <w:tblCellMar>
          <w:left w:w="10" w:type="dxa"/>
          <w:right w:w="10" w:type="dxa"/>
        </w:tblCellMar>
        <w:tblLook w:val="0000" w:firstRow="0" w:lastRow="0" w:firstColumn="0" w:lastColumn="0" w:noHBand="0" w:noVBand="0"/>
      </w:tblPr>
      <w:tblGrid>
        <w:gridCol w:w="2064"/>
        <w:gridCol w:w="1674"/>
        <w:gridCol w:w="1675"/>
        <w:gridCol w:w="2500"/>
        <w:gridCol w:w="1625"/>
      </w:tblGrid>
      <w:tr w:rsidR="004A34CA" w:rsidRPr="001F05D9" w14:paraId="163589DF" w14:textId="77777777" w:rsidTr="00AD2E4A">
        <w:tc>
          <w:tcPr>
            <w:tcW w:w="2064" w:type="dxa"/>
            <w:tcBorders>
              <w:top w:val="single" w:sz="4" w:space="0" w:color="00000A"/>
              <w:bottom w:val="single" w:sz="4" w:space="0" w:color="00000A"/>
            </w:tcBorders>
            <w:shd w:val="clear" w:color="auto" w:fill="FFFFFF"/>
            <w:tcMar>
              <w:top w:w="0" w:type="dxa"/>
              <w:left w:w="108" w:type="dxa"/>
              <w:bottom w:w="0" w:type="dxa"/>
              <w:right w:w="108" w:type="dxa"/>
            </w:tcMar>
          </w:tcPr>
          <w:p w14:paraId="0EBEC4DC" w14:textId="77777777" w:rsidR="004A34CA" w:rsidRPr="001F05D9" w:rsidRDefault="004A34CA">
            <w:pPr>
              <w:spacing w:line="480" w:lineRule="auto"/>
              <w:rPr>
                <w:color w:val="auto"/>
              </w:rPr>
            </w:pPr>
          </w:p>
        </w:tc>
        <w:tc>
          <w:tcPr>
            <w:tcW w:w="1674" w:type="dxa"/>
            <w:tcBorders>
              <w:top w:val="single" w:sz="4" w:space="0" w:color="00000A"/>
              <w:bottom w:val="single" w:sz="4" w:space="0" w:color="00000A"/>
            </w:tcBorders>
            <w:shd w:val="clear" w:color="auto" w:fill="FFFFFF"/>
            <w:tcMar>
              <w:top w:w="0" w:type="dxa"/>
              <w:left w:w="108" w:type="dxa"/>
              <w:bottom w:w="0" w:type="dxa"/>
              <w:right w:w="108" w:type="dxa"/>
            </w:tcMar>
          </w:tcPr>
          <w:p w14:paraId="4792D8E1" w14:textId="77777777" w:rsidR="004A34CA" w:rsidRPr="001F05D9" w:rsidRDefault="00B5777A">
            <w:pPr>
              <w:spacing w:line="480" w:lineRule="auto"/>
              <w:rPr>
                <w:color w:val="auto"/>
              </w:rPr>
            </w:pPr>
            <w:r w:rsidRPr="001F05D9">
              <w:rPr>
                <w:rFonts w:ascii="Arial" w:hAnsi="Arial" w:cs="Arial"/>
                <w:b/>
                <w:color w:val="auto"/>
              </w:rPr>
              <w:t>Day 1</w:t>
            </w:r>
          </w:p>
        </w:tc>
        <w:tc>
          <w:tcPr>
            <w:tcW w:w="1675" w:type="dxa"/>
            <w:tcBorders>
              <w:top w:val="single" w:sz="4" w:space="0" w:color="00000A"/>
              <w:bottom w:val="single" w:sz="4" w:space="0" w:color="00000A"/>
            </w:tcBorders>
            <w:shd w:val="clear" w:color="auto" w:fill="FFFFFF"/>
            <w:tcMar>
              <w:top w:w="0" w:type="dxa"/>
              <w:left w:w="108" w:type="dxa"/>
              <w:bottom w:w="0" w:type="dxa"/>
              <w:right w:w="108" w:type="dxa"/>
            </w:tcMar>
          </w:tcPr>
          <w:p w14:paraId="679708FA" w14:textId="77777777" w:rsidR="004A34CA" w:rsidRPr="001F05D9" w:rsidRDefault="00B5777A">
            <w:pPr>
              <w:spacing w:line="480" w:lineRule="auto"/>
              <w:rPr>
                <w:color w:val="auto"/>
              </w:rPr>
            </w:pPr>
            <w:r w:rsidRPr="001F05D9">
              <w:rPr>
                <w:rFonts w:ascii="Arial" w:hAnsi="Arial" w:cs="Arial"/>
                <w:b/>
                <w:color w:val="auto"/>
              </w:rPr>
              <w:t>Day 2</w:t>
            </w:r>
          </w:p>
        </w:tc>
        <w:tc>
          <w:tcPr>
            <w:tcW w:w="2500" w:type="dxa"/>
            <w:tcBorders>
              <w:top w:val="single" w:sz="4" w:space="0" w:color="00000A"/>
              <w:bottom w:val="single" w:sz="4" w:space="0" w:color="00000A"/>
            </w:tcBorders>
            <w:shd w:val="clear" w:color="auto" w:fill="FFFFFF"/>
            <w:tcMar>
              <w:top w:w="0" w:type="dxa"/>
              <w:left w:w="108" w:type="dxa"/>
              <w:bottom w:w="0" w:type="dxa"/>
              <w:right w:w="108" w:type="dxa"/>
            </w:tcMar>
          </w:tcPr>
          <w:p w14:paraId="28404579" w14:textId="77777777" w:rsidR="004A34CA" w:rsidRPr="001F05D9" w:rsidRDefault="00B5777A">
            <w:pPr>
              <w:spacing w:line="480" w:lineRule="auto"/>
              <w:rPr>
                <w:color w:val="auto"/>
              </w:rPr>
            </w:pPr>
            <w:r w:rsidRPr="001F05D9">
              <w:rPr>
                <w:rFonts w:ascii="Arial" w:hAnsi="Arial" w:cs="Arial"/>
                <w:b/>
                <w:color w:val="auto"/>
              </w:rPr>
              <w:t>Day 3</w:t>
            </w:r>
          </w:p>
        </w:tc>
        <w:tc>
          <w:tcPr>
            <w:tcW w:w="1625" w:type="dxa"/>
            <w:tcBorders>
              <w:top w:val="single" w:sz="4" w:space="0" w:color="00000A"/>
              <w:bottom w:val="single" w:sz="4" w:space="0" w:color="00000A"/>
            </w:tcBorders>
            <w:shd w:val="clear" w:color="auto" w:fill="FFFFFF"/>
            <w:tcMar>
              <w:top w:w="0" w:type="dxa"/>
              <w:left w:w="108" w:type="dxa"/>
              <w:bottom w:w="0" w:type="dxa"/>
              <w:right w:w="108" w:type="dxa"/>
            </w:tcMar>
          </w:tcPr>
          <w:p w14:paraId="44B606F4" w14:textId="77777777" w:rsidR="004A34CA" w:rsidRPr="001F05D9" w:rsidRDefault="00B5777A">
            <w:pPr>
              <w:spacing w:line="480" w:lineRule="auto"/>
              <w:rPr>
                <w:color w:val="auto"/>
              </w:rPr>
            </w:pPr>
            <w:r w:rsidRPr="001F05D9">
              <w:rPr>
                <w:rFonts w:ascii="Arial" w:hAnsi="Arial" w:cs="Arial"/>
                <w:b/>
                <w:color w:val="auto"/>
              </w:rPr>
              <w:t>Day 4</w:t>
            </w:r>
          </w:p>
        </w:tc>
      </w:tr>
      <w:tr w:rsidR="004A34CA" w:rsidRPr="001F05D9" w14:paraId="617DF66F" w14:textId="77777777" w:rsidTr="00AD2E4A">
        <w:tc>
          <w:tcPr>
            <w:tcW w:w="2064" w:type="dxa"/>
            <w:tcBorders>
              <w:top w:val="single" w:sz="4" w:space="0" w:color="00000A"/>
            </w:tcBorders>
            <w:shd w:val="clear" w:color="auto" w:fill="FFFFFF"/>
            <w:tcMar>
              <w:top w:w="0" w:type="dxa"/>
              <w:left w:w="108" w:type="dxa"/>
              <w:bottom w:w="0" w:type="dxa"/>
              <w:right w:w="108" w:type="dxa"/>
            </w:tcMar>
          </w:tcPr>
          <w:p w14:paraId="1EF6F194" w14:textId="77777777" w:rsidR="004A34CA" w:rsidRPr="001F05D9" w:rsidRDefault="00B5777A">
            <w:pPr>
              <w:spacing w:line="480" w:lineRule="auto"/>
              <w:rPr>
                <w:color w:val="auto"/>
              </w:rPr>
            </w:pPr>
            <w:r w:rsidRPr="001F05D9">
              <w:rPr>
                <w:rFonts w:ascii="Arial" w:hAnsi="Arial" w:cs="Arial"/>
                <w:b/>
                <w:color w:val="auto"/>
              </w:rPr>
              <w:t>No. of matches</w:t>
            </w:r>
          </w:p>
        </w:tc>
        <w:tc>
          <w:tcPr>
            <w:tcW w:w="1674" w:type="dxa"/>
            <w:tcBorders>
              <w:top w:val="single" w:sz="4" w:space="0" w:color="00000A"/>
            </w:tcBorders>
            <w:shd w:val="clear" w:color="auto" w:fill="FFFFFF"/>
            <w:tcMar>
              <w:top w:w="0" w:type="dxa"/>
              <w:left w:w="108" w:type="dxa"/>
              <w:bottom w:w="0" w:type="dxa"/>
              <w:right w:w="108" w:type="dxa"/>
            </w:tcMar>
          </w:tcPr>
          <w:p w14:paraId="029E6BC6" w14:textId="77777777" w:rsidR="004A34CA" w:rsidRPr="001F05D9" w:rsidRDefault="00B5777A">
            <w:pPr>
              <w:spacing w:line="480" w:lineRule="auto"/>
              <w:rPr>
                <w:color w:val="auto"/>
              </w:rPr>
            </w:pPr>
            <w:r w:rsidRPr="001F05D9">
              <w:rPr>
                <w:rFonts w:ascii="Arial" w:hAnsi="Arial" w:cs="Arial"/>
                <w:color w:val="auto"/>
              </w:rPr>
              <w:t>2</w:t>
            </w:r>
          </w:p>
        </w:tc>
        <w:tc>
          <w:tcPr>
            <w:tcW w:w="1675" w:type="dxa"/>
            <w:tcBorders>
              <w:top w:val="single" w:sz="4" w:space="0" w:color="00000A"/>
            </w:tcBorders>
            <w:shd w:val="clear" w:color="auto" w:fill="FFFFFF"/>
            <w:tcMar>
              <w:top w:w="0" w:type="dxa"/>
              <w:left w:w="108" w:type="dxa"/>
              <w:bottom w:w="0" w:type="dxa"/>
              <w:right w:w="108" w:type="dxa"/>
            </w:tcMar>
          </w:tcPr>
          <w:p w14:paraId="12993677" w14:textId="77777777" w:rsidR="004A34CA" w:rsidRPr="001F05D9" w:rsidRDefault="00B5777A">
            <w:pPr>
              <w:spacing w:line="480" w:lineRule="auto"/>
              <w:rPr>
                <w:color w:val="auto"/>
              </w:rPr>
            </w:pPr>
            <w:r w:rsidRPr="001F05D9">
              <w:rPr>
                <w:rFonts w:ascii="Arial" w:hAnsi="Arial" w:cs="Arial"/>
                <w:color w:val="auto"/>
              </w:rPr>
              <w:t>2</w:t>
            </w:r>
          </w:p>
        </w:tc>
        <w:tc>
          <w:tcPr>
            <w:tcW w:w="2500" w:type="dxa"/>
            <w:tcBorders>
              <w:top w:val="single" w:sz="4" w:space="0" w:color="00000A"/>
            </w:tcBorders>
            <w:shd w:val="clear" w:color="auto" w:fill="FFFFFF"/>
            <w:tcMar>
              <w:top w:w="0" w:type="dxa"/>
              <w:left w:w="108" w:type="dxa"/>
              <w:bottom w:w="0" w:type="dxa"/>
              <w:right w:w="108" w:type="dxa"/>
            </w:tcMar>
          </w:tcPr>
          <w:p w14:paraId="1ACB3B2B" w14:textId="77777777" w:rsidR="004A34CA" w:rsidRPr="001F05D9" w:rsidRDefault="00B5777A">
            <w:pPr>
              <w:spacing w:line="480" w:lineRule="auto"/>
              <w:rPr>
                <w:color w:val="auto"/>
              </w:rPr>
            </w:pPr>
            <w:r w:rsidRPr="001F05D9">
              <w:rPr>
                <w:rFonts w:ascii="Arial" w:hAnsi="Arial" w:cs="Arial"/>
                <w:color w:val="auto"/>
              </w:rPr>
              <w:t>3</w:t>
            </w:r>
          </w:p>
        </w:tc>
        <w:tc>
          <w:tcPr>
            <w:tcW w:w="1625" w:type="dxa"/>
            <w:tcBorders>
              <w:top w:val="single" w:sz="4" w:space="0" w:color="00000A"/>
            </w:tcBorders>
            <w:shd w:val="clear" w:color="auto" w:fill="FFFFFF"/>
            <w:tcMar>
              <w:top w:w="0" w:type="dxa"/>
              <w:left w:w="108" w:type="dxa"/>
              <w:bottom w:w="0" w:type="dxa"/>
              <w:right w:w="108" w:type="dxa"/>
            </w:tcMar>
          </w:tcPr>
          <w:p w14:paraId="01A99320" w14:textId="77777777" w:rsidR="004A34CA" w:rsidRPr="001F05D9" w:rsidRDefault="00B5777A">
            <w:pPr>
              <w:spacing w:line="480" w:lineRule="auto"/>
              <w:rPr>
                <w:color w:val="auto"/>
              </w:rPr>
            </w:pPr>
            <w:r w:rsidRPr="001F05D9">
              <w:rPr>
                <w:rFonts w:ascii="Arial" w:hAnsi="Arial" w:cs="Arial"/>
                <w:color w:val="auto"/>
              </w:rPr>
              <w:t>2</w:t>
            </w:r>
          </w:p>
        </w:tc>
      </w:tr>
      <w:tr w:rsidR="004A34CA" w:rsidRPr="001F05D9" w14:paraId="1E09A1AA" w14:textId="77777777" w:rsidTr="00AD2E4A">
        <w:trPr>
          <w:trHeight w:val="1072"/>
        </w:trPr>
        <w:tc>
          <w:tcPr>
            <w:tcW w:w="2064" w:type="dxa"/>
            <w:shd w:val="clear" w:color="auto" w:fill="FFFFFF"/>
            <w:tcMar>
              <w:top w:w="0" w:type="dxa"/>
              <w:left w:w="108" w:type="dxa"/>
              <w:bottom w:w="0" w:type="dxa"/>
              <w:right w:w="108" w:type="dxa"/>
            </w:tcMar>
          </w:tcPr>
          <w:p w14:paraId="3863E8ED" w14:textId="77777777" w:rsidR="004A34CA" w:rsidRPr="001F05D9" w:rsidRDefault="00B5777A">
            <w:pPr>
              <w:rPr>
                <w:color w:val="auto"/>
              </w:rPr>
            </w:pPr>
            <w:r w:rsidRPr="001F05D9">
              <w:rPr>
                <w:rFonts w:ascii="Arial" w:hAnsi="Arial" w:cs="Arial"/>
                <w:b/>
                <w:color w:val="auto"/>
              </w:rPr>
              <w:t xml:space="preserve">Tap-off times </w:t>
            </w:r>
          </w:p>
          <w:p w14:paraId="6BEBA0EA" w14:textId="77777777" w:rsidR="004A34CA" w:rsidRPr="001F05D9" w:rsidRDefault="00B5777A">
            <w:pPr>
              <w:rPr>
                <w:color w:val="auto"/>
              </w:rPr>
            </w:pPr>
            <w:r w:rsidRPr="001F05D9">
              <w:rPr>
                <w:rFonts w:ascii="Arial" w:hAnsi="Arial" w:cs="Arial"/>
                <w:color w:val="auto"/>
              </w:rPr>
              <w:t>(h: min)</w:t>
            </w:r>
          </w:p>
        </w:tc>
        <w:tc>
          <w:tcPr>
            <w:tcW w:w="1674" w:type="dxa"/>
            <w:shd w:val="clear" w:color="auto" w:fill="FFFFFF"/>
            <w:tcMar>
              <w:top w:w="0" w:type="dxa"/>
              <w:left w:w="108" w:type="dxa"/>
              <w:bottom w:w="0" w:type="dxa"/>
              <w:right w:w="108" w:type="dxa"/>
            </w:tcMar>
          </w:tcPr>
          <w:p w14:paraId="49892286" w14:textId="77777777" w:rsidR="004A34CA" w:rsidRPr="001F05D9" w:rsidRDefault="00B5777A">
            <w:pPr>
              <w:spacing w:line="480" w:lineRule="auto"/>
              <w:rPr>
                <w:color w:val="auto"/>
              </w:rPr>
            </w:pPr>
            <w:r w:rsidRPr="001F05D9">
              <w:rPr>
                <w:rFonts w:ascii="Arial" w:hAnsi="Arial" w:cs="Arial"/>
                <w:color w:val="auto"/>
              </w:rPr>
              <w:t>10:40; 14:50</w:t>
            </w:r>
          </w:p>
        </w:tc>
        <w:tc>
          <w:tcPr>
            <w:tcW w:w="1675" w:type="dxa"/>
            <w:shd w:val="clear" w:color="auto" w:fill="FFFFFF"/>
            <w:tcMar>
              <w:top w:w="0" w:type="dxa"/>
              <w:left w:w="108" w:type="dxa"/>
              <w:bottom w:w="0" w:type="dxa"/>
              <w:right w:w="108" w:type="dxa"/>
            </w:tcMar>
          </w:tcPr>
          <w:p w14:paraId="2CFE4FB7" w14:textId="77777777" w:rsidR="004A34CA" w:rsidRPr="001F05D9" w:rsidRDefault="00B5777A">
            <w:pPr>
              <w:spacing w:line="480" w:lineRule="auto"/>
              <w:rPr>
                <w:color w:val="auto"/>
              </w:rPr>
            </w:pPr>
            <w:r w:rsidRPr="001F05D9">
              <w:rPr>
                <w:rFonts w:ascii="Arial" w:hAnsi="Arial" w:cs="Arial"/>
                <w:color w:val="auto"/>
              </w:rPr>
              <w:t>09:50; 13:10</w:t>
            </w:r>
          </w:p>
        </w:tc>
        <w:tc>
          <w:tcPr>
            <w:tcW w:w="2500" w:type="dxa"/>
            <w:shd w:val="clear" w:color="auto" w:fill="FFFFFF"/>
            <w:tcMar>
              <w:top w:w="0" w:type="dxa"/>
              <w:left w:w="108" w:type="dxa"/>
              <w:bottom w:w="0" w:type="dxa"/>
              <w:right w:w="108" w:type="dxa"/>
            </w:tcMar>
          </w:tcPr>
          <w:p w14:paraId="3344DB93" w14:textId="77777777" w:rsidR="004A34CA" w:rsidRPr="001F05D9" w:rsidRDefault="00B5777A">
            <w:pPr>
              <w:spacing w:line="480" w:lineRule="auto"/>
              <w:rPr>
                <w:color w:val="auto"/>
              </w:rPr>
            </w:pPr>
            <w:r w:rsidRPr="001F05D9">
              <w:rPr>
                <w:rFonts w:ascii="Arial" w:hAnsi="Arial" w:cs="Arial"/>
                <w:color w:val="auto"/>
              </w:rPr>
              <w:t>09:00; 12:20; 15:40</w:t>
            </w:r>
          </w:p>
        </w:tc>
        <w:tc>
          <w:tcPr>
            <w:tcW w:w="1625" w:type="dxa"/>
            <w:shd w:val="clear" w:color="auto" w:fill="FFFFFF"/>
            <w:tcMar>
              <w:top w:w="0" w:type="dxa"/>
              <w:left w:w="108" w:type="dxa"/>
              <w:bottom w:w="0" w:type="dxa"/>
              <w:right w:w="108" w:type="dxa"/>
            </w:tcMar>
          </w:tcPr>
          <w:p w14:paraId="73A863CD" w14:textId="77777777" w:rsidR="004A34CA" w:rsidRPr="001F05D9" w:rsidRDefault="00B5777A">
            <w:pPr>
              <w:spacing w:line="480" w:lineRule="auto"/>
              <w:rPr>
                <w:color w:val="auto"/>
              </w:rPr>
            </w:pPr>
            <w:r w:rsidRPr="001F05D9">
              <w:rPr>
                <w:rFonts w:ascii="Arial" w:hAnsi="Arial" w:cs="Arial"/>
                <w:color w:val="auto"/>
              </w:rPr>
              <w:t>08:30; 14:30</w:t>
            </w:r>
          </w:p>
        </w:tc>
      </w:tr>
      <w:tr w:rsidR="004A34CA" w:rsidRPr="001F05D9" w14:paraId="271C4D6D" w14:textId="77777777" w:rsidTr="00AD2E4A">
        <w:tc>
          <w:tcPr>
            <w:tcW w:w="2064" w:type="dxa"/>
            <w:tcBorders>
              <w:bottom w:val="single" w:sz="4" w:space="0" w:color="00000A"/>
            </w:tcBorders>
            <w:shd w:val="clear" w:color="auto" w:fill="FFFFFF"/>
            <w:tcMar>
              <w:top w:w="0" w:type="dxa"/>
              <w:left w:w="108" w:type="dxa"/>
              <w:bottom w:w="0" w:type="dxa"/>
              <w:right w:w="108" w:type="dxa"/>
            </w:tcMar>
          </w:tcPr>
          <w:p w14:paraId="728BC9B3" w14:textId="77777777" w:rsidR="004A34CA" w:rsidRPr="001F05D9" w:rsidRDefault="00B5777A">
            <w:pPr>
              <w:rPr>
                <w:color w:val="auto"/>
              </w:rPr>
            </w:pPr>
            <w:r w:rsidRPr="001F05D9">
              <w:rPr>
                <w:rFonts w:ascii="Arial" w:hAnsi="Arial" w:cs="Arial"/>
                <w:b/>
                <w:color w:val="auto"/>
              </w:rPr>
              <w:t xml:space="preserve">Time between matches </w:t>
            </w:r>
            <w:r w:rsidRPr="001F05D9">
              <w:rPr>
                <w:rFonts w:ascii="Arial" w:hAnsi="Arial" w:cs="Arial"/>
                <w:color w:val="auto"/>
              </w:rPr>
              <w:t>(min)</w:t>
            </w:r>
          </w:p>
        </w:tc>
        <w:tc>
          <w:tcPr>
            <w:tcW w:w="1674" w:type="dxa"/>
            <w:tcBorders>
              <w:bottom w:val="single" w:sz="4" w:space="0" w:color="00000A"/>
            </w:tcBorders>
            <w:shd w:val="clear" w:color="auto" w:fill="FFFFFF"/>
            <w:tcMar>
              <w:top w:w="0" w:type="dxa"/>
              <w:left w:w="108" w:type="dxa"/>
              <w:bottom w:w="0" w:type="dxa"/>
              <w:right w:w="108" w:type="dxa"/>
            </w:tcMar>
          </w:tcPr>
          <w:p w14:paraId="77C5DB26" w14:textId="77777777" w:rsidR="004A34CA" w:rsidRPr="001F05D9" w:rsidRDefault="00B5777A">
            <w:pPr>
              <w:spacing w:line="480" w:lineRule="auto"/>
              <w:rPr>
                <w:color w:val="auto"/>
              </w:rPr>
            </w:pPr>
            <w:r w:rsidRPr="001F05D9">
              <w:rPr>
                <w:rFonts w:ascii="Arial" w:hAnsi="Arial" w:cs="Arial"/>
                <w:color w:val="auto"/>
              </w:rPr>
              <w:t>140</w:t>
            </w:r>
          </w:p>
        </w:tc>
        <w:tc>
          <w:tcPr>
            <w:tcW w:w="1675" w:type="dxa"/>
            <w:tcBorders>
              <w:bottom w:val="single" w:sz="4" w:space="0" w:color="00000A"/>
            </w:tcBorders>
            <w:shd w:val="clear" w:color="auto" w:fill="FFFFFF"/>
            <w:tcMar>
              <w:top w:w="0" w:type="dxa"/>
              <w:left w:w="108" w:type="dxa"/>
              <w:bottom w:w="0" w:type="dxa"/>
              <w:right w:w="108" w:type="dxa"/>
            </w:tcMar>
          </w:tcPr>
          <w:p w14:paraId="7C753C35" w14:textId="77777777" w:rsidR="004A34CA" w:rsidRPr="001F05D9" w:rsidRDefault="00B5777A">
            <w:pPr>
              <w:spacing w:line="480" w:lineRule="auto"/>
              <w:rPr>
                <w:color w:val="auto"/>
              </w:rPr>
            </w:pPr>
            <w:r w:rsidRPr="001F05D9">
              <w:rPr>
                <w:rFonts w:ascii="Arial" w:hAnsi="Arial" w:cs="Arial"/>
                <w:color w:val="auto"/>
              </w:rPr>
              <w:t>100</w:t>
            </w:r>
          </w:p>
        </w:tc>
        <w:tc>
          <w:tcPr>
            <w:tcW w:w="2500" w:type="dxa"/>
            <w:tcBorders>
              <w:bottom w:val="single" w:sz="4" w:space="0" w:color="00000A"/>
            </w:tcBorders>
            <w:shd w:val="clear" w:color="auto" w:fill="FFFFFF"/>
            <w:tcMar>
              <w:top w:w="0" w:type="dxa"/>
              <w:left w:w="108" w:type="dxa"/>
              <w:bottom w:w="0" w:type="dxa"/>
              <w:right w:w="108" w:type="dxa"/>
            </w:tcMar>
          </w:tcPr>
          <w:p w14:paraId="3893C3C0" w14:textId="77777777" w:rsidR="004A34CA" w:rsidRPr="001F05D9" w:rsidRDefault="00B5777A">
            <w:pPr>
              <w:spacing w:line="480" w:lineRule="auto"/>
              <w:rPr>
                <w:color w:val="auto"/>
              </w:rPr>
            </w:pPr>
            <w:r w:rsidRPr="001F05D9">
              <w:rPr>
                <w:rFonts w:ascii="Arial" w:hAnsi="Arial" w:cs="Arial"/>
                <w:color w:val="auto"/>
              </w:rPr>
              <w:t>100; 100</w:t>
            </w:r>
          </w:p>
        </w:tc>
        <w:tc>
          <w:tcPr>
            <w:tcW w:w="1625" w:type="dxa"/>
            <w:tcBorders>
              <w:bottom w:val="single" w:sz="4" w:space="0" w:color="00000A"/>
            </w:tcBorders>
            <w:shd w:val="clear" w:color="auto" w:fill="FFFFFF"/>
            <w:tcMar>
              <w:top w:w="0" w:type="dxa"/>
              <w:left w:w="108" w:type="dxa"/>
              <w:bottom w:w="0" w:type="dxa"/>
              <w:right w:w="108" w:type="dxa"/>
            </w:tcMar>
          </w:tcPr>
          <w:p w14:paraId="17C97864" w14:textId="77777777" w:rsidR="004A34CA" w:rsidRPr="001F05D9" w:rsidRDefault="00B5777A">
            <w:pPr>
              <w:spacing w:line="480" w:lineRule="auto"/>
              <w:rPr>
                <w:color w:val="auto"/>
              </w:rPr>
            </w:pPr>
            <w:r w:rsidRPr="001F05D9">
              <w:rPr>
                <w:rFonts w:ascii="Arial" w:hAnsi="Arial" w:cs="Arial"/>
                <w:color w:val="auto"/>
              </w:rPr>
              <w:t>260</w:t>
            </w:r>
          </w:p>
        </w:tc>
      </w:tr>
    </w:tbl>
    <w:p w14:paraId="03D311D0" w14:textId="77777777" w:rsidR="004A34CA" w:rsidRPr="001F05D9" w:rsidRDefault="004A34CA">
      <w:pPr>
        <w:spacing w:line="480" w:lineRule="auto"/>
        <w:rPr>
          <w:color w:val="auto"/>
        </w:rPr>
      </w:pPr>
    </w:p>
    <w:p w14:paraId="535F096A" w14:textId="77777777" w:rsidR="004A34CA" w:rsidRPr="001F05D9" w:rsidRDefault="004A34CA">
      <w:pPr>
        <w:spacing w:line="480" w:lineRule="auto"/>
        <w:jc w:val="both"/>
        <w:rPr>
          <w:color w:val="auto"/>
        </w:rPr>
      </w:pPr>
    </w:p>
    <w:p w14:paraId="7FF911D4" w14:textId="77777777" w:rsidR="004A34CA" w:rsidRPr="001F05D9" w:rsidRDefault="004A34CA">
      <w:pPr>
        <w:widowControl w:val="0"/>
        <w:spacing w:after="240" w:line="480" w:lineRule="auto"/>
        <w:rPr>
          <w:color w:val="auto"/>
        </w:rPr>
      </w:pPr>
    </w:p>
    <w:p w14:paraId="112DE88E" w14:textId="77777777" w:rsidR="004A34CA" w:rsidRPr="001F05D9" w:rsidRDefault="004A34CA">
      <w:pPr>
        <w:widowControl w:val="0"/>
        <w:spacing w:after="240" w:line="480" w:lineRule="auto"/>
        <w:rPr>
          <w:color w:val="auto"/>
        </w:rPr>
      </w:pPr>
    </w:p>
    <w:p w14:paraId="293F50DA" w14:textId="77777777" w:rsidR="004A34CA" w:rsidRPr="001F05D9" w:rsidRDefault="004A34CA">
      <w:pPr>
        <w:widowControl w:val="0"/>
        <w:spacing w:after="240" w:line="480" w:lineRule="auto"/>
        <w:rPr>
          <w:color w:val="auto"/>
        </w:rPr>
      </w:pPr>
    </w:p>
    <w:p w14:paraId="7D0D76AF" w14:textId="77777777" w:rsidR="004A34CA" w:rsidRPr="001F05D9" w:rsidRDefault="004A34CA">
      <w:pPr>
        <w:widowControl w:val="0"/>
        <w:spacing w:after="240" w:line="480" w:lineRule="auto"/>
        <w:rPr>
          <w:color w:val="auto"/>
        </w:rPr>
      </w:pPr>
    </w:p>
    <w:p w14:paraId="088F2052" w14:textId="77777777" w:rsidR="004A34CA" w:rsidRPr="001F05D9" w:rsidRDefault="004A34CA">
      <w:pPr>
        <w:pStyle w:val="Header"/>
        <w:ind w:right="360"/>
        <w:rPr>
          <w:color w:val="auto"/>
        </w:rPr>
        <w:sectPr w:rsidR="004A34CA" w:rsidRPr="001F05D9">
          <w:headerReference w:type="even" r:id="rId16"/>
          <w:headerReference w:type="default" r:id="rId17"/>
          <w:pgSz w:w="11906" w:h="16838"/>
          <w:pgMar w:top="1440" w:right="1440" w:bottom="1440" w:left="1440" w:header="709" w:footer="0" w:gutter="0"/>
          <w:lnNumType w:countBy="1" w:distance="283" w:restart="continuous"/>
          <w:cols w:space="720"/>
          <w:formProt w:val="0"/>
          <w:docGrid w:linePitch="360"/>
        </w:sectPr>
      </w:pPr>
    </w:p>
    <w:p w14:paraId="75D7B04B" w14:textId="77777777" w:rsidR="004A34CA" w:rsidRPr="001F05D9" w:rsidRDefault="00B5777A">
      <w:pPr>
        <w:widowControl w:val="0"/>
        <w:spacing w:after="240" w:line="480" w:lineRule="auto"/>
        <w:rPr>
          <w:color w:val="auto"/>
        </w:rPr>
      </w:pPr>
      <w:r w:rsidRPr="001F05D9">
        <w:rPr>
          <w:rFonts w:ascii="Arial" w:hAnsi="Arial" w:cs="Arial"/>
          <w:b/>
          <w:color w:val="auto"/>
          <w:lang w:val="en-US"/>
        </w:rPr>
        <w:lastRenderedPageBreak/>
        <w:t xml:space="preserve">Table 2. </w:t>
      </w:r>
      <w:r w:rsidRPr="001F05D9">
        <w:rPr>
          <w:rFonts w:ascii="Arial" w:hAnsi="Arial" w:cs="Arial"/>
          <w:color w:val="auto"/>
          <w:lang w:val="en-US"/>
        </w:rPr>
        <w:t xml:space="preserve">Mean ± SD movement characteristics per match on days 1 - 4. </w:t>
      </w:r>
    </w:p>
    <w:tbl>
      <w:tblPr>
        <w:tblW w:w="15168" w:type="dxa"/>
        <w:tblInd w:w="-318" w:type="dxa"/>
        <w:tblBorders>
          <w:top w:val="single" w:sz="4" w:space="0" w:color="00000A"/>
        </w:tblBorders>
        <w:tblCellMar>
          <w:left w:w="10" w:type="dxa"/>
          <w:right w:w="10" w:type="dxa"/>
        </w:tblCellMar>
        <w:tblLook w:val="0000" w:firstRow="0" w:lastRow="0" w:firstColumn="0" w:lastColumn="0" w:noHBand="0" w:noVBand="0"/>
      </w:tblPr>
      <w:tblGrid>
        <w:gridCol w:w="2274"/>
        <w:gridCol w:w="1386"/>
        <w:gridCol w:w="1470"/>
        <w:gridCol w:w="1385"/>
        <w:gridCol w:w="1424"/>
        <w:gridCol w:w="1418"/>
        <w:gridCol w:w="1456"/>
        <w:gridCol w:w="1413"/>
        <w:gridCol w:w="1525"/>
        <w:gridCol w:w="1417"/>
      </w:tblGrid>
      <w:tr w:rsidR="005E1321" w:rsidRPr="001F05D9" w14:paraId="63DF9B52" w14:textId="77777777" w:rsidTr="005E1321">
        <w:trPr>
          <w:trHeight w:val="325"/>
        </w:trPr>
        <w:tc>
          <w:tcPr>
            <w:tcW w:w="2274" w:type="dxa"/>
            <w:tcBorders>
              <w:top w:val="single" w:sz="4" w:space="0" w:color="00000A"/>
            </w:tcBorders>
            <w:shd w:val="clear" w:color="auto" w:fill="FFFFFF"/>
            <w:tcMar>
              <w:top w:w="0" w:type="dxa"/>
              <w:left w:w="108" w:type="dxa"/>
              <w:bottom w:w="0" w:type="dxa"/>
              <w:right w:w="108" w:type="dxa"/>
            </w:tcMar>
          </w:tcPr>
          <w:p w14:paraId="6E932A86" w14:textId="77777777" w:rsidR="00AD2E4A" w:rsidRPr="001F05D9" w:rsidRDefault="00AD2E4A" w:rsidP="005E1321">
            <w:pPr>
              <w:spacing w:after="0" w:line="480" w:lineRule="auto"/>
              <w:jc w:val="center"/>
              <w:rPr>
                <w:rFonts w:ascii="Arial" w:hAnsi="Arial" w:cs="Arial"/>
                <w:color w:val="auto"/>
                <w:sz w:val="21"/>
                <w:szCs w:val="21"/>
              </w:rPr>
            </w:pPr>
          </w:p>
        </w:tc>
        <w:tc>
          <w:tcPr>
            <w:tcW w:w="2856" w:type="dxa"/>
            <w:gridSpan w:val="2"/>
            <w:tcBorders>
              <w:top w:val="single" w:sz="4" w:space="0" w:color="00000A"/>
            </w:tcBorders>
            <w:shd w:val="clear" w:color="auto" w:fill="FFFFFF"/>
            <w:tcMar>
              <w:top w:w="0" w:type="dxa"/>
              <w:left w:w="108" w:type="dxa"/>
              <w:bottom w:w="0" w:type="dxa"/>
              <w:right w:w="108" w:type="dxa"/>
            </w:tcMar>
          </w:tcPr>
          <w:p w14:paraId="1ED34B7F" w14:textId="77777777" w:rsidR="00AD2E4A" w:rsidRPr="001F05D9" w:rsidRDefault="00AD2E4A" w:rsidP="005E1321">
            <w:pPr>
              <w:spacing w:after="0" w:line="480" w:lineRule="auto"/>
              <w:jc w:val="center"/>
              <w:rPr>
                <w:rFonts w:ascii="Arial" w:hAnsi="Arial" w:cs="Arial"/>
                <w:color w:val="auto"/>
                <w:sz w:val="21"/>
                <w:szCs w:val="21"/>
              </w:rPr>
            </w:pPr>
            <w:r w:rsidRPr="001F05D9">
              <w:rPr>
                <w:rFonts w:ascii="Arial" w:hAnsi="Arial" w:cs="Arial"/>
                <w:b/>
                <w:color w:val="auto"/>
                <w:sz w:val="21"/>
                <w:szCs w:val="21"/>
              </w:rPr>
              <w:t>Day 1</w:t>
            </w:r>
          </w:p>
        </w:tc>
        <w:tc>
          <w:tcPr>
            <w:tcW w:w="2809" w:type="dxa"/>
            <w:gridSpan w:val="2"/>
            <w:tcBorders>
              <w:top w:val="single" w:sz="4" w:space="0" w:color="00000A"/>
            </w:tcBorders>
            <w:shd w:val="clear" w:color="auto" w:fill="FFFFFF"/>
            <w:tcMar>
              <w:top w:w="0" w:type="dxa"/>
              <w:left w:w="108" w:type="dxa"/>
              <w:bottom w:w="0" w:type="dxa"/>
              <w:right w:w="108" w:type="dxa"/>
            </w:tcMar>
          </w:tcPr>
          <w:p w14:paraId="2B040182" w14:textId="77777777" w:rsidR="00AD2E4A" w:rsidRPr="001F05D9" w:rsidRDefault="00AD2E4A" w:rsidP="005E1321">
            <w:pPr>
              <w:tabs>
                <w:tab w:val="left" w:pos="1110"/>
                <w:tab w:val="center" w:pos="4320"/>
                <w:tab w:val="right" w:pos="8640"/>
              </w:tabs>
              <w:spacing w:after="0" w:line="480" w:lineRule="auto"/>
              <w:jc w:val="center"/>
              <w:rPr>
                <w:rFonts w:ascii="Arial" w:hAnsi="Arial" w:cs="Arial"/>
                <w:color w:val="auto"/>
                <w:sz w:val="21"/>
                <w:szCs w:val="21"/>
              </w:rPr>
            </w:pPr>
            <w:r w:rsidRPr="001F05D9">
              <w:rPr>
                <w:rFonts w:ascii="Arial" w:hAnsi="Arial" w:cs="Arial"/>
                <w:b/>
                <w:color w:val="auto"/>
                <w:sz w:val="21"/>
                <w:szCs w:val="21"/>
              </w:rPr>
              <w:t>Day 2</w:t>
            </w:r>
          </w:p>
        </w:tc>
        <w:tc>
          <w:tcPr>
            <w:tcW w:w="4287" w:type="dxa"/>
            <w:gridSpan w:val="3"/>
            <w:tcBorders>
              <w:top w:val="single" w:sz="4" w:space="0" w:color="00000A"/>
            </w:tcBorders>
            <w:shd w:val="clear" w:color="auto" w:fill="FFFFFF"/>
          </w:tcPr>
          <w:p w14:paraId="53BA9ECF" w14:textId="77777777" w:rsidR="00AD2E4A" w:rsidRPr="001F05D9" w:rsidRDefault="00AD2E4A" w:rsidP="005E1321">
            <w:pPr>
              <w:tabs>
                <w:tab w:val="left" w:pos="1110"/>
                <w:tab w:val="center" w:pos="4320"/>
                <w:tab w:val="right" w:pos="8640"/>
              </w:tabs>
              <w:spacing w:after="0" w:line="480" w:lineRule="auto"/>
              <w:rPr>
                <w:rFonts w:ascii="Arial" w:hAnsi="Arial" w:cs="Arial"/>
                <w:color w:val="auto"/>
                <w:sz w:val="21"/>
                <w:szCs w:val="21"/>
              </w:rPr>
            </w:pPr>
            <w:r w:rsidRPr="001F05D9">
              <w:rPr>
                <w:rFonts w:ascii="Arial" w:hAnsi="Arial" w:cs="Arial"/>
                <w:b/>
                <w:color w:val="auto"/>
                <w:sz w:val="21"/>
                <w:szCs w:val="21"/>
              </w:rPr>
              <w:t xml:space="preserve">                               Day 3</w:t>
            </w:r>
          </w:p>
        </w:tc>
        <w:tc>
          <w:tcPr>
            <w:tcW w:w="2942" w:type="dxa"/>
            <w:gridSpan w:val="2"/>
            <w:tcBorders>
              <w:top w:val="single" w:sz="4" w:space="0" w:color="00000A"/>
            </w:tcBorders>
            <w:shd w:val="clear" w:color="auto" w:fill="FFFFFF"/>
          </w:tcPr>
          <w:p w14:paraId="396B4916" w14:textId="77777777" w:rsidR="00AD2E4A" w:rsidRPr="001F05D9" w:rsidRDefault="00AD2E4A" w:rsidP="005E1321">
            <w:pPr>
              <w:tabs>
                <w:tab w:val="left" w:pos="1110"/>
                <w:tab w:val="center" w:pos="4320"/>
                <w:tab w:val="right" w:pos="8640"/>
              </w:tabs>
              <w:spacing w:after="0" w:line="480" w:lineRule="auto"/>
              <w:rPr>
                <w:rFonts w:ascii="Arial" w:hAnsi="Arial" w:cs="Arial"/>
                <w:color w:val="auto"/>
                <w:sz w:val="21"/>
                <w:szCs w:val="21"/>
              </w:rPr>
            </w:pPr>
            <w:r w:rsidRPr="001F05D9">
              <w:rPr>
                <w:rFonts w:ascii="Arial" w:hAnsi="Arial" w:cs="Arial"/>
                <w:b/>
                <w:color w:val="auto"/>
                <w:sz w:val="21"/>
                <w:szCs w:val="21"/>
              </w:rPr>
              <w:t xml:space="preserve">                   Day 4</w:t>
            </w:r>
          </w:p>
        </w:tc>
      </w:tr>
      <w:tr w:rsidR="005E1321" w:rsidRPr="001F05D9" w14:paraId="1CC36256" w14:textId="77777777" w:rsidTr="005E1321">
        <w:trPr>
          <w:trHeight w:val="395"/>
        </w:trPr>
        <w:tc>
          <w:tcPr>
            <w:tcW w:w="2274" w:type="dxa"/>
            <w:tcBorders>
              <w:bottom w:val="single" w:sz="4" w:space="0" w:color="00000A"/>
            </w:tcBorders>
            <w:shd w:val="clear" w:color="auto" w:fill="FFFFFF"/>
            <w:tcMar>
              <w:top w:w="0" w:type="dxa"/>
              <w:left w:w="108" w:type="dxa"/>
              <w:bottom w:w="0" w:type="dxa"/>
              <w:right w:w="108" w:type="dxa"/>
            </w:tcMar>
          </w:tcPr>
          <w:p w14:paraId="145679D3" w14:textId="77777777" w:rsidR="004A34CA" w:rsidRPr="001F05D9" w:rsidRDefault="004A34CA" w:rsidP="005E1321">
            <w:pPr>
              <w:spacing w:after="0" w:line="480" w:lineRule="auto"/>
              <w:rPr>
                <w:rFonts w:ascii="Arial" w:hAnsi="Arial" w:cs="Arial"/>
                <w:color w:val="auto"/>
                <w:sz w:val="21"/>
                <w:szCs w:val="21"/>
              </w:rPr>
            </w:pPr>
          </w:p>
        </w:tc>
        <w:tc>
          <w:tcPr>
            <w:tcW w:w="1386" w:type="dxa"/>
            <w:tcBorders>
              <w:bottom w:val="single" w:sz="4" w:space="0" w:color="00000A"/>
            </w:tcBorders>
            <w:shd w:val="clear" w:color="auto" w:fill="FFFFFF"/>
            <w:tcMar>
              <w:top w:w="0" w:type="dxa"/>
              <w:left w:w="108" w:type="dxa"/>
              <w:bottom w:w="0" w:type="dxa"/>
              <w:right w:w="108" w:type="dxa"/>
            </w:tcMar>
          </w:tcPr>
          <w:p w14:paraId="548C4FBE"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1</w:t>
            </w:r>
          </w:p>
        </w:tc>
        <w:tc>
          <w:tcPr>
            <w:tcW w:w="1470" w:type="dxa"/>
            <w:tcBorders>
              <w:bottom w:val="single" w:sz="4" w:space="0" w:color="00000A"/>
            </w:tcBorders>
            <w:shd w:val="clear" w:color="auto" w:fill="FFFFFF"/>
            <w:tcMar>
              <w:top w:w="0" w:type="dxa"/>
              <w:left w:w="108" w:type="dxa"/>
              <w:bottom w:w="0" w:type="dxa"/>
              <w:right w:w="108" w:type="dxa"/>
            </w:tcMar>
          </w:tcPr>
          <w:p w14:paraId="25DC1FCA"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2</w:t>
            </w:r>
          </w:p>
        </w:tc>
        <w:tc>
          <w:tcPr>
            <w:tcW w:w="1385" w:type="dxa"/>
            <w:tcBorders>
              <w:bottom w:val="single" w:sz="4" w:space="0" w:color="00000A"/>
            </w:tcBorders>
            <w:shd w:val="clear" w:color="auto" w:fill="FFFFFF"/>
            <w:tcMar>
              <w:top w:w="0" w:type="dxa"/>
              <w:left w:w="108" w:type="dxa"/>
              <w:bottom w:w="0" w:type="dxa"/>
              <w:right w:w="108" w:type="dxa"/>
            </w:tcMar>
          </w:tcPr>
          <w:p w14:paraId="08BC5437"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3</w:t>
            </w:r>
          </w:p>
        </w:tc>
        <w:tc>
          <w:tcPr>
            <w:tcW w:w="1424" w:type="dxa"/>
            <w:tcBorders>
              <w:bottom w:val="single" w:sz="4" w:space="0" w:color="00000A"/>
            </w:tcBorders>
            <w:shd w:val="clear" w:color="auto" w:fill="FFFFFF"/>
            <w:tcMar>
              <w:top w:w="0" w:type="dxa"/>
              <w:left w:w="108" w:type="dxa"/>
              <w:bottom w:w="0" w:type="dxa"/>
              <w:right w:w="108" w:type="dxa"/>
            </w:tcMar>
          </w:tcPr>
          <w:p w14:paraId="3BF76E90"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4</w:t>
            </w:r>
          </w:p>
        </w:tc>
        <w:tc>
          <w:tcPr>
            <w:tcW w:w="1418" w:type="dxa"/>
            <w:tcBorders>
              <w:bottom w:val="single" w:sz="4" w:space="0" w:color="00000A"/>
            </w:tcBorders>
            <w:shd w:val="clear" w:color="auto" w:fill="FFFFFF"/>
            <w:tcMar>
              <w:top w:w="0" w:type="dxa"/>
              <w:left w:w="108" w:type="dxa"/>
              <w:bottom w:w="0" w:type="dxa"/>
              <w:right w:w="108" w:type="dxa"/>
            </w:tcMar>
          </w:tcPr>
          <w:p w14:paraId="1E596713"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5</w:t>
            </w:r>
          </w:p>
        </w:tc>
        <w:tc>
          <w:tcPr>
            <w:tcW w:w="1456" w:type="dxa"/>
            <w:tcBorders>
              <w:bottom w:val="single" w:sz="4" w:space="0" w:color="00000A"/>
            </w:tcBorders>
            <w:shd w:val="clear" w:color="auto" w:fill="FFFFFF"/>
            <w:tcMar>
              <w:top w:w="0" w:type="dxa"/>
              <w:left w:w="108" w:type="dxa"/>
              <w:bottom w:w="0" w:type="dxa"/>
              <w:right w:w="108" w:type="dxa"/>
            </w:tcMar>
          </w:tcPr>
          <w:p w14:paraId="66D418CB"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6</w:t>
            </w:r>
          </w:p>
        </w:tc>
        <w:tc>
          <w:tcPr>
            <w:tcW w:w="1413" w:type="dxa"/>
            <w:tcBorders>
              <w:bottom w:val="single" w:sz="4" w:space="0" w:color="00000A"/>
            </w:tcBorders>
            <w:shd w:val="clear" w:color="auto" w:fill="FFFFFF"/>
            <w:tcMar>
              <w:top w:w="0" w:type="dxa"/>
              <w:left w:w="108" w:type="dxa"/>
              <w:bottom w:w="0" w:type="dxa"/>
              <w:right w:w="108" w:type="dxa"/>
            </w:tcMar>
          </w:tcPr>
          <w:p w14:paraId="71C81C3A"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7</w:t>
            </w:r>
          </w:p>
        </w:tc>
        <w:tc>
          <w:tcPr>
            <w:tcW w:w="1525" w:type="dxa"/>
            <w:tcBorders>
              <w:bottom w:val="single" w:sz="4" w:space="0" w:color="00000A"/>
            </w:tcBorders>
            <w:shd w:val="clear" w:color="auto" w:fill="FFFFFF"/>
            <w:tcMar>
              <w:top w:w="0" w:type="dxa"/>
              <w:left w:w="108" w:type="dxa"/>
              <w:bottom w:w="0" w:type="dxa"/>
              <w:right w:w="108" w:type="dxa"/>
            </w:tcMar>
          </w:tcPr>
          <w:p w14:paraId="24EFE046" w14:textId="77777777" w:rsidR="004A34CA" w:rsidRPr="001F05D9" w:rsidRDefault="00B5777A" w:rsidP="005E1321">
            <w:pPr>
              <w:spacing w:after="0" w:line="240" w:lineRule="auto"/>
              <w:rPr>
                <w:rFonts w:ascii="Arial" w:hAnsi="Arial" w:cs="Arial"/>
                <w:color w:val="auto"/>
                <w:sz w:val="21"/>
                <w:szCs w:val="21"/>
              </w:rPr>
            </w:pPr>
            <w:r w:rsidRPr="001F05D9">
              <w:rPr>
                <w:rFonts w:ascii="Arial" w:hAnsi="Arial" w:cs="Arial"/>
                <w:color w:val="auto"/>
                <w:sz w:val="21"/>
                <w:szCs w:val="21"/>
              </w:rPr>
              <w:t>Match 8</w:t>
            </w:r>
          </w:p>
        </w:tc>
        <w:tc>
          <w:tcPr>
            <w:tcW w:w="1417" w:type="dxa"/>
            <w:tcBorders>
              <w:bottom w:val="single" w:sz="4" w:space="0" w:color="00000A"/>
            </w:tcBorders>
            <w:shd w:val="clear" w:color="auto" w:fill="FFFFFF"/>
            <w:tcMar>
              <w:top w:w="0" w:type="dxa"/>
              <w:left w:w="108" w:type="dxa"/>
              <w:bottom w:w="0" w:type="dxa"/>
              <w:right w:w="108" w:type="dxa"/>
            </w:tcMar>
          </w:tcPr>
          <w:p w14:paraId="217B9301" w14:textId="77777777" w:rsidR="004A34CA" w:rsidRPr="001F05D9" w:rsidRDefault="00B5777A" w:rsidP="005E1321">
            <w:pPr>
              <w:tabs>
                <w:tab w:val="left" w:pos="1110"/>
                <w:tab w:val="center" w:pos="4320"/>
                <w:tab w:val="right" w:pos="8640"/>
              </w:tabs>
              <w:spacing w:after="0" w:line="240" w:lineRule="auto"/>
              <w:rPr>
                <w:rFonts w:ascii="Arial" w:hAnsi="Arial" w:cs="Arial"/>
                <w:color w:val="auto"/>
                <w:sz w:val="21"/>
                <w:szCs w:val="21"/>
              </w:rPr>
            </w:pPr>
            <w:r w:rsidRPr="001F05D9">
              <w:rPr>
                <w:rFonts w:ascii="Arial" w:hAnsi="Arial" w:cs="Arial"/>
                <w:color w:val="auto"/>
                <w:sz w:val="21"/>
                <w:szCs w:val="21"/>
              </w:rPr>
              <w:t>Match 9</w:t>
            </w:r>
          </w:p>
        </w:tc>
      </w:tr>
      <w:tr w:rsidR="005E1321" w:rsidRPr="001F05D9" w14:paraId="26DB8EAC" w14:textId="77777777" w:rsidTr="005E1321">
        <w:trPr>
          <w:trHeight w:val="601"/>
        </w:trPr>
        <w:tc>
          <w:tcPr>
            <w:tcW w:w="2274" w:type="dxa"/>
            <w:tcBorders>
              <w:top w:val="single" w:sz="4" w:space="0" w:color="00000A"/>
            </w:tcBorders>
            <w:shd w:val="clear" w:color="auto" w:fill="FFFFFF"/>
            <w:tcMar>
              <w:top w:w="0" w:type="dxa"/>
              <w:left w:w="108" w:type="dxa"/>
              <w:bottom w:w="0" w:type="dxa"/>
              <w:right w:w="108" w:type="dxa"/>
            </w:tcMar>
          </w:tcPr>
          <w:p w14:paraId="0EA02FF9" w14:textId="77777777" w:rsidR="004A34CA" w:rsidRPr="001F05D9" w:rsidRDefault="00B5777A" w:rsidP="005E1321">
            <w:pPr>
              <w:spacing w:after="0" w:line="480" w:lineRule="auto"/>
              <w:rPr>
                <w:rFonts w:ascii="Arial" w:hAnsi="Arial" w:cs="Arial"/>
                <w:color w:val="auto"/>
                <w:sz w:val="20"/>
                <w:szCs w:val="21"/>
              </w:rPr>
            </w:pPr>
            <w:r w:rsidRPr="001F05D9">
              <w:rPr>
                <w:rFonts w:ascii="Arial" w:hAnsi="Arial" w:cs="Arial"/>
                <w:b/>
                <w:color w:val="auto"/>
                <w:sz w:val="20"/>
                <w:szCs w:val="21"/>
              </w:rPr>
              <w:t>Playing time (min:s)</w:t>
            </w:r>
          </w:p>
        </w:tc>
        <w:tc>
          <w:tcPr>
            <w:tcW w:w="1386" w:type="dxa"/>
            <w:tcBorders>
              <w:top w:val="single" w:sz="4" w:space="0" w:color="00000A"/>
            </w:tcBorders>
            <w:shd w:val="clear" w:color="auto" w:fill="FFFFFF"/>
            <w:tcMar>
              <w:top w:w="0" w:type="dxa"/>
              <w:left w:w="108" w:type="dxa"/>
              <w:bottom w:w="0" w:type="dxa"/>
              <w:right w:w="108" w:type="dxa"/>
            </w:tcMar>
          </w:tcPr>
          <w:p w14:paraId="325D15CF"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20:6 ± 9:9</w:t>
            </w:r>
          </w:p>
        </w:tc>
        <w:tc>
          <w:tcPr>
            <w:tcW w:w="1470" w:type="dxa"/>
            <w:tcBorders>
              <w:top w:val="single" w:sz="4" w:space="0" w:color="00000A"/>
            </w:tcBorders>
            <w:shd w:val="clear" w:color="auto" w:fill="FFFFFF"/>
            <w:tcMar>
              <w:top w:w="0" w:type="dxa"/>
              <w:left w:w="108" w:type="dxa"/>
              <w:bottom w:w="0" w:type="dxa"/>
              <w:right w:w="108" w:type="dxa"/>
            </w:tcMar>
          </w:tcPr>
          <w:p w14:paraId="381A8270"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18:5 ± 9:2</w:t>
            </w:r>
          </w:p>
        </w:tc>
        <w:tc>
          <w:tcPr>
            <w:tcW w:w="1385" w:type="dxa"/>
            <w:tcBorders>
              <w:top w:val="single" w:sz="4" w:space="0" w:color="00000A"/>
            </w:tcBorders>
            <w:shd w:val="clear" w:color="auto" w:fill="FFFFFF"/>
            <w:tcMar>
              <w:top w:w="0" w:type="dxa"/>
              <w:left w:w="108" w:type="dxa"/>
              <w:bottom w:w="0" w:type="dxa"/>
              <w:right w:w="108" w:type="dxa"/>
            </w:tcMar>
          </w:tcPr>
          <w:p w14:paraId="6C0ACD2A"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18:0 ± 4.2</w:t>
            </w:r>
          </w:p>
        </w:tc>
        <w:tc>
          <w:tcPr>
            <w:tcW w:w="1424" w:type="dxa"/>
            <w:tcBorders>
              <w:top w:val="single" w:sz="4" w:space="0" w:color="00000A"/>
            </w:tcBorders>
            <w:shd w:val="clear" w:color="auto" w:fill="FFFFFF"/>
            <w:tcMar>
              <w:top w:w="0" w:type="dxa"/>
              <w:left w:w="108" w:type="dxa"/>
              <w:bottom w:w="0" w:type="dxa"/>
              <w:right w:w="108" w:type="dxa"/>
            </w:tcMar>
          </w:tcPr>
          <w:p w14:paraId="756DB339"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18:5 ± 8:6</w:t>
            </w:r>
          </w:p>
        </w:tc>
        <w:tc>
          <w:tcPr>
            <w:tcW w:w="1418" w:type="dxa"/>
            <w:tcBorders>
              <w:top w:val="single" w:sz="4" w:space="0" w:color="00000A"/>
            </w:tcBorders>
            <w:shd w:val="clear" w:color="auto" w:fill="FFFFFF"/>
            <w:tcMar>
              <w:top w:w="0" w:type="dxa"/>
              <w:left w:w="108" w:type="dxa"/>
              <w:bottom w:w="0" w:type="dxa"/>
              <w:right w:w="108" w:type="dxa"/>
            </w:tcMar>
          </w:tcPr>
          <w:p w14:paraId="0C81925D"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19:7 ± 7:4</w:t>
            </w:r>
          </w:p>
        </w:tc>
        <w:tc>
          <w:tcPr>
            <w:tcW w:w="1456" w:type="dxa"/>
            <w:tcBorders>
              <w:top w:val="single" w:sz="4" w:space="0" w:color="00000A"/>
            </w:tcBorders>
            <w:shd w:val="clear" w:color="auto" w:fill="FFFFFF"/>
            <w:tcMar>
              <w:top w:w="0" w:type="dxa"/>
              <w:left w:w="108" w:type="dxa"/>
              <w:bottom w:w="0" w:type="dxa"/>
              <w:right w:w="108" w:type="dxa"/>
            </w:tcMar>
          </w:tcPr>
          <w:p w14:paraId="61D8A89D"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21:5 ± 6:6</w:t>
            </w:r>
          </w:p>
        </w:tc>
        <w:tc>
          <w:tcPr>
            <w:tcW w:w="1413" w:type="dxa"/>
            <w:tcBorders>
              <w:top w:val="single" w:sz="4" w:space="0" w:color="00000A"/>
            </w:tcBorders>
            <w:shd w:val="clear" w:color="auto" w:fill="FFFFFF"/>
            <w:tcMar>
              <w:top w:w="0" w:type="dxa"/>
              <w:left w:w="108" w:type="dxa"/>
              <w:bottom w:w="0" w:type="dxa"/>
              <w:right w:w="108" w:type="dxa"/>
            </w:tcMar>
          </w:tcPr>
          <w:p w14:paraId="4FC97D07"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21:9 ± 7:0</w:t>
            </w:r>
          </w:p>
        </w:tc>
        <w:tc>
          <w:tcPr>
            <w:tcW w:w="1525" w:type="dxa"/>
            <w:tcBorders>
              <w:top w:val="single" w:sz="4" w:space="0" w:color="00000A"/>
            </w:tcBorders>
            <w:shd w:val="clear" w:color="auto" w:fill="FFFFFF"/>
            <w:tcMar>
              <w:top w:w="0" w:type="dxa"/>
              <w:left w:w="108" w:type="dxa"/>
              <w:bottom w:w="0" w:type="dxa"/>
              <w:right w:w="108" w:type="dxa"/>
            </w:tcMar>
          </w:tcPr>
          <w:p w14:paraId="7FCE6841"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20:6 ± 7:7</w:t>
            </w:r>
          </w:p>
        </w:tc>
        <w:tc>
          <w:tcPr>
            <w:tcW w:w="1417" w:type="dxa"/>
            <w:tcBorders>
              <w:top w:val="single" w:sz="4" w:space="0" w:color="00000A"/>
            </w:tcBorders>
            <w:shd w:val="clear" w:color="auto" w:fill="FFFFFF"/>
            <w:tcMar>
              <w:top w:w="0" w:type="dxa"/>
              <w:left w:w="108" w:type="dxa"/>
              <w:bottom w:w="0" w:type="dxa"/>
              <w:right w:w="108" w:type="dxa"/>
            </w:tcMar>
          </w:tcPr>
          <w:p w14:paraId="2C828957"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20:6 ± 7:3</w:t>
            </w:r>
          </w:p>
        </w:tc>
      </w:tr>
      <w:tr w:rsidR="005E1321" w:rsidRPr="001F05D9" w14:paraId="6CD0FCD7" w14:textId="77777777" w:rsidTr="005E1321">
        <w:trPr>
          <w:trHeight w:val="705"/>
        </w:trPr>
        <w:tc>
          <w:tcPr>
            <w:tcW w:w="2274" w:type="dxa"/>
            <w:shd w:val="clear" w:color="auto" w:fill="FFFFFF"/>
            <w:tcMar>
              <w:top w:w="0" w:type="dxa"/>
              <w:left w:w="108" w:type="dxa"/>
              <w:bottom w:w="0" w:type="dxa"/>
              <w:right w:w="108" w:type="dxa"/>
            </w:tcMar>
          </w:tcPr>
          <w:p w14:paraId="4FFD1B93" w14:textId="77777777" w:rsidR="004A34CA" w:rsidRPr="001F05D9" w:rsidRDefault="00B5777A" w:rsidP="005E1321">
            <w:pPr>
              <w:spacing w:after="0" w:line="480" w:lineRule="auto"/>
              <w:rPr>
                <w:rFonts w:ascii="Arial" w:hAnsi="Arial" w:cs="Arial"/>
                <w:color w:val="auto"/>
                <w:sz w:val="20"/>
                <w:szCs w:val="21"/>
              </w:rPr>
            </w:pPr>
            <w:r w:rsidRPr="001F05D9">
              <w:rPr>
                <w:rFonts w:ascii="Arial" w:hAnsi="Arial" w:cs="Arial"/>
                <w:b/>
                <w:color w:val="auto"/>
                <w:sz w:val="20"/>
                <w:szCs w:val="21"/>
              </w:rPr>
              <w:t>Total distance (m)</w:t>
            </w:r>
            <w:r w:rsidR="005E1321" w:rsidRPr="001F05D9">
              <w:rPr>
                <w:rFonts w:ascii="Arial" w:hAnsi="Arial" w:cs="Arial"/>
                <w:b/>
                <w:color w:val="auto"/>
                <w:sz w:val="20"/>
                <w:szCs w:val="21"/>
              </w:rPr>
              <w:t xml:space="preserve">    </w:t>
            </w:r>
          </w:p>
        </w:tc>
        <w:tc>
          <w:tcPr>
            <w:tcW w:w="1386" w:type="dxa"/>
            <w:shd w:val="clear" w:color="auto" w:fill="FFFFFF"/>
            <w:tcMar>
              <w:top w:w="0" w:type="dxa"/>
              <w:left w:w="108" w:type="dxa"/>
              <w:bottom w:w="0" w:type="dxa"/>
              <w:right w:w="108" w:type="dxa"/>
            </w:tcMar>
          </w:tcPr>
          <w:p w14:paraId="3C17ADFE"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2493 ± 775</w:t>
            </w:r>
          </w:p>
        </w:tc>
        <w:tc>
          <w:tcPr>
            <w:tcW w:w="1470" w:type="dxa"/>
            <w:shd w:val="clear" w:color="auto" w:fill="FFFFFF"/>
            <w:tcMar>
              <w:top w:w="0" w:type="dxa"/>
              <w:left w:w="108" w:type="dxa"/>
              <w:bottom w:w="0" w:type="dxa"/>
              <w:right w:w="108" w:type="dxa"/>
            </w:tcMar>
          </w:tcPr>
          <w:p w14:paraId="737AD012"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2299 ± 815</w:t>
            </w:r>
          </w:p>
        </w:tc>
        <w:tc>
          <w:tcPr>
            <w:tcW w:w="1385" w:type="dxa"/>
            <w:shd w:val="clear" w:color="auto" w:fill="FFFFFF"/>
            <w:tcMar>
              <w:top w:w="0" w:type="dxa"/>
              <w:left w:w="108" w:type="dxa"/>
              <w:bottom w:w="0" w:type="dxa"/>
              <w:right w:w="108" w:type="dxa"/>
            </w:tcMar>
          </w:tcPr>
          <w:p w14:paraId="498D4AD5"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2104 ± 566</w:t>
            </w:r>
          </w:p>
        </w:tc>
        <w:tc>
          <w:tcPr>
            <w:tcW w:w="1424" w:type="dxa"/>
            <w:shd w:val="clear" w:color="auto" w:fill="FFFFFF"/>
            <w:tcMar>
              <w:top w:w="0" w:type="dxa"/>
              <w:left w:w="108" w:type="dxa"/>
              <w:bottom w:w="0" w:type="dxa"/>
              <w:right w:w="108" w:type="dxa"/>
            </w:tcMar>
          </w:tcPr>
          <w:p w14:paraId="4C7CB6CD"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2160 ± 510</w:t>
            </w:r>
          </w:p>
        </w:tc>
        <w:tc>
          <w:tcPr>
            <w:tcW w:w="1418" w:type="dxa"/>
            <w:shd w:val="clear" w:color="auto" w:fill="FFFFFF"/>
            <w:tcMar>
              <w:top w:w="0" w:type="dxa"/>
              <w:left w:w="108" w:type="dxa"/>
              <w:bottom w:w="0" w:type="dxa"/>
              <w:right w:w="108" w:type="dxa"/>
            </w:tcMar>
          </w:tcPr>
          <w:p w14:paraId="677DC61D"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2497 ± 733</w:t>
            </w:r>
          </w:p>
        </w:tc>
        <w:tc>
          <w:tcPr>
            <w:tcW w:w="1456" w:type="dxa"/>
            <w:shd w:val="clear" w:color="auto" w:fill="FFFFFF"/>
            <w:tcMar>
              <w:top w:w="0" w:type="dxa"/>
              <w:left w:w="108" w:type="dxa"/>
              <w:bottom w:w="0" w:type="dxa"/>
              <w:right w:w="108" w:type="dxa"/>
            </w:tcMar>
          </w:tcPr>
          <w:p w14:paraId="5F263919"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2361 ± 762</w:t>
            </w:r>
          </w:p>
        </w:tc>
        <w:tc>
          <w:tcPr>
            <w:tcW w:w="1413" w:type="dxa"/>
            <w:shd w:val="clear" w:color="auto" w:fill="FFFFFF"/>
            <w:tcMar>
              <w:top w:w="0" w:type="dxa"/>
              <w:left w:w="108" w:type="dxa"/>
              <w:bottom w:w="0" w:type="dxa"/>
              <w:right w:w="108" w:type="dxa"/>
            </w:tcMar>
          </w:tcPr>
          <w:p w14:paraId="586969DE"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2308 ± 670</w:t>
            </w:r>
          </w:p>
        </w:tc>
        <w:tc>
          <w:tcPr>
            <w:tcW w:w="1525" w:type="dxa"/>
            <w:shd w:val="clear" w:color="auto" w:fill="FFFFFF"/>
            <w:tcMar>
              <w:top w:w="0" w:type="dxa"/>
              <w:left w:w="108" w:type="dxa"/>
              <w:bottom w:w="0" w:type="dxa"/>
              <w:right w:w="108" w:type="dxa"/>
            </w:tcMar>
          </w:tcPr>
          <w:p w14:paraId="5F0F582B"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2531 ± 814</w:t>
            </w:r>
          </w:p>
        </w:tc>
        <w:tc>
          <w:tcPr>
            <w:tcW w:w="1417" w:type="dxa"/>
            <w:shd w:val="clear" w:color="auto" w:fill="FFFFFF"/>
            <w:tcMar>
              <w:top w:w="0" w:type="dxa"/>
              <w:left w:w="108" w:type="dxa"/>
              <w:bottom w:w="0" w:type="dxa"/>
              <w:right w:w="108" w:type="dxa"/>
            </w:tcMar>
          </w:tcPr>
          <w:p w14:paraId="6AB64063"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2450 ± 729</w:t>
            </w:r>
          </w:p>
        </w:tc>
      </w:tr>
      <w:tr w:rsidR="005E1321" w:rsidRPr="001F05D9" w14:paraId="3271052D" w14:textId="77777777" w:rsidTr="005E1321">
        <w:trPr>
          <w:trHeight w:val="998"/>
        </w:trPr>
        <w:tc>
          <w:tcPr>
            <w:tcW w:w="2274" w:type="dxa"/>
            <w:shd w:val="clear" w:color="auto" w:fill="FFFFFF"/>
            <w:tcMar>
              <w:top w:w="0" w:type="dxa"/>
              <w:left w:w="108" w:type="dxa"/>
              <w:bottom w:w="0" w:type="dxa"/>
              <w:right w:w="108" w:type="dxa"/>
            </w:tcMar>
          </w:tcPr>
          <w:p w14:paraId="2880AD02" w14:textId="77777777" w:rsidR="004A34CA" w:rsidRPr="001F05D9" w:rsidRDefault="00B5777A" w:rsidP="005E1321">
            <w:pPr>
              <w:spacing w:after="0" w:line="480" w:lineRule="auto"/>
              <w:rPr>
                <w:rFonts w:ascii="Arial" w:hAnsi="Arial" w:cs="Arial"/>
                <w:color w:val="auto"/>
                <w:sz w:val="20"/>
                <w:szCs w:val="21"/>
              </w:rPr>
            </w:pPr>
            <w:r w:rsidRPr="001F05D9">
              <w:rPr>
                <w:rFonts w:ascii="Arial" w:hAnsi="Arial" w:cs="Arial"/>
                <w:b/>
                <w:color w:val="auto"/>
                <w:sz w:val="20"/>
                <w:szCs w:val="21"/>
              </w:rPr>
              <w:t>Relative distance (m·min</w:t>
            </w:r>
            <w:r w:rsidRPr="001F05D9">
              <w:rPr>
                <w:rFonts w:ascii="Arial" w:hAnsi="Arial" w:cs="Arial"/>
                <w:b/>
                <w:color w:val="auto"/>
                <w:sz w:val="20"/>
                <w:szCs w:val="21"/>
                <w:vertAlign w:val="superscript"/>
              </w:rPr>
              <w:t>-1</w:t>
            </w:r>
            <w:r w:rsidRPr="001F05D9">
              <w:rPr>
                <w:rFonts w:ascii="Arial" w:hAnsi="Arial" w:cs="Arial"/>
                <w:b/>
                <w:color w:val="auto"/>
                <w:sz w:val="20"/>
                <w:szCs w:val="21"/>
              </w:rPr>
              <w:t>)</w:t>
            </w:r>
          </w:p>
        </w:tc>
        <w:tc>
          <w:tcPr>
            <w:tcW w:w="1386" w:type="dxa"/>
            <w:shd w:val="clear" w:color="auto" w:fill="FFFFFF"/>
            <w:tcMar>
              <w:top w:w="0" w:type="dxa"/>
              <w:left w:w="108" w:type="dxa"/>
              <w:bottom w:w="0" w:type="dxa"/>
              <w:right w:w="108" w:type="dxa"/>
            </w:tcMar>
          </w:tcPr>
          <w:p w14:paraId="6B79E497"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129.1 ± 24.0</w:t>
            </w:r>
          </w:p>
        </w:tc>
        <w:tc>
          <w:tcPr>
            <w:tcW w:w="1470" w:type="dxa"/>
            <w:shd w:val="clear" w:color="auto" w:fill="FFFFFF"/>
            <w:tcMar>
              <w:top w:w="0" w:type="dxa"/>
              <w:left w:w="108" w:type="dxa"/>
              <w:bottom w:w="0" w:type="dxa"/>
              <w:right w:w="108" w:type="dxa"/>
            </w:tcMar>
          </w:tcPr>
          <w:p w14:paraId="3E435DE8"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130</w:t>
            </w:r>
            <w:r w:rsidR="005E1321" w:rsidRPr="001F05D9">
              <w:rPr>
                <w:rFonts w:ascii="Arial" w:hAnsi="Arial" w:cs="Arial"/>
                <w:color w:val="auto"/>
                <w:sz w:val="21"/>
                <w:szCs w:val="21"/>
              </w:rPr>
              <w:t xml:space="preserve"> </w:t>
            </w:r>
            <w:r w:rsidRPr="001F05D9">
              <w:rPr>
                <w:rFonts w:ascii="Arial" w:hAnsi="Arial" w:cs="Arial"/>
                <w:color w:val="auto"/>
                <w:sz w:val="21"/>
                <w:szCs w:val="21"/>
              </w:rPr>
              <w:t>.3 ± 18.0</w:t>
            </w:r>
          </w:p>
        </w:tc>
        <w:tc>
          <w:tcPr>
            <w:tcW w:w="1385" w:type="dxa"/>
            <w:shd w:val="clear" w:color="auto" w:fill="FFFFFF"/>
            <w:tcMar>
              <w:top w:w="0" w:type="dxa"/>
              <w:left w:w="108" w:type="dxa"/>
              <w:bottom w:w="0" w:type="dxa"/>
              <w:right w:w="108" w:type="dxa"/>
            </w:tcMar>
          </w:tcPr>
          <w:p w14:paraId="39765A3C"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118.6 ± 25.5</w:t>
            </w:r>
            <w:r w:rsidR="005E1321" w:rsidRPr="001F05D9">
              <w:rPr>
                <w:rFonts w:ascii="Arial" w:hAnsi="Arial" w:cs="Arial"/>
                <w:color w:val="auto"/>
                <w:sz w:val="21"/>
                <w:szCs w:val="21"/>
              </w:rPr>
              <w:t xml:space="preserve"> </w:t>
            </w:r>
          </w:p>
        </w:tc>
        <w:tc>
          <w:tcPr>
            <w:tcW w:w="1424" w:type="dxa"/>
            <w:shd w:val="clear" w:color="auto" w:fill="FFFFFF"/>
            <w:tcMar>
              <w:top w:w="0" w:type="dxa"/>
              <w:left w:w="108" w:type="dxa"/>
              <w:bottom w:w="0" w:type="dxa"/>
              <w:right w:w="108" w:type="dxa"/>
            </w:tcMar>
          </w:tcPr>
          <w:p w14:paraId="0C70782E"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124.1 ± 19.4</w:t>
            </w:r>
          </w:p>
        </w:tc>
        <w:tc>
          <w:tcPr>
            <w:tcW w:w="1418" w:type="dxa"/>
            <w:shd w:val="clear" w:color="auto" w:fill="FFFFFF"/>
            <w:tcMar>
              <w:top w:w="0" w:type="dxa"/>
              <w:left w:w="108" w:type="dxa"/>
              <w:bottom w:w="0" w:type="dxa"/>
              <w:right w:w="108" w:type="dxa"/>
            </w:tcMar>
          </w:tcPr>
          <w:p w14:paraId="51BF4205"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126.2 ± 14.6</w:t>
            </w:r>
          </w:p>
        </w:tc>
        <w:tc>
          <w:tcPr>
            <w:tcW w:w="1456" w:type="dxa"/>
            <w:shd w:val="clear" w:color="auto" w:fill="FFFFFF"/>
            <w:tcMar>
              <w:top w:w="0" w:type="dxa"/>
              <w:left w:w="108" w:type="dxa"/>
              <w:bottom w:w="0" w:type="dxa"/>
              <w:right w:w="108" w:type="dxa"/>
            </w:tcMar>
          </w:tcPr>
          <w:p w14:paraId="31549455"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110.6 ± 12.5</w:t>
            </w:r>
          </w:p>
        </w:tc>
        <w:tc>
          <w:tcPr>
            <w:tcW w:w="1413" w:type="dxa"/>
            <w:shd w:val="clear" w:color="auto" w:fill="FFFFFF"/>
            <w:tcMar>
              <w:top w:w="0" w:type="dxa"/>
              <w:left w:w="108" w:type="dxa"/>
              <w:bottom w:w="0" w:type="dxa"/>
              <w:right w:w="108" w:type="dxa"/>
            </w:tcMar>
          </w:tcPr>
          <w:p w14:paraId="14CB448B"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106.5 ± 9.8</w:t>
            </w:r>
          </w:p>
        </w:tc>
        <w:tc>
          <w:tcPr>
            <w:tcW w:w="1525" w:type="dxa"/>
            <w:shd w:val="clear" w:color="auto" w:fill="FFFFFF"/>
            <w:tcMar>
              <w:top w:w="0" w:type="dxa"/>
              <w:left w:w="108" w:type="dxa"/>
              <w:bottom w:w="0" w:type="dxa"/>
              <w:right w:w="108" w:type="dxa"/>
            </w:tcMar>
          </w:tcPr>
          <w:p w14:paraId="55113CCC"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125.4 ± 12.7</w:t>
            </w:r>
          </w:p>
        </w:tc>
        <w:tc>
          <w:tcPr>
            <w:tcW w:w="1417" w:type="dxa"/>
            <w:shd w:val="clear" w:color="auto" w:fill="FFFFFF"/>
            <w:tcMar>
              <w:top w:w="0" w:type="dxa"/>
              <w:left w:w="108" w:type="dxa"/>
              <w:bottom w:w="0" w:type="dxa"/>
              <w:right w:w="108" w:type="dxa"/>
            </w:tcMar>
          </w:tcPr>
          <w:p w14:paraId="11562FB6"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123.3 ± 16.9</w:t>
            </w:r>
          </w:p>
        </w:tc>
      </w:tr>
      <w:tr w:rsidR="005E1321" w:rsidRPr="001F05D9" w14:paraId="04F83AEA" w14:textId="77777777" w:rsidTr="005E1321">
        <w:trPr>
          <w:trHeight w:val="1411"/>
        </w:trPr>
        <w:tc>
          <w:tcPr>
            <w:tcW w:w="2274" w:type="dxa"/>
            <w:shd w:val="clear" w:color="auto" w:fill="FFFFFF"/>
            <w:tcMar>
              <w:top w:w="0" w:type="dxa"/>
              <w:left w:w="108" w:type="dxa"/>
              <w:bottom w:w="0" w:type="dxa"/>
              <w:right w:w="108" w:type="dxa"/>
            </w:tcMar>
          </w:tcPr>
          <w:p w14:paraId="34E061B2" w14:textId="77777777" w:rsidR="004A34CA" w:rsidRPr="001F05D9" w:rsidRDefault="00B5777A" w:rsidP="005E1321">
            <w:pPr>
              <w:spacing w:after="0" w:line="480" w:lineRule="auto"/>
              <w:rPr>
                <w:rFonts w:ascii="Arial" w:hAnsi="Arial" w:cs="Arial"/>
                <w:color w:val="auto"/>
                <w:sz w:val="20"/>
                <w:szCs w:val="21"/>
              </w:rPr>
            </w:pPr>
            <w:r w:rsidRPr="001F05D9">
              <w:rPr>
                <w:rFonts w:ascii="Arial" w:hAnsi="Arial" w:cs="Arial"/>
                <w:b/>
                <w:color w:val="auto"/>
                <w:sz w:val="20"/>
                <w:szCs w:val="21"/>
              </w:rPr>
              <w:t>Relative high intensity distance (m·min</w:t>
            </w:r>
            <w:r w:rsidRPr="001F05D9">
              <w:rPr>
                <w:rFonts w:ascii="Arial" w:hAnsi="Arial" w:cs="Arial"/>
                <w:b/>
                <w:color w:val="auto"/>
                <w:sz w:val="20"/>
                <w:szCs w:val="21"/>
                <w:vertAlign w:val="superscript"/>
              </w:rPr>
              <w:t>-1</w:t>
            </w:r>
            <w:r w:rsidRPr="001F05D9">
              <w:rPr>
                <w:rFonts w:ascii="Arial" w:hAnsi="Arial" w:cs="Arial"/>
                <w:b/>
                <w:color w:val="auto"/>
                <w:sz w:val="20"/>
                <w:szCs w:val="21"/>
              </w:rPr>
              <w:t>)</w:t>
            </w:r>
          </w:p>
        </w:tc>
        <w:tc>
          <w:tcPr>
            <w:tcW w:w="1386" w:type="dxa"/>
            <w:shd w:val="clear" w:color="auto" w:fill="FFFFFF"/>
            <w:tcMar>
              <w:top w:w="0" w:type="dxa"/>
              <w:left w:w="108" w:type="dxa"/>
              <w:bottom w:w="0" w:type="dxa"/>
              <w:right w:w="108" w:type="dxa"/>
            </w:tcMar>
          </w:tcPr>
          <w:p w14:paraId="1F10B50B"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29.3 ± 14.8</w:t>
            </w:r>
          </w:p>
        </w:tc>
        <w:tc>
          <w:tcPr>
            <w:tcW w:w="1470" w:type="dxa"/>
            <w:shd w:val="clear" w:color="auto" w:fill="FFFFFF"/>
            <w:tcMar>
              <w:top w:w="0" w:type="dxa"/>
              <w:left w:w="108" w:type="dxa"/>
              <w:bottom w:w="0" w:type="dxa"/>
              <w:right w:w="108" w:type="dxa"/>
            </w:tcMar>
          </w:tcPr>
          <w:p w14:paraId="5EFE367E"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29.5 ± 18.8</w:t>
            </w:r>
          </w:p>
        </w:tc>
        <w:tc>
          <w:tcPr>
            <w:tcW w:w="1385" w:type="dxa"/>
            <w:shd w:val="clear" w:color="auto" w:fill="FFFFFF"/>
            <w:tcMar>
              <w:top w:w="0" w:type="dxa"/>
              <w:left w:w="108" w:type="dxa"/>
              <w:bottom w:w="0" w:type="dxa"/>
              <w:right w:w="108" w:type="dxa"/>
            </w:tcMar>
          </w:tcPr>
          <w:p w14:paraId="597D7543"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23.1 ± 7.8</w:t>
            </w:r>
          </w:p>
        </w:tc>
        <w:tc>
          <w:tcPr>
            <w:tcW w:w="1424" w:type="dxa"/>
            <w:shd w:val="clear" w:color="auto" w:fill="FFFFFF"/>
            <w:tcMar>
              <w:top w:w="0" w:type="dxa"/>
              <w:left w:w="108" w:type="dxa"/>
              <w:bottom w:w="0" w:type="dxa"/>
              <w:right w:w="108" w:type="dxa"/>
            </w:tcMar>
          </w:tcPr>
          <w:p w14:paraId="3D085DFC"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20.6 ± 10.2</w:t>
            </w:r>
          </w:p>
        </w:tc>
        <w:tc>
          <w:tcPr>
            <w:tcW w:w="1418" w:type="dxa"/>
            <w:shd w:val="clear" w:color="auto" w:fill="FFFFFF"/>
            <w:tcMar>
              <w:top w:w="0" w:type="dxa"/>
              <w:left w:w="108" w:type="dxa"/>
              <w:bottom w:w="0" w:type="dxa"/>
              <w:right w:w="108" w:type="dxa"/>
            </w:tcMar>
          </w:tcPr>
          <w:p w14:paraId="050A73CD"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23.0 ± 9.6</w:t>
            </w:r>
          </w:p>
        </w:tc>
        <w:tc>
          <w:tcPr>
            <w:tcW w:w="1456" w:type="dxa"/>
            <w:shd w:val="clear" w:color="auto" w:fill="FFFFFF"/>
            <w:tcMar>
              <w:top w:w="0" w:type="dxa"/>
              <w:left w:w="108" w:type="dxa"/>
              <w:bottom w:w="0" w:type="dxa"/>
              <w:right w:w="108" w:type="dxa"/>
            </w:tcMar>
          </w:tcPr>
          <w:p w14:paraId="7D093E7C"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19.3 ± 6.6</w:t>
            </w:r>
          </w:p>
        </w:tc>
        <w:tc>
          <w:tcPr>
            <w:tcW w:w="1413" w:type="dxa"/>
            <w:shd w:val="clear" w:color="auto" w:fill="FFFFFF"/>
            <w:tcMar>
              <w:top w:w="0" w:type="dxa"/>
              <w:left w:w="108" w:type="dxa"/>
              <w:bottom w:w="0" w:type="dxa"/>
              <w:right w:w="108" w:type="dxa"/>
            </w:tcMar>
          </w:tcPr>
          <w:p w14:paraId="66AF1208"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18.2 ± 6.9</w:t>
            </w:r>
          </w:p>
        </w:tc>
        <w:tc>
          <w:tcPr>
            <w:tcW w:w="1525" w:type="dxa"/>
            <w:shd w:val="clear" w:color="auto" w:fill="FFFFFF"/>
            <w:tcMar>
              <w:top w:w="0" w:type="dxa"/>
              <w:left w:w="108" w:type="dxa"/>
              <w:bottom w:w="0" w:type="dxa"/>
              <w:right w:w="108" w:type="dxa"/>
            </w:tcMar>
          </w:tcPr>
          <w:p w14:paraId="6553A7D4"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23.3 ± 10.4</w:t>
            </w:r>
          </w:p>
        </w:tc>
        <w:tc>
          <w:tcPr>
            <w:tcW w:w="1417" w:type="dxa"/>
            <w:shd w:val="clear" w:color="auto" w:fill="FFFFFF"/>
            <w:tcMar>
              <w:top w:w="0" w:type="dxa"/>
              <w:left w:w="108" w:type="dxa"/>
              <w:bottom w:w="0" w:type="dxa"/>
              <w:right w:w="108" w:type="dxa"/>
            </w:tcMar>
          </w:tcPr>
          <w:p w14:paraId="555A5192"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23.0 ± 12.6</w:t>
            </w:r>
          </w:p>
        </w:tc>
      </w:tr>
      <w:tr w:rsidR="005E1321" w:rsidRPr="001F05D9" w14:paraId="41472814" w14:textId="77777777" w:rsidTr="005E1321">
        <w:trPr>
          <w:trHeight w:val="994"/>
        </w:trPr>
        <w:tc>
          <w:tcPr>
            <w:tcW w:w="2274" w:type="dxa"/>
            <w:shd w:val="clear" w:color="auto" w:fill="FFFFFF"/>
            <w:tcMar>
              <w:top w:w="0" w:type="dxa"/>
              <w:left w:w="108" w:type="dxa"/>
              <w:bottom w:w="0" w:type="dxa"/>
              <w:right w:w="108" w:type="dxa"/>
            </w:tcMar>
          </w:tcPr>
          <w:p w14:paraId="41F8D390" w14:textId="77777777" w:rsidR="004A34CA" w:rsidRPr="001F05D9" w:rsidRDefault="00B5777A" w:rsidP="005E1321">
            <w:pPr>
              <w:spacing w:after="0" w:line="480" w:lineRule="auto"/>
              <w:rPr>
                <w:rFonts w:ascii="Arial" w:hAnsi="Arial" w:cs="Arial"/>
                <w:color w:val="auto"/>
                <w:sz w:val="20"/>
                <w:szCs w:val="21"/>
              </w:rPr>
            </w:pPr>
            <w:r w:rsidRPr="001F05D9">
              <w:rPr>
                <w:rFonts w:ascii="Arial" w:hAnsi="Arial" w:cs="Arial"/>
                <w:b/>
                <w:color w:val="auto"/>
                <w:sz w:val="20"/>
                <w:szCs w:val="21"/>
              </w:rPr>
              <w:t>Peak Metabolic power (W·kg</w:t>
            </w:r>
            <w:r w:rsidRPr="001F05D9">
              <w:rPr>
                <w:rFonts w:ascii="Arial" w:hAnsi="Arial" w:cs="Arial"/>
                <w:b/>
                <w:color w:val="auto"/>
                <w:sz w:val="20"/>
                <w:szCs w:val="21"/>
                <w:vertAlign w:val="superscript"/>
              </w:rPr>
              <w:t>-1</w:t>
            </w:r>
            <w:r w:rsidRPr="001F05D9">
              <w:rPr>
                <w:rFonts w:ascii="Arial" w:hAnsi="Arial" w:cs="Arial"/>
                <w:b/>
                <w:color w:val="auto"/>
                <w:sz w:val="20"/>
                <w:szCs w:val="21"/>
              </w:rPr>
              <w:t>)</w:t>
            </w:r>
          </w:p>
        </w:tc>
        <w:tc>
          <w:tcPr>
            <w:tcW w:w="1386" w:type="dxa"/>
            <w:shd w:val="clear" w:color="auto" w:fill="FFFFFF"/>
            <w:tcMar>
              <w:top w:w="0" w:type="dxa"/>
              <w:left w:w="108" w:type="dxa"/>
              <w:bottom w:w="0" w:type="dxa"/>
              <w:right w:w="108" w:type="dxa"/>
            </w:tcMar>
          </w:tcPr>
          <w:p w14:paraId="01D909C4"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12.83 ± 5.2</w:t>
            </w:r>
          </w:p>
        </w:tc>
        <w:tc>
          <w:tcPr>
            <w:tcW w:w="1470" w:type="dxa"/>
            <w:shd w:val="clear" w:color="auto" w:fill="FFFFFF"/>
            <w:tcMar>
              <w:top w:w="0" w:type="dxa"/>
              <w:left w:w="108" w:type="dxa"/>
              <w:bottom w:w="0" w:type="dxa"/>
              <w:right w:w="108" w:type="dxa"/>
            </w:tcMar>
          </w:tcPr>
          <w:p w14:paraId="7E585E7E"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11.96 ± 2.83</w:t>
            </w:r>
          </w:p>
        </w:tc>
        <w:tc>
          <w:tcPr>
            <w:tcW w:w="1385" w:type="dxa"/>
            <w:shd w:val="clear" w:color="auto" w:fill="FFFFFF"/>
            <w:tcMar>
              <w:top w:w="0" w:type="dxa"/>
              <w:left w:w="108" w:type="dxa"/>
              <w:bottom w:w="0" w:type="dxa"/>
              <w:right w:w="108" w:type="dxa"/>
            </w:tcMar>
          </w:tcPr>
          <w:p w14:paraId="1F2E141E"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14.48 ± 2.52</w:t>
            </w:r>
          </w:p>
        </w:tc>
        <w:tc>
          <w:tcPr>
            <w:tcW w:w="1424" w:type="dxa"/>
            <w:shd w:val="clear" w:color="auto" w:fill="FFFFFF"/>
            <w:tcMar>
              <w:top w:w="0" w:type="dxa"/>
              <w:left w:w="108" w:type="dxa"/>
              <w:bottom w:w="0" w:type="dxa"/>
              <w:right w:w="108" w:type="dxa"/>
            </w:tcMar>
          </w:tcPr>
          <w:p w14:paraId="45C6958B"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11.15 ± 4.51</w:t>
            </w:r>
          </w:p>
        </w:tc>
        <w:tc>
          <w:tcPr>
            <w:tcW w:w="1418" w:type="dxa"/>
            <w:shd w:val="clear" w:color="auto" w:fill="FFFFFF"/>
            <w:tcMar>
              <w:top w:w="0" w:type="dxa"/>
              <w:left w:w="108" w:type="dxa"/>
              <w:bottom w:w="0" w:type="dxa"/>
              <w:right w:w="108" w:type="dxa"/>
            </w:tcMar>
          </w:tcPr>
          <w:p w14:paraId="6E63DCBF"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12.37 ± 3.43</w:t>
            </w:r>
          </w:p>
        </w:tc>
        <w:tc>
          <w:tcPr>
            <w:tcW w:w="1456" w:type="dxa"/>
            <w:shd w:val="clear" w:color="auto" w:fill="FFFFFF"/>
            <w:tcMar>
              <w:top w:w="0" w:type="dxa"/>
              <w:left w:w="108" w:type="dxa"/>
              <w:bottom w:w="0" w:type="dxa"/>
              <w:right w:w="108" w:type="dxa"/>
            </w:tcMar>
          </w:tcPr>
          <w:p w14:paraId="081870C5"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11.67 ± 5.24</w:t>
            </w:r>
          </w:p>
        </w:tc>
        <w:tc>
          <w:tcPr>
            <w:tcW w:w="1413" w:type="dxa"/>
            <w:shd w:val="clear" w:color="auto" w:fill="FFFFFF"/>
            <w:tcMar>
              <w:top w:w="0" w:type="dxa"/>
              <w:left w:w="108" w:type="dxa"/>
              <w:bottom w:w="0" w:type="dxa"/>
              <w:right w:w="108" w:type="dxa"/>
            </w:tcMar>
          </w:tcPr>
          <w:p w14:paraId="2CAADFE7"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11.79 ± 4.17</w:t>
            </w:r>
          </w:p>
        </w:tc>
        <w:tc>
          <w:tcPr>
            <w:tcW w:w="1525" w:type="dxa"/>
            <w:shd w:val="clear" w:color="auto" w:fill="FFFFFF"/>
            <w:tcMar>
              <w:top w:w="0" w:type="dxa"/>
              <w:left w:w="108" w:type="dxa"/>
              <w:bottom w:w="0" w:type="dxa"/>
              <w:right w:w="108" w:type="dxa"/>
            </w:tcMar>
          </w:tcPr>
          <w:p w14:paraId="325C6C72"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12.30 ± 4.01</w:t>
            </w:r>
          </w:p>
        </w:tc>
        <w:tc>
          <w:tcPr>
            <w:tcW w:w="1417" w:type="dxa"/>
            <w:shd w:val="clear" w:color="auto" w:fill="FFFFFF"/>
            <w:tcMar>
              <w:top w:w="0" w:type="dxa"/>
              <w:left w:w="108" w:type="dxa"/>
              <w:bottom w:w="0" w:type="dxa"/>
              <w:right w:w="108" w:type="dxa"/>
            </w:tcMar>
          </w:tcPr>
          <w:p w14:paraId="1EB92EDA"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12.62 ± 3.77</w:t>
            </w:r>
          </w:p>
        </w:tc>
      </w:tr>
      <w:tr w:rsidR="005E1321" w:rsidRPr="001F05D9" w14:paraId="7C4DAD29" w14:textId="77777777" w:rsidTr="005E1321">
        <w:trPr>
          <w:trHeight w:val="1117"/>
        </w:trPr>
        <w:tc>
          <w:tcPr>
            <w:tcW w:w="2274" w:type="dxa"/>
            <w:tcBorders>
              <w:bottom w:val="single" w:sz="4" w:space="0" w:color="00000A"/>
            </w:tcBorders>
            <w:shd w:val="clear" w:color="auto" w:fill="FFFFFF"/>
            <w:tcMar>
              <w:top w:w="0" w:type="dxa"/>
              <w:left w:w="108" w:type="dxa"/>
              <w:bottom w:w="0" w:type="dxa"/>
              <w:right w:w="108" w:type="dxa"/>
            </w:tcMar>
          </w:tcPr>
          <w:p w14:paraId="61D95AA9" w14:textId="77777777" w:rsidR="004A34CA" w:rsidRPr="001F05D9" w:rsidRDefault="00B5777A" w:rsidP="005E1321">
            <w:pPr>
              <w:spacing w:after="0" w:line="480" w:lineRule="auto"/>
              <w:rPr>
                <w:rFonts w:ascii="Arial" w:hAnsi="Arial" w:cs="Arial"/>
                <w:color w:val="auto"/>
                <w:sz w:val="20"/>
                <w:szCs w:val="21"/>
              </w:rPr>
            </w:pPr>
            <w:r w:rsidRPr="001F05D9">
              <w:rPr>
                <w:rFonts w:ascii="Arial" w:hAnsi="Arial" w:cs="Arial"/>
                <w:b/>
                <w:color w:val="auto"/>
                <w:sz w:val="20"/>
                <w:szCs w:val="21"/>
              </w:rPr>
              <w:t>Time spent above high metabolic power (&gt;20 W·kg</w:t>
            </w:r>
            <w:r w:rsidRPr="001F05D9">
              <w:rPr>
                <w:rFonts w:ascii="Arial" w:hAnsi="Arial" w:cs="Arial"/>
                <w:b/>
                <w:color w:val="auto"/>
                <w:sz w:val="20"/>
                <w:szCs w:val="21"/>
                <w:vertAlign w:val="superscript"/>
              </w:rPr>
              <w:t>-1</w:t>
            </w:r>
            <w:r w:rsidRPr="001F05D9">
              <w:rPr>
                <w:rFonts w:ascii="Arial" w:hAnsi="Arial" w:cs="Arial"/>
                <w:b/>
                <w:color w:val="auto"/>
                <w:sz w:val="20"/>
                <w:szCs w:val="21"/>
              </w:rPr>
              <w:t>) (min</w:t>
            </w:r>
            <w:r w:rsidRPr="001F05D9">
              <w:rPr>
                <w:rFonts w:ascii="Arial" w:hAnsi="Arial" w:cs="Arial"/>
                <w:b/>
                <w:color w:val="auto"/>
                <w:sz w:val="20"/>
                <w:szCs w:val="21"/>
                <w:vertAlign w:val="superscript"/>
              </w:rPr>
              <w:t>.</w:t>
            </w:r>
            <w:r w:rsidRPr="001F05D9">
              <w:rPr>
                <w:rFonts w:ascii="Arial" w:hAnsi="Arial" w:cs="Arial"/>
                <w:b/>
                <w:color w:val="auto"/>
                <w:sz w:val="20"/>
                <w:szCs w:val="21"/>
              </w:rPr>
              <w:t>s)</w:t>
            </w:r>
          </w:p>
        </w:tc>
        <w:tc>
          <w:tcPr>
            <w:tcW w:w="1386" w:type="dxa"/>
            <w:tcBorders>
              <w:bottom w:val="single" w:sz="4" w:space="0" w:color="00000A"/>
            </w:tcBorders>
            <w:shd w:val="clear" w:color="auto" w:fill="FFFFFF"/>
            <w:tcMar>
              <w:top w:w="0" w:type="dxa"/>
              <w:left w:w="108" w:type="dxa"/>
              <w:bottom w:w="0" w:type="dxa"/>
              <w:right w:w="108" w:type="dxa"/>
            </w:tcMar>
          </w:tcPr>
          <w:p w14:paraId="6A77E59A"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2:05 ± 0:27</w:t>
            </w:r>
          </w:p>
        </w:tc>
        <w:tc>
          <w:tcPr>
            <w:tcW w:w="1470" w:type="dxa"/>
            <w:tcBorders>
              <w:bottom w:val="single" w:sz="4" w:space="0" w:color="00000A"/>
            </w:tcBorders>
            <w:shd w:val="clear" w:color="auto" w:fill="FFFFFF"/>
            <w:tcMar>
              <w:top w:w="0" w:type="dxa"/>
              <w:left w:w="108" w:type="dxa"/>
              <w:bottom w:w="0" w:type="dxa"/>
              <w:right w:w="108" w:type="dxa"/>
            </w:tcMar>
          </w:tcPr>
          <w:p w14:paraId="14B0277B"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1:56 ± 0:24</w:t>
            </w:r>
          </w:p>
        </w:tc>
        <w:tc>
          <w:tcPr>
            <w:tcW w:w="1385" w:type="dxa"/>
            <w:tcBorders>
              <w:bottom w:val="single" w:sz="4" w:space="0" w:color="00000A"/>
            </w:tcBorders>
            <w:shd w:val="clear" w:color="auto" w:fill="FFFFFF"/>
            <w:tcMar>
              <w:top w:w="0" w:type="dxa"/>
              <w:left w:w="108" w:type="dxa"/>
              <w:bottom w:w="0" w:type="dxa"/>
              <w:right w:w="108" w:type="dxa"/>
            </w:tcMar>
          </w:tcPr>
          <w:p w14:paraId="44E747B1"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1:49 ± 0:30</w:t>
            </w:r>
          </w:p>
        </w:tc>
        <w:tc>
          <w:tcPr>
            <w:tcW w:w="1424" w:type="dxa"/>
            <w:tcBorders>
              <w:bottom w:val="single" w:sz="4" w:space="0" w:color="00000A"/>
            </w:tcBorders>
            <w:shd w:val="clear" w:color="auto" w:fill="FFFFFF"/>
            <w:tcMar>
              <w:top w:w="0" w:type="dxa"/>
              <w:left w:w="108" w:type="dxa"/>
              <w:bottom w:w="0" w:type="dxa"/>
              <w:right w:w="108" w:type="dxa"/>
            </w:tcMar>
          </w:tcPr>
          <w:p w14:paraId="77B61901"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1:33 ± 0:20</w:t>
            </w:r>
          </w:p>
        </w:tc>
        <w:tc>
          <w:tcPr>
            <w:tcW w:w="1418" w:type="dxa"/>
            <w:tcBorders>
              <w:bottom w:val="single" w:sz="4" w:space="0" w:color="00000A"/>
            </w:tcBorders>
            <w:shd w:val="clear" w:color="auto" w:fill="FFFFFF"/>
            <w:tcMar>
              <w:top w:w="0" w:type="dxa"/>
              <w:left w:w="108" w:type="dxa"/>
              <w:bottom w:w="0" w:type="dxa"/>
              <w:right w:w="108" w:type="dxa"/>
            </w:tcMar>
          </w:tcPr>
          <w:p w14:paraId="1FEA350D"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2:00 ± 0:34</w:t>
            </w:r>
          </w:p>
        </w:tc>
        <w:tc>
          <w:tcPr>
            <w:tcW w:w="1456" w:type="dxa"/>
            <w:tcBorders>
              <w:bottom w:val="single" w:sz="4" w:space="0" w:color="00000A"/>
            </w:tcBorders>
            <w:shd w:val="clear" w:color="auto" w:fill="FFFFFF"/>
            <w:tcMar>
              <w:top w:w="0" w:type="dxa"/>
              <w:left w:w="108" w:type="dxa"/>
              <w:bottom w:w="0" w:type="dxa"/>
              <w:right w:w="108" w:type="dxa"/>
            </w:tcMar>
          </w:tcPr>
          <w:p w14:paraId="7701E699"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1:48 ± 0:26</w:t>
            </w:r>
          </w:p>
        </w:tc>
        <w:tc>
          <w:tcPr>
            <w:tcW w:w="1413" w:type="dxa"/>
            <w:tcBorders>
              <w:bottom w:val="single" w:sz="4" w:space="0" w:color="00000A"/>
            </w:tcBorders>
            <w:shd w:val="clear" w:color="auto" w:fill="FFFFFF"/>
            <w:tcMar>
              <w:top w:w="0" w:type="dxa"/>
              <w:left w:w="108" w:type="dxa"/>
              <w:bottom w:w="0" w:type="dxa"/>
              <w:right w:w="108" w:type="dxa"/>
            </w:tcMar>
          </w:tcPr>
          <w:p w14:paraId="1EF8623C"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1:45 ± 0:21</w:t>
            </w:r>
          </w:p>
        </w:tc>
        <w:tc>
          <w:tcPr>
            <w:tcW w:w="1525" w:type="dxa"/>
            <w:tcBorders>
              <w:bottom w:val="single" w:sz="4" w:space="0" w:color="00000A"/>
            </w:tcBorders>
            <w:shd w:val="clear" w:color="auto" w:fill="FFFFFF"/>
            <w:tcMar>
              <w:top w:w="0" w:type="dxa"/>
              <w:left w:w="108" w:type="dxa"/>
              <w:bottom w:w="0" w:type="dxa"/>
              <w:right w:w="108" w:type="dxa"/>
            </w:tcMar>
          </w:tcPr>
          <w:p w14:paraId="39DD6BF1"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2.03 ± 0.27</w:t>
            </w:r>
          </w:p>
        </w:tc>
        <w:tc>
          <w:tcPr>
            <w:tcW w:w="1417" w:type="dxa"/>
            <w:tcBorders>
              <w:bottom w:val="single" w:sz="4" w:space="0" w:color="00000A"/>
            </w:tcBorders>
            <w:shd w:val="clear" w:color="auto" w:fill="FFFFFF"/>
            <w:tcMar>
              <w:top w:w="0" w:type="dxa"/>
              <w:left w:w="108" w:type="dxa"/>
              <w:bottom w:w="0" w:type="dxa"/>
              <w:right w:w="108" w:type="dxa"/>
            </w:tcMar>
          </w:tcPr>
          <w:p w14:paraId="7E82D5B6" w14:textId="77777777" w:rsidR="004A34CA" w:rsidRPr="001F05D9" w:rsidRDefault="00B5777A" w:rsidP="005E1321">
            <w:pPr>
              <w:spacing w:after="0" w:line="480" w:lineRule="auto"/>
              <w:rPr>
                <w:rFonts w:ascii="Arial" w:hAnsi="Arial" w:cs="Arial"/>
                <w:color w:val="auto"/>
                <w:sz w:val="21"/>
                <w:szCs w:val="21"/>
              </w:rPr>
            </w:pPr>
            <w:r w:rsidRPr="001F05D9">
              <w:rPr>
                <w:rFonts w:ascii="Arial" w:hAnsi="Arial" w:cs="Arial"/>
                <w:color w:val="auto"/>
                <w:sz w:val="21"/>
                <w:szCs w:val="21"/>
              </w:rPr>
              <w:t>2.01 ± 0.32</w:t>
            </w:r>
          </w:p>
        </w:tc>
      </w:tr>
    </w:tbl>
    <w:p w14:paraId="4AF8FC73" w14:textId="77777777" w:rsidR="004A34CA" w:rsidRPr="001F05D9" w:rsidRDefault="004A34CA">
      <w:pPr>
        <w:widowControl w:val="0"/>
        <w:spacing w:after="240" w:line="480" w:lineRule="auto"/>
        <w:rPr>
          <w:color w:val="auto"/>
        </w:rPr>
      </w:pPr>
    </w:p>
    <w:p w14:paraId="4CF999AC" w14:textId="77777777" w:rsidR="004A34CA" w:rsidRPr="001F05D9" w:rsidRDefault="00B5777A">
      <w:pPr>
        <w:widowControl w:val="0"/>
        <w:spacing w:after="240" w:line="480" w:lineRule="auto"/>
        <w:rPr>
          <w:color w:val="auto"/>
        </w:rPr>
      </w:pPr>
      <w:r w:rsidRPr="001F05D9">
        <w:rPr>
          <w:rFonts w:ascii="Arial" w:eastAsia="Times New Roman" w:hAnsi="Arial" w:cs="Arial"/>
          <w:b/>
          <w:color w:val="auto"/>
          <w:shd w:val="clear" w:color="auto" w:fill="FFFFFF"/>
        </w:rPr>
        <w:lastRenderedPageBreak/>
        <w:t>Table 3.</w:t>
      </w:r>
      <w:r w:rsidRPr="001F05D9">
        <w:rPr>
          <w:rFonts w:ascii="Arial" w:hAnsi="Arial" w:cs="Arial"/>
          <w:b/>
          <w:color w:val="auto"/>
        </w:rPr>
        <w:t xml:space="preserve"> </w:t>
      </w:r>
      <w:r w:rsidRPr="001F05D9">
        <w:rPr>
          <w:rFonts w:ascii="Arial" w:hAnsi="Arial" w:cs="Arial"/>
          <w:color w:val="auto"/>
        </w:rPr>
        <w:t>Mean daily macronutrient intakes (± SD) (</w:t>
      </w:r>
      <w:r w:rsidRPr="001F05D9">
        <w:rPr>
          <w:rFonts w:ascii="Arial" w:hAnsi="Arial" w:cs="Arial"/>
          <w:i/>
          <w:color w:val="auto"/>
        </w:rPr>
        <w:t>n</w:t>
      </w:r>
      <w:r w:rsidRPr="001F05D9">
        <w:rPr>
          <w:rFonts w:ascii="Arial" w:hAnsi="Arial" w:cs="Arial"/>
          <w:color w:val="auto"/>
        </w:rPr>
        <w:t xml:space="preserve"> = 15) compared to current sports nutrition recommendations (Thomas et al., 2016 and Phillips &amp; Van Loon, 2011).</w:t>
      </w:r>
    </w:p>
    <w:tbl>
      <w:tblPr>
        <w:tblW w:w="0" w:type="auto"/>
        <w:tblInd w:w="-216" w:type="dxa"/>
        <w:tblBorders>
          <w:top w:val="single" w:sz="4" w:space="0" w:color="00000A"/>
          <w:bottom w:val="single" w:sz="4" w:space="0" w:color="00000A"/>
        </w:tblBorders>
        <w:tblCellMar>
          <w:left w:w="10" w:type="dxa"/>
          <w:right w:w="10" w:type="dxa"/>
        </w:tblCellMar>
        <w:tblLook w:val="0000" w:firstRow="0" w:lastRow="0" w:firstColumn="0" w:lastColumn="0" w:noHBand="0" w:noVBand="0"/>
      </w:tblPr>
      <w:tblGrid>
        <w:gridCol w:w="3459"/>
        <w:gridCol w:w="1527"/>
        <w:gridCol w:w="1462"/>
        <w:gridCol w:w="1529"/>
        <w:gridCol w:w="2414"/>
      </w:tblGrid>
      <w:tr w:rsidR="004A34CA" w:rsidRPr="001F05D9" w14:paraId="6C02A04D" w14:textId="77777777">
        <w:tc>
          <w:tcPr>
            <w:tcW w:w="3459" w:type="dxa"/>
            <w:tcBorders>
              <w:top w:val="single" w:sz="4" w:space="0" w:color="00000A"/>
              <w:bottom w:val="single" w:sz="4" w:space="0" w:color="00000A"/>
            </w:tcBorders>
            <w:shd w:val="clear" w:color="auto" w:fill="FFFFFF"/>
            <w:tcMar>
              <w:top w:w="0" w:type="dxa"/>
              <w:left w:w="108" w:type="dxa"/>
              <w:bottom w:w="0" w:type="dxa"/>
              <w:right w:w="108" w:type="dxa"/>
            </w:tcMar>
          </w:tcPr>
          <w:p w14:paraId="1E8949C8" w14:textId="77777777" w:rsidR="004A34CA" w:rsidRPr="001F05D9" w:rsidRDefault="004A34CA">
            <w:pPr>
              <w:spacing w:line="480" w:lineRule="auto"/>
              <w:jc w:val="both"/>
              <w:rPr>
                <w:color w:val="auto"/>
              </w:rPr>
            </w:pPr>
          </w:p>
        </w:tc>
        <w:tc>
          <w:tcPr>
            <w:tcW w:w="1527" w:type="dxa"/>
            <w:tcBorders>
              <w:top w:val="single" w:sz="4" w:space="0" w:color="00000A"/>
              <w:bottom w:val="single" w:sz="4" w:space="0" w:color="00000A"/>
            </w:tcBorders>
            <w:shd w:val="clear" w:color="auto" w:fill="FFFFFF"/>
            <w:tcMar>
              <w:top w:w="0" w:type="dxa"/>
              <w:left w:w="108" w:type="dxa"/>
              <w:bottom w:w="0" w:type="dxa"/>
              <w:right w:w="108" w:type="dxa"/>
            </w:tcMar>
          </w:tcPr>
          <w:p w14:paraId="13E03F85"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Day 1</w:t>
            </w:r>
          </w:p>
        </w:tc>
        <w:tc>
          <w:tcPr>
            <w:tcW w:w="1462" w:type="dxa"/>
            <w:tcBorders>
              <w:top w:val="single" w:sz="4" w:space="0" w:color="00000A"/>
              <w:bottom w:val="single" w:sz="4" w:space="0" w:color="00000A"/>
            </w:tcBorders>
            <w:shd w:val="clear" w:color="auto" w:fill="FFFFFF"/>
            <w:tcMar>
              <w:top w:w="0" w:type="dxa"/>
              <w:left w:w="108" w:type="dxa"/>
              <w:bottom w:w="0" w:type="dxa"/>
              <w:right w:w="108" w:type="dxa"/>
            </w:tcMar>
          </w:tcPr>
          <w:p w14:paraId="1CF19E32"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Day 2</w:t>
            </w:r>
          </w:p>
        </w:tc>
        <w:tc>
          <w:tcPr>
            <w:tcW w:w="1529" w:type="dxa"/>
            <w:tcBorders>
              <w:top w:val="single" w:sz="4" w:space="0" w:color="00000A"/>
              <w:bottom w:val="single" w:sz="4" w:space="0" w:color="00000A"/>
            </w:tcBorders>
            <w:shd w:val="clear" w:color="auto" w:fill="FFFFFF"/>
            <w:tcMar>
              <w:top w:w="0" w:type="dxa"/>
              <w:left w:w="108" w:type="dxa"/>
              <w:bottom w:w="0" w:type="dxa"/>
              <w:right w:w="108" w:type="dxa"/>
            </w:tcMar>
          </w:tcPr>
          <w:p w14:paraId="7C4EA593"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Day 3</w:t>
            </w:r>
          </w:p>
        </w:tc>
        <w:tc>
          <w:tcPr>
            <w:tcW w:w="2414" w:type="dxa"/>
            <w:tcBorders>
              <w:top w:val="single" w:sz="4" w:space="0" w:color="00000A"/>
              <w:bottom w:val="single" w:sz="4" w:space="0" w:color="00000A"/>
            </w:tcBorders>
            <w:shd w:val="clear" w:color="auto" w:fill="FFFFFF"/>
            <w:tcMar>
              <w:top w:w="0" w:type="dxa"/>
              <w:left w:w="108" w:type="dxa"/>
              <w:bottom w:w="0" w:type="dxa"/>
              <w:right w:w="108" w:type="dxa"/>
            </w:tcMar>
          </w:tcPr>
          <w:p w14:paraId="7032E831" w14:textId="77777777" w:rsidR="004A34CA" w:rsidRPr="001F05D9" w:rsidRDefault="00B5777A">
            <w:pPr>
              <w:spacing w:line="480" w:lineRule="auto"/>
              <w:jc w:val="both"/>
              <w:rPr>
                <w:color w:val="auto"/>
              </w:rPr>
            </w:pPr>
            <w:r w:rsidRPr="001F05D9">
              <w:rPr>
                <w:rFonts w:ascii="Arial" w:eastAsia="Times New Roman" w:hAnsi="Arial" w:cs="Arial"/>
                <w:b/>
                <w:color w:val="auto"/>
                <w:shd w:val="clear" w:color="auto" w:fill="FFFFFF"/>
              </w:rPr>
              <w:t>Recommendation</w:t>
            </w:r>
          </w:p>
        </w:tc>
      </w:tr>
      <w:tr w:rsidR="004A34CA" w:rsidRPr="001F05D9" w14:paraId="01F4933E" w14:textId="77777777">
        <w:tc>
          <w:tcPr>
            <w:tcW w:w="3459" w:type="dxa"/>
            <w:tcBorders>
              <w:top w:val="single" w:sz="4" w:space="0" w:color="00000A"/>
            </w:tcBorders>
            <w:shd w:val="clear" w:color="auto" w:fill="FFFFFF"/>
            <w:tcMar>
              <w:top w:w="0" w:type="dxa"/>
              <w:left w:w="108" w:type="dxa"/>
              <w:bottom w:w="0" w:type="dxa"/>
              <w:right w:w="108" w:type="dxa"/>
            </w:tcMar>
          </w:tcPr>
          <w:p w14:paraId="3BCC9798" w14:textId="77777777" w:rsidR="004A34CA" w:rsidRPr="001F05D9" w:rsidRDefault="00B5777A">
            <w:pPr>
              <w:spacing w:line="480" w:lineRule="auto"/>
              <w:jc w:val="both"/>
              <w:rPr>
                <w:color w:val="auto"/>
              </w:rPr>
            </w:pPr>
            <w:r w:rsidRPr="001F05D9">
              <w:rPr>
                <w:rFonts w:ascii="Arial" w:hAnsi="Arial" w:cs="Arial"/>
                <w:b/>
                <w:color w:val="auto"/>
              </w:rPr>
              <w:t>CHO (g</w:t>
            </w:r>
            <w:r w:rsidRPr="001F05D9">
              <w:rPr>
                <w:rFonts w:ascii="Arial" w:eastAsia="Calibri" w:hAnsi="Arial" w:cs="Arial"/>
                <w:b/>
                <w:color w:val="auto"/>
                <w:vertAlign w:val="superscript"/>
              </w:rPr>
              <w:t>.</w:t>
            </w:r>
            <w:r w:rsidRPr="001F05D9">
              <w:rPr>
                <w:rFonts w:ascii="Arial" w:eastAsia="Calibri" w:hAnsi="Arial" w:cs="Arial"/>
                <w:b/>
                <w:color w:val="auto"/>
              </w:rPr>
              <w:t>kg</w:t>
            </w:r>
            <w:r w:rsidRPr="001F05D9">
              <w:rPr>
                <w:rFonts w:ascii="Arial" w:eastAsia="Calibri" w:hAnsi="Arial" w:cs="Arial"/>
                <w:b/>
                <w:color w:val="auto"/>
                <w:vertAlign w:val="superscript"/>
              </w:rPr>
              <w:t>-1</w:t>
            </w:r>
            <w:r w:rsidRPr="001F05D9">
              <w:rPr>
                <w:rFonts w:ascii="Arial" w:hAnsi="Arial" w:cs="Arial"/>
                <w:color w:val="auto"/>
                <w:vertAlign w:val="superscript"/>
                <w:lang w:val="en-US"/>
              </w:rPr>
              <w:t xml:space="preserve"> </w:t>
            </w:r>
            <w:r w:rsidRPr="001F05D9">
              <w:rPr>
                <w:rFonts w:ascii="Arial" w:hAnsi="Arial" w:cs="Arial"/>
                <w:color w:val="auto"/>
                <w:lang w:val="en-US"/>
              </w:rPr>
              <w:t>BM</w:t>
            </w:r>
            <w:r w:rsidRPr="001F05D9">
              <w:rPr>
                <w:rFonts w:ascii="Arial" w:hAnsi="Arial" w:cs="Arial"/>
                <w:b/>
                <w:color w:val="auto"/>
              </w:rPr>
              <w:t>)</w:t>
            </w:r>
          </w:p>
        </w:tc>
        <w:tc>
          <w:tcPr>
            <w:tcW w:w="1527" w:type="dxa"/>
            <w:tcBorders>
              <w:top w:val="single" w:sz="4" w:space="0" w:color="00000A"/>
            </w:tcBorders>
            <w:shd w:val="clear" w:color="auto" w:fill="FFFFFF"/>
            <w:tcMar>
              <w:top w:w="0" w:type="dxa"/>
              <w:left w:w="108" w:type="dxa"/>
              <w:bottom w:w="0" w:type="dxa"/>
              <w:right w:w="108" w:type="dxa"/>
            </w:tcMar>
          </w:tcPr>
          <w:p w14:paraId="32E0722B"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4.5 </w:t>
            </w:r>
            <w:r w:rsidRPr="001F05D9">
              <w:rPr>
                <w:rFonts w:ascii="Arial" w:hAnsi="Arial" w:cs="Arial"/>
                <w:color w:val="auto"/>
              </w:rPr>
              <w:t>± 1.0</w:t>
            </w:r>
          </w:p>
        </w:tc>
        <w:tc>
          <w:tcPr>
            <w:tcW w:w="1462" w:type="dxa"/>
            <w:tcBorders>
              <w:top w:val="single" w:sz="4" w:space="0" w:color="00000A"/>
            </w:tcBorders>
            <w:shd w:val="clear" w:color="auto" w:fill="FFFFFF"/>
            <w:tcMar>
              <w:top w:w="0" w:type="dxa"/>
              <w:left w:w="108" w:type="dxa"/>
              <w:bottom w:w="0" w:type="dxa"/>
              <w:right w:w="108" w:type="dxa"/>
            </w:tcMar>
          </w:tcPr>
          <w:p w14:paraId="6788AE31"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4.1 </w:t>
            </w:r>
            <w:r w:rsidRPr="001F05D9">
              <w:rPr>
                <w:rFonts w:ascii="Arial" w:hAnsi="Arial" w:cs="Arial"/>
                <w:color w:val="auto"/>
              </w:rPr>
              <w:t>± 1.0*</w:t>
            </w:r>
          </w:p>
        </w:tc>
        <w:tc>
          <w:tcPr>
            <w:tcW w:w="1529" w:type="dxa"/>
            <w:tcBorders>
              <w:top w:val="single" w:sz="4" w:space="0" w:color="00000A"/>
            </w:tcBorders>
            <w:shd w:val="clear" w:color="auto" w:fill="FFFFFF"/>
            <w:tcMar>
              <w:top w:w="0" w:type="dxa"/>
              <w:left w:w="108" w:type="dxa"/>
              <w:bottom w:w="0" w:type="dxa"/>
              <w:right w:w="108" w:type="dxa"/>
            </w:tcMar>
          </w:tcPr>
          <w:p w14:paraId="018F6E16"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4.7 </w:t>
            </w:r>
            <w:r w:rsidRPr="001F05D9">
              <w:rPr>
                <w:rFonts w:ascii="Arial" w:hAnsi="Arial" w:cs="Arial"/>
                <w:color w:val="auto"/>
              </w:rPr>
              <w:t>± 1.0</w:t>
            </w:r>
          </w:p>
        </w:tc>
        <w:tc>
          <w:tcPr>
            <w:tcW w:w="2414" w:type="dxa"/>
            <w:tcBorders>
              <w:top w:val="single" w:sz="4" w:space="0" w:color="00000A"/>
            </w:tcBorders>
            <w:shd w:val="clear" w:color="auto" w:fill="FFFFFF"/>
            <w:tcMar>
              <w:top w:w="0" w:type="dxa"/>
              <w:left w:w="108" w:type="dxa"/>
              <w:bottom w:w="0" w:type="dxa"/>
              <w:right w:w="108" w:type="dxa"/>
            </w:tcMar>
          </w:tcPr>
          <w:p w14:paraId="767F0520"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6-10</w:t>
            </w:r>
          </w:p>
        </w:tc>
      </w:tr>
      <w:tr w:rsidR="004A34CA" w:rsidRPr="001F05D9" w14:paraId="22E209B6" w14:textId="77777777">
        <w:tc>
          <w:tcPr>
            <w:tcW w:w="3459" w:type="dxa"/>
            <w:shd w:val="clear" w:color="auto" w:fill="FFFFFF"/>
            <w:tcMar>
              <w:top w:w="0" w:type="dxa"/>
              <w:left w:w="108" w:type="dxa"/>
              <w:bottom w:w="0" w:type="dxa"/>
              <w:right w:w="108" w:type="dxa"/>
            </w:tcMar>
          </w:tcPr>
          <w:p w14:paraId="1EC15EDB" w14:textId="77777777" w:rsidR="004A34CA" w:rsidRPr="001F05D9" w:rsidRDefault="00B5777A">
            <w:pPr>
              <w:spacing w:line="480" w:lineRule="auto"/>
              <w:jc w:val="both"/>
              <w:rPr>
                <w:color w:val="auto"/>
              </w:rPr>
            </w:pPr>
            <w:r w:rsidRPr="001F05D9">
              <w:rPr>
                <w:rFonts w:ascii="Arial" w:hAnsi="Arial" w:cs="Arial"/>
                <w:b/>
                <w:color w:val="auto"/>
              </w:rPr>
              <w:t>Protein (g</w:t>
            </w:r>
            <w:r w:rsidRPr="001F05D9">
              <w:rPr>
                <w:rFonts w:ascii="Arial" w:eastAsia="Calibri" w:hAnsi="Arial" w:cs="Arial"/>
                <w:b/>
                <w:color w:val="auto"/>
                <w:vertAlign w:val="superscript"/>
              </w:rPr>
              <w:t>.</w:t>
            </w:r>
            <w:r w:rsidRPr="001F05D9">
              <w:rPr>
                <w:rFonts w:ascii="Arial" w:eastAsia="Calibri" w:hAnsi="Arial" w:cs="Arial"/>
                <w:b/>
                <w:color w:val="auto"/>
              </w:rPr>
              <w:t>kg</w:t>
            </w:r>
            <w:r w:rsidRPr="001F05D9">
              <w:rPr>
                <w:rFonts w:ascii="Arial" w:eastAsia="Calibri" w:hAnsi="Arial" w:cs="Arial"/>
                <w:b/>
                <w:color w:val="auto"/>
                <w:vertAlign w:val="superscript"/>
              </w:rPr>
              <w:t xml:space="preserve">-1 </w:t>
            </w:r>
            <w:r w:rsidRPr="001F05D9">
              <w:rPr>
                <w:rFonts w:ascii="Arial" w:hAnsi="Arial" w:cs="Arial"/>
                <w:color w:val="auto"/>
                <w:lang w:val="en-US"/>
              </w:rPr>
              <w:t>BM</w:t>
            </w:r>
            <w:r w:rsidRPr="001F05D9">
              <w:rPr>
                <w:rFonts w:ascii="Arial" w:hAnsi="Arial" w:cs="Arial"/>
                <w:b/>
                <w:color w:val="auto"/>
              </w:rPr>
              <w:t>)</w:t>
            </w:r>
          </w:p>
        </w:tc>
        <w:tc>
          <w:tcPr>
            <w:tcW w:w="1527" w:type="dxa"/>
            <w:shd w:val="clear" w:color="auto" w:fill="FFFFFF"/>
            <w:tcMar>
              <w:top w:w="0" w:type="dxa"/>
              <w:left w:w="108" w:type="dxa"/>
              <w:bottom w:w="0" w:type="dxa"/>
              <w:right w:w="108" w:type="dxa"/>
            </w:tcMar>
          </w:tcPr>
          <w:p w14:paraId="7B60CD47"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1.9 </w:t>
            </w:r>
            <w:r w:rsidRPr="001F05D9">
              <w:rPr>
                <w:rFonts w:ascii="Arial" w:hAnsi="Arial" w:cs="Arial"/>
                <w:color w:val="auto"/>
              </w:rPr>
              <w:t>± 0.8</w:t>
            </w:r>
          </w:p>
        </w:tc>
        <w:tc>
          <w:tcPr>
            <w:tcW w:w="1462" w:type="dxa"/>
            <w:shd w:val="clear" w:color="auto" w:fill="FFFFFF"/>
            <w:tcMar>
              <w:top w:w="0" w:type="dxa"/>
              <w:left w:w="108" w:type="dxa"/>
              <w:bottom w:w="0" w:type="dxa"/>
              <w:right w:w="108" w:type="dxa"/>
            </w:tcMar>
          </w:tcPr>
          <w:p w14:paraId="4BB005D8"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2.2 </w:t>
            </w:r>
            <w:r w:rsidRPr="001F05D9">
              <w:rPr>
                <w:rFonts w:ascii="Arial" w:hAnsi="Arial" w:cs="Arial"/>
                <w:color w:val="auto"/>
              </w:rPr>
              <w:t>± 0.8</w:t>
            </w:r>
          </w:p>
        </w:tc>
        <w:tc>
          <w:tcPr>
            <w:tcW w:w="1529" w:type="dxa"/>
            <w:shd w:val="clear" w:color="auto" w:fill="FFFFFF"/>
            <w:tcMar>
              <w:top w:w="0" w:type="dxa"/>
              <w:left w:w="108" w:type="dxa"/>
              <w:bottom w:w="0" w:type="dxa"/>
              <w:right w:w="108" w:type="dxa"/>
            </w:tcMar>
          </w:tcPr>
          <w:p w14:paraId="3ADCFC6C"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2.0 </w:t>
            </w:r>
            <w:r w:rsidRPr="001F05D9">
              <w:rPr>
                <w:rFonts w:ascii="Arial" w:hAnsi="Arial" w:cs="Arial"/>
                <w:color w:val="auto"/>
              </w:rPr>
              <w:t>± 0.7</w:t>
            </w:r>
          </w:p>
        </w:tc>
        <w:tc>
          <w:tcPr>
            <w:tcW w:w="2414" w:type="dxa"/>
            <w:shd w:val="clear" w:color="auto" w:fill="FFFFFF"/>
            <w:tcMar>
              <w:top w:w="0" w:type="dxa"/>
              <w:left w:w="108" w:type="dxa"/>
              <w:bottom w:w="0" w:type="dxa"/>
              <w:right w:w="108" w:type="dxa"/>
            </w:tcMar>
          </w:tcPr>
          <w:p w14:paraId="4ACC839D"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1.2-2.0</w:t>
            </w:r>
          </w:p>
        </w:tc>
      </w:tr>
      <w:tr w:rsidR="004A34CA" w:rsidRPr="001F05D9" w14:paraId="61F7C1C0" w14:textId="77777777">
        <w:tc>
          <w:tcPr>
            <w:tcW w:w="3459" w:type="dxa"/>
            <w:shd w:val="clear" w:color="auto" w:fill="FFFFFF"/>
            <w:tcMar>
              <w:top w:w="0" w:type="dxa"/>
              <w:left w:w="108" w:type="dxa"/>
              <w:bottom w:w="0" w:type="dxa"/>
              <w:right w:w="108" w:type="dxa"/>
            </w:tcMar>
          </w:tcPr>
          <w:p w14:paraId="549B3F44" w14:textId="77777777" w:rsidR="004A34CA" w:rsidRPr="001F05D9" w:rsidRDefault="00B5777A">
            <w:pPr>
              <w:spacing w:line="480" w:lineRule="auto"/>
              <w:jc w:val="both"/>
              <w:rPr>
                <w:color w:val="auto"/>
              </w:rPr>
            </w:pPr>
            <w:r w:rsidRPr="001F05D9">
              <w:rPr>
                <w:rFonts w:ascii="Arial" w:hAnsi="Arial" w:cs="Arial"/>
                <w:b/>
                <w:color w:val="auto"/>
              </w:rPr>
              <w:t>Fat (% total Kcal)</w:t>
            </w:r>
          </w:p>
        </w:tc>
        <w:tc>
          <w:tcPr>
            <w:tcW w:w="1527" w:type="dxa"/>
            <w:shd w:val="clear" w:color="auto" w:fill="FFFFFF"/>
            <w:tcMar>
              <w:top w:w="0" w:type="dxa"/>
              <w:left w:w="108" w:type="dxa"/>
              <w:bottom w:w="0" w:type="dxa"/>
              <w:right w:w="108" w:type="dxa"/>
            </w:tcMar>
          </w:tcPr>
          <w:p w14:paraId="62D6FDBA"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35.6 </w:t>
            </w:r>
            <w:r w:rsidRPr="001F05D9">
              <w:rPr>
                <w:rFonts w:ascii="Arial" w:hAnsi="Arial" w:cs="Arial"/>
                <w:color w:val="auto"/>
              </w:rPr>
              <w:t>± 6.8</w:t>
            </w:r>
          </w:p>
        </w:tc>
        <w:tc>
          <w:tcPr>
            <w:tcW w:w="1462" w:type="dxa"/>
            <w:shd w:val="clear" w:color="auto" w:fill="FFFFFF"/>
            <w:tcMar>
              <w:top w:w="0" w:type="dxa"/>
              <w:left w:w="108" w:type="dxa"/>
              <w:bottom w:w="0" w:type="dxa"/>
              <w:right w:w="108" w:type="dxa"/>
            </w:tcMar>
          </w:tcPr>
          <w:p w14:paraId="6CD0A33B"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38.5 </w:t>
            </w:r>
            <w:r w:rsidRPr="001F05D9">
              <w:rPr>
                <w:rFonts w:ascii="Arial" w:hAnsi="Arial" w:cs="Arial"/>
                <w:color w:val="auto"/>
              </w:rPr>
              <w:t>± 6.4</w:t>
            </w:r>
          </w:p>
        </w:tc>
        <w:tc>
          <w:tcPr>
            <w:tcW w:w="1529" w:type="dxa"/>
            <w:shd w:val="clear" w:color="auto" w:fill="FFFFFF"/>
            <w:tcMar>
              <w:top w:w="0" w:type="dxa"/>
              <w:left w:w="108" w:type="dxa"/>
              <w:bottom w:w="0" w:type="dxa"/>
              <w:right w:w="108" w:type="dxa"/>
            </w:tcMar>
          </w:tcPr>
          <w:p w14:paraId="1B130665"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35.9 </w:t>
            </w:r>
            <w:r w:rsidRPr="001F05D9">
              <w:rPr>
                <w:rFonts w:ascii="Arial" w:hAnsi="Arial" w:cs="Arial"/>
                <w:color w:val="auto"/>
              </w:rPr>
              <w:t>± 5.4</w:t>
            </w:r>
          </w:p>
        </w:tc>
        <w:tc>
          <w:tcPr>
            <w:tcW w:w="2414" w:type="dxa"/>
            <w:shd w:val="clear" w:color="auto" w:fill="FFFFFF"/>
            <w:tcMar>
              <w:top w:w="0" w:type="dxa"/>
              <w:left w:w="108" w:type="dxa"/>
              <w:bottom w:w="0" w:type="dxa"/>
              <w:right w:w="108" w:type="dxa"/>
            </w:tcMar>
          </w:tcPr>
          <w:p w14:paraId="43E92330"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20-35</w:t>
            </w:r>
          </w:p>
        </w:tc>
      </w:tr>
      <w:tr w:rsidR="004A34CA" w:rsidRPr="001F05D9" w14:paraId="250F7A65" w14:textId="77777777">
        <w:tc>
          <w:tcPr>
            <w:tcW w:w="3459" w:type="dxa"/>
            <w:tcBorders>
              <w:bottom w:val="single" w:sz="4" w:space="0" w:color="00000A"/>
            </w:tcBorders>
            <w:shd w:val="clear" w:color="auto" w:fill="FFFFFF"/>
            <w:tcMar>
              <w:top w:w="0" w:type="dxa"/>
              <w:left w:w="108" w:type="dxa"/>
              <w:bottom w:w="0" w:type="dxa"/>
              <w:right w:w="108" w:type="dxa"/>
            </w:tcMar>
          </w:tcPr>
          <w:p w14:paraId="78D0D05E" w14:textId="77777777" w:rsidR="004A34CA" w:rsidRPr="001F05D9" w:rsidRDefault="00B5777A">
            <w:pPr>
              <w:spacing w:line="480" w:lineRule="auto"/>
              <w:jc w:val="both"/>
              <w:rPr>
                <w:color w:val="auto"/>
              </w:rPr>
            </w:pPr>
            <w:r w:rsidRPr="001F05D9">
              <w:rPr>
                <w:rFonts w:ascii="Arial" w:hAnsi="Arial" w:cs="Arial"/>
                <w:b/>
                <w:color w:val="auto"/>
              </w:rPr>
              <w:t>Saturated fat (% total Kcal)</w:t>
            </w:r>
          </w:p>
        </w:tc>
        <w:tc>
          <w:tcPr>
            <w:tcW w:w="1527" w:type="dxa"/>
            <w:tcBorders>
              <w:bottom w:val="single" w:sz="4" w:space="0" w:color="00000A"/>
            </w:tcBorders>
            <w:shd w:val="clear" w:color="auto" w:fill="FFFFFF"/>
            <w:tcMar>
              <w:top w:w="0" w:type="dxa"/>
              <w:left w:w="108" w:type="dxa"/>
              <w:bottom w:w="0" w:type="dxa"/>
              <w:right w:w="108" w:type="dxa"/>
            </w:tcMar>
          </w:tcPr>
          <w:p w14:paraId="7DD69C62"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12.4 </w:t>
            </w:r>
            <w:r w:rsidRPr="001F05D9">
              <w:rPr>
                <w:rFonts w:ascii="Arial" w:hAnsi="Arial" w:cs="Arial"/>
                <w:color w:val="auto"/>
              </w:rPr>
              <w:t>± 2.9*</w:t>
            </w:r>
            <w:r w:rsidRPr="001F05D9">
              <w:rPr>
                <w:rFonts w:ascii="Arial" w:eastAsia="Times New Roman" w:hAnsi="Arial" w:cs="Arial"/>
                <w:color w:val="auto"/>
                <w:shd w:val="clear" w:color="auto" w:fill="FFFFFF"/>
              </w:rPr>
              <w:t xml:space="preserve"> </w:t>
            </w:r>
          </w:p>
        </w:tc>
        <w:tc>
          <w:tcPr>
            <w:tcW w:w="1462" w:type="dxa"/>
            <w:tcBorders>
              <w:bottom w:val="single" w:sz="4" w:space="0" w:color="00000A"/>
            </w:tcBorders>
            <w:shd w:val="clear" w:color="auto" w:fill="FFFFFF"/>
            <w:tcMar>
              <w:top w:w="0" w:type="dxa"/>
              <w:left w:w="108" w:type="dxa"/>
              <w:bottom w:w="0" w:type="dxa"/>
              <w:right w:w="108" w:type="dxa"/>
            </w:tcMar>
          </w:tcPr>
          <w:p w14:paraId="2D3A4DB8"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14.2 </w:t>
            </w:r>
            <w:r w:rsidRPr="001F05D9">
              <w:rPr>
                <w:rFonts w:ascii="Arial" w:hAnsi="Arial" w:cs="Arial"/>
                <w:color w:val="auto"/>
              </w:rPr>
              <w:t>± 5.1*</w:t>
            </w:r>
          </w:p>
        </w:tc>
        <w:tc>
          <w:tcPr>
            <w:tcW w:w="1529" w:type="dxa"/>
            <w:tcBorders>
              <w:bottom w:val="single" w:sz="4" w:space="0" w:color="00000A"/>
            </w:tcBorders>
            <w:shd w:val="clear" w:color="auto" w:fill="FFFFFF"/>
            <w:tcMar>
              <w:top w:w="0" w:type="dxa"/>
              <w:left w:w="108" w:type="dxa"/>
              <w:bottom w:w="0" w:type="dxa"/>
              <w:right w:w="108" w:type="dxa"/>
            </w:tcMar>
          </w:tcPr>
          <w:p w14:paraId="30C457E6"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 xml:space="preserve">12.7 </w:t>
            </w:r>
            <w:r w:rsidRPr="001F05D9">
              <w:rPr>
                <w:rFonts w:ascii="Arial" w:hAnsi="Arial" w:cs="Arial"/>
                <w:color w:val="auto"/>
              </w:rPr>
              <w:t>± 3.5</w:t>
            </w:r>
            <w:r w:rsidRPr="001F05D9">
              <w:rPr>
                <w:rFonts w:ascii="Arial" w:eastAsia="Times New Roman" w:hAnsi="Arial" w:cs="Arial"/>
                <w:color w:val="auto"/>
                <w:shd w:val="clear" w:color="auto" w:fill="FFFFFF"/>
              </w:rPr>
              <w:t>*</w:t>
            </w:r>
          </w:p>
        </w:tc>
        <w:tc>
          <w:tcPr>
            <w:tcW w:w="2414" w:type="dxa"/>
            <w:tcBorders>
              <w:bottom w:val="single" w:sz="4" w:space="0" w:color="00000A"/>
            </w:tcBorders>
            <w:shd w:val="clear" w:color="auto" w:fill="FFFFFF"/>
            <w:tcMar>
              <w:top w:w="0" w:type="dxa"/>
              <w:left w:w="108" w:type="dxa"/>
              <w:bottom w:w="0" w:type="dxa"/>
              <w:right w:w="108" w:type="dxa"/>
            </w:tcMar>
          </w:tcPr>
          <w:p w14:paraId="776CD40A" w14:textId="77777777" w:rsidR="004A34CA" w:rsidRPr="001F05D9" w:rsidRDefault="00B5777A">
            <w:pPr>
              <w:spacing w:line="480" w:lineRule="auto"/>
              <w:jc w:val="both"/>
              <w:rPr>
                <w:color w:val="auto"/>
              </w:rPr>
            </w:pPr>
            <w:r w:rsidRPr="001F05D9">
              <w:rPr>
                <w:rFonts w:ascii="Arial" w:eastAsia="Times New Roman" w:hAnsi="Arial" w:cs="Arial"/>
                <w:color w:val="auto"/>
                <w:shd w:val="clear" w:color="auto" w:fill="FFFFFF"/>
              </w:rPr>
              <w:t>10</w:t>
            </w:r>
          </w:p>
        </w:tc>
      </w:tr>
    </w:tbl>
    <w:p w14:paraId="5DD74AC8" w14:textId="77777777" w:rsidR="004A34CA" w:rsidRPr="001F05D9" w:rsidRDefault="00B5777A">
      <w:pPr>
        <w:spacing w:line="480" w:lineRule="auto"/>
        <w:jc w:val="both"/>
        <w:rPr>
          <w:color w:val="auto"/>
        </w:rPr>
      </w:pPr>
      <w:r w:rsidRPr="001F05D9">
        <w:rPr>
          <w:rFonts w:ascii="Arial" w:hAnsi="Arial" w:cs="Arial"/>
          <w:color w:val="auto"/>
        </w:rPr>
        <w:t xml:space="preserve">*Indicates a significant difference from the recommendation. </w:t>
      </w:r>
    </w:p>
    <w:p w14:paraId="275CCF8C" w14:textId="77777777" w:rsidR="004A34CA" w:rsidRPr="001F05D9" w:rsidRDefault="004A34CA">
      <w:pPr>
        <w:spacing w:line="480" w:lineRule="auto"/>
        <w:jc w:val="both"/>
        <w:rPr>
          <w:color w:val="auto"/>
        </w:rPr>
      </w:pPr>
    </w:p>
    <w:p w14:paraId="2E92EF20" w14:textId="77777777" w:rsidR="004A34CA" w:rsidRPr="001F05D9" w:rsidRDefault="004A34CA">
      <w:pPr>
        <w:spacing w:line="480" w:lineRule="auto"/>
        <w:jc w:val="both"/>
        <w:rPr>
          <w:color w:val="auto"/>
        </w:rPr>
      </w:pPr>
    </w:p>
    <w:p w14:paraId="55EC5A1E" w14:textId="77777777" w:rsidR="004A34CA" w:rsidRPr="001F05D9" w:rsidRDefault="004A34CA">
      <w:pPr>
        <w:spacing w:line="480" w:lineRule="auto"/>
        <w:jc w:val="both"/>
        <w:rPr>
          <w:color w:val="auto"/>
        </w:rPr>
      </w:pPr>
    </w:p>
    <w:p w14:paraId="674A1347" w14:textId="77777777" w:rsidR="004A34CA" w:rsidRPr="001F05D9" w:rsidRDefault="004A34CA">
      <w:pPr>
        <w:spacing w:line="480" w:lineRule="auto"/>
        <w:jc w:val="both"/>
        <w:rPr>
          <w:color w:val="auto"/>
        </w:rPr>
      </w:pPr>
    </w:p>
    <w:p w14:paraId="1FD27797" w14:textId="77777777" w:rsidR="004A34CA" w:rsidRPr="001F05D9" w:rsidRDefault="00B5777A">
      <w:pPr>
        <w:spacing w:line="480" w:lineRule="auto"/>
        <w:jc w:val="both"/>
        <w:rPr>
          <w:color w:val="auto"/>
        </w:rPr>
      </w:pPr>
      <w:r w:rsidRPr="001F05D9">
        <w:rPr>
          <w:rFonts w:ascii="Arial" w:hAnsi="Arial" w:cs="Arial"/>
          <w:b/>
          <w:color w:val="auto"/>
        </w:rPr>
        <w:lastRenderedPageBreak/>
        <w:t>Figure 1.</w:t>
      </w:r>
      <w:r w:rsidRPr="001F05D9">
        <w:rPr>
          <w:rFonts w:ascii="Times New Roman" w:hAnsi="Times New Roman" w:cs="Times New Roman"/>
          <w:b/>
          <w:color w:val="auto"/>
          <w:sz w:val="28"/>
          <w:szCs w:val="28"/>
        </w:rPr>
        <w:t xml:space="preserve"> </w:t>
      </w:r>
      <w:r w:rsidRPr="001F05D9">
        <w:rPr>
          <w:rFonts w:ascii="Arial" w:hAnsi="Arial" w:cs="Arial"/>
          <w:color w:val="auto"/>
        </w:rPr>
        <w:t>Daily EI (</w:t>
      </w:r>
      <w:r w:rsidRPr="001F05D9">
        <w:rPr>
          <w:rFonts w:ascii="Arial" w:hAnsi="Arial" w:cs="Arial"/>
          <w:i/>
          <w:color w:val="auto"/>
        </w:rPr>
        <w:t>n</w:t>
      </w:r>
      <w:r w:rsidRPr="001F05D9">
        <w:rPr>
          <w:rFonts w:ascii="Arial" w:hAnsi="Arial" w:cs="Arial"/>
          <w:color w:val="auto"/>
        </w:rPr>
        <w:t xml:space="preserve"> = 15) and TDEE (</w:t>
      </w:r>
      <w:r w:rsidRPr="001F05D9">
        <w:rPr>
          <w:rFonts w:ascii="Arial" w:hAnsi="Arial" w:cs="Arial"/>
          <w:i/>
          <w:color w:val="auto"/>
        </w:rPr>
        <w:t>n</w:t>
      </w:r>
      <w:r w:rsidRPr="001F05D9">
        <w:rPr>
          <w:rFonts w:ascii="Arial" w:hAnsi="Arial" w:cs="Arial"/>
          <w:color w:val="auto"/>
        </w:rPr>
        <w:t xml:space="preserve"> = 16) (</w:t>
      </w:r>
      <w:r w:rsidRPr="001F05D9">
        <w:rPr>
          <w:rFonts w:ascii="Arial" w:eastAsia="Calibri" w:hAnsi="Arial" w:cs="Arial"/>
          <w:color w:val="auto"/>
        </w:rPr>
        <w:t>kcal</w:t>
      </w:r>
      <w:r w:rsidRPr="001F05D9">
        <w:rPr>
          <w:rFonts w:ascii="Arial" w:hAnsi="Arial" w:cs="Arial"/>
          <w:color w:val="auto"/>
          <w:vertAlign w:val="superscript"/>
          <w:lang w:val="en-US"/>
        </w:rPr>
        <w:t>.</w:t>
      </w:r>
      <w:r w:rsidRPr="001F05D9">
        <w:rPr>
          <w:rFonts w:ascii="Arial" w:hAnsi="Arial" w:cs="Arial"/>
          <w:color w:val="auto"/>
          <w:lang w:val="en-US"/>
        </w:rPr>
        <w:t>kg</w:t>
      </w:r>
      <w:r w:rsidRPr="001F05D9">
        <w:rPr>
          <w:rFonts w:ascii="Arial" w:hAnsi="Arial" w:cs="Arial"/>
          <w:color w:val="auto"/>
          <w:vertAlign w:val="superscript"/>
          <w:lang w:val="en-US"/>
        </w:rPr>
        <w:t xml:space="preserve">-1 </w:t>
      </w:r>
      <w:r w:rsidRPr="001F05D9">
        <w:rPr>
          <w:rFonts w:ascii="Arial" w:hAnsi="Arial" w:cs="Arial"/>
          <w:color w:val="auto"/>
          <w:lang w:val="en-US"/>
        </w:rPr>
        <w:t>BM</w:t>
      </w:r>
      <w:r w:rsidRPr="001F05D9">
        <w:rPr>
          <w:rFonts w:ascii="Arial" w:hAnsi="Arial" w:cs="Arial"/>
          <w:color w:val="auto"/>
        </w:rPr>
        <w:t>) assessed over days one to three of the tournament and EI (</w:t>
      </w:r>
      <w:r w:rsidRPr="001F05D9">
        <w:rPr>
          <w:rFonts w:ascii="Arial" w:hAnsi="Arial" w:cs="Arial"/>
          <w:i/>
          <w:color w:val="auto"/>
        </w:rPr>
        <w:t xml:space="preserve">n </w:t>
      </w:r>
      <w:r w:rsidRPr="001F05D9">
        <w:rPr>
          <w:rFonts w:ascii="Arial" w:hAnsi="Arial" w:cs="Arial"/>
          <w:color w:val="auto"/>
        </w:rPr>
        <w:t>=15) and EE (</w:t>
      </w:r>
      <w:r w:rsidRPr="001F05D9">
        <w:rPr>
          <w:rFonts w:ascii="Arial" w:hAnsi="Arial" w:cs="Arial"/>
          <w:i/>
          <w:color w:val="auto"/>
        </w:rPr>
        <w:t>n =</w:t>
      </w:r>
      <w:r w:rsidRPr="001F05D9">
        <w:rPr>
          <w:rFonts w:ascii="Arial" w:hAnsi="Arial" w:cs="Arial"/>
          <w:color w:val="auto"/>
        </w:rPr>
        <w:t>16) for the data collection period on day four. Data are presented as means ± SD.</w:t>
      </w:r>
      <w:r w:rsidRPr="001F05D9">
        <w:rPr>
          <w:rFonts w:ascii="Times New Roman" w:hAnsi="Times New Roman" w:cs="Times New Roman"/>
          <w:color w:val="auto"/>
          <w:sz w:val="28"/>
          <w:szCs w:val="28"/>
        </w:rPr>
        <w:t xml:space="preserve"> </w:t>
      </w:r>
    </w:p>
    <w:p w14:paraId="6842ABCD" w14:textId="77777777" w:rsidR="004A34CA" w:rsidRPr="001F05D9" w:rsidRDefault="004A34CA">
      <w:pPr>
        <w:spacing w:line="480" w:lineRule="auto"/>
        <w:jc w:val="both"/>
        <w:rPr>
          <w:color w:val="auto"/>
        </w:rPr>
      </w:pPr>
    </w:p>
    <w:p w14:paraId="60C5D068" w14:textId="77777777" w:rsidR="004A34CA" w:rsidRPr="001F05D9" w:rsidRDefault="004A34CA">
      <w:pPr>
        <w:spacing w:line="480" w:lineRule="auto"/>
        <w:jc w:val="both"/>
        <w:rPr>
          <w:color w:val="auto"/>
        </w:rPr>
      </w:pPr>
    </w:p>
    <w:p w14:paraId="1FD90611" w14:textId="77777777" w:rsidR="004A34CA" w:rsidRPr="001F05D9" w:rsidRDefault="004A34CA">
      <w:pPr>
        <w:spacing w:line="480" w:lineRule="auto"/>
        <w:jc w:val="both"/>
        <w:rPr>
          <w:color w:val="auto"/>
        </w:rPr>
      </w:pPr>
    </w:p>
    <w:p w14:paraId="63CA7D4F" w14:textId="77777777" w:rsidR="004A34CA" w:rsidRPr="001F05D9" w:rsidRDefault="004A34CA">
      <w:pPr>
        <w:spacing w:line="480" w:lineRule="auto"/>
        <w:jc w:val="both"/>
        <w:rPr>
          <w:color w:val="auto"/>
        </w:rPr>
      </w:pPr>
    </w:p>
    <w:p w14:paraId="6A36364F" w14:textId="77777777" w:rsidR="004A34CA" w:rsidRPr="001F05D9" w:rsidRDefault="004A34CA">
      <w:pPr>
        <w:spacing w:line="480" w:lineRule="auto"/>
        <w:jc w:val="both"/>
        <w:rPr>
          <w:color w:val="auto"/>
        </w:rPr>
      </w:pPr>
    </w:p>
    <w:p w14:paraId="3CCE6325" w14:textId="77777777" w:rsidR="004A34CA" w:rsidRPr="001F05D9" w:rsidRDefault="004A34CA">
      <w:pPr>
        <w:spacing w:line="480" w:lineRule="auto"/>
        <w:jc w:val="both"/>
        <w:rPr>
          <w:color w:val="auto"/>
        </w:rPr>
      </w:pPr>
    </w:p>
    <w:p w14:paraId="54BE523D" w14:textId="77777777" w:rsidR="004A34CA" w:rsidRPr="001F05D9" w:rsidRDefault="004A34CA">
      <w:pPr>
        <w:spacing w:line="480" w:lineRule="auto"/>
        <w:jc w:val="both"/>
        <w:rPr>
          <w:color w:val="auto"/>
        </w:rPr>
      </w:pPr>
    </w:p>
    <w:p w14:paraId="2465D929" w14:textId="77777777" w:rsidR="004A34CA" w:rsidRPr="001F05D9" w:rsidRDefault="004A34CA">
      <w:pPr>
        <w:spacing w:line="480" w:lineRule="auto"/>
        <w:jc w:val="both"/>
        <w:rPr>
          <w:color w:val="auto"/>
        </w:rPr>
      </w:pPr>
    </w:p>
    <w:p w14:paraId="7248BC0E" w14:textId="77777777" w:rsidR="004A34CA" w:rsidRPr="001F05D9" w:rsidRDefault="004A34CA">
      <w:pPr>
        <w:spacing w:line="480" w:lineRule="auto"/>
        <w:jc w:val="both"/>
        <w:rPr>
          <w:color w:val="auto"/>
        </w:rPr>
      </w:pPr>
    </w:p>
    <w:p w14:paraId="6B634DD5" w14:textId="77777777" w:rsidR="004A34CA" w:rsidRPr="001F05D9" w:rsidRDefault="004A34CA">
      <w:pPr>
        <w:spacing w:line="480" w:lineRule="auto"/>
        <w:jc w:val="both"/>
        <w:rPr>
          <w:color w:val="auto"/>
        </w:rPr>
      </w:pPr>
    </w:p>
    <w:p w14:paraId="5BADE22F" w14:textId="77777777" w:rsidR="004A34CA" w:rsidRPr="001F05D9" w:rsidRDefault="00B5777A">
      <w:pPr>
        <w:spacing w:line="480" w:lineRule="auto"/>
        <w:jc w:val="both"/>
        <w:rPr>
          <w:color w:val="auto"/>
        </w:rPr>
      </w:pPr>
      <w:r w:rsidRPr="001F05D9">
        <w:rPr>
          <w:rFonts w:ascii="Arial" w:hAnsi="Arial" w:cs="Arial"/>
          <w:b/>
          <w:color w:val="auto"/>
        </w:rPr>
        <w:lastRenderedPageBreak/>
        <w:t>Figure 2.</w:t>
      </w:r>
      <w:r w:rsidRPr="001F05D9">
        <w:rPr>
          <w:rFonts w:ascii="Arial" w:hAnsi="Arial" w:cs="Arial"/>
          <w:color w:val="auto"/>
        </w:rPr>
        <w:t xml:space="preserve"> Individual average</w:t>
      </w:r>
      <w:r w:rsidRPr="001F05D9">
        <w:rPr>
          <w:rFonts w:ascii="Arial" w:hAnsi="Arial" w:cs="Arial"/>
          <w:b/>
          <w:color w:val="auto"/>
        </w:rPr>
        <w:t xml:space="preserve"> </w:t>
      </w:r>
      <w:r w:rsidRPr="001F05D9">
        <w:rPr>
          <w:rFonts w:ascii="Arial" w:hAnsi="Arial" w:cs="Arial"/>
          <w:color w:val="auto"/>
        </w:rPr>
        <w:t>EE and EI (</w:t>
      </w:r>
      <w:r w:rsidRPr="001F05D9">
        <w:rPr>
          <w:rFonts w:ascii="Arial" w:eastAsia="Calibri" w:hAnsi="Arial" w:cs="Arial"/>
          <w:color w:val="auto"/>
        </w:rPr>
        <w:t>kcal</w:t>
      </w:r>
      <w:r w:rsidRPr="001F05D9">
        <w:rPr>
          <w:rFonts w:ascii="Arial" w:hAnsi="Arial" w:cs="Arial"/>
          <w:color w:val="auto"/>
          <w:vertAlign w:val="superscript"/>
          <w:lang w:val="en-US"/>
        </w:rPr>
        <w:t>.</w:t>
      </w:r>
      <w:r w:rsidRPr="001F05D9">
        <w:rPr>
          <w:rFonts w:ascii="Arial" w:hAnsi="Arial" w:cs="Arial"/>
          <w:color w:val="auto"/>
          <w:lang w:val="en-US"/>
        </w:rPr>
        <w:t>kg</w:t>
      </w:r>
      <w:r w:rsidRPr="001F05D9">
        <w:rPr>
          <w:rFonts w:ascii="Arial" w:hAnsi="Arial" w:cs="Arial"/>
          <w:color w:val="auto"/>
          <w:vertAlign w:val="superscript"/>
          <w:lang w:val="en-US"/>
        </w:rPr>
        <w:t xml:space="preserve">-1 </w:t>
      </w:r>
      <w:r w:rsidRPr="001F05D9">
        <w:rPr>
          <w:rFonts w:ascii="Arial" w:hAnsi="Arial" w:cs="Arial"/>
          <w:color w:val="auto"/>
          <w:lang w:val="en-US"/>
        </w:rPr>
        <w:t>BM</w:t>
      </w:r>
      <w:r w:rsidRPr="001F05D9">
        <w:rPr>
          <w:rFonts w:ascii="Arial" w:hAnsi="Arial" w:cs="Arial"/>
          <w:bCs/>
          <w:color w:val="auto"/>
          <w:lang w:val="en-US"/>
        </w:rPr>
        <w:t>) for each participant</w:t>
      </w:r>
      <w:r w:rsidRPr="001F05D9">
        <w:rPr>
          <w:rFonts w:ascii="Arial" w:hAnsi="Arial" w:cs="Arial"/>
          <w:b/>
          <w:bCs/>
          <w:color w:val="auto"/>
          <w:lang w:val="en-US"/>
        </w:rPr>
        <w:t xml:space="preserve"> </w:t>
      </w:r>
      <w:r w:rsidRPr="001F05D9">
        <w:rPr>
          <w:rFonts w:ascii="Arial" w:hAnsi="Arial" w:cs="Arial"/>
          <w:bCs/>
          <w:color w:val="auto"/>
          <w:lang w:val="en-US"/>
        </w:rPr>
        <w:t xml:space="preserve">assessed over days one to three of the tournament. </w:t>
      </w:r>
    </w:p>
    <w:p w14:paraId="38CAFE04" w14:textId="77777777" w:rsidR="004A34CA" w:rsidRPr="001F05D9" w:rsidRDefault="004A34CA">
      <w:pPr>
        <w:spacing w:line="480" w:lineRule="auto"/>
        <w:jc w:val="both"/>
        <w:rPr>
          <w:color w:val="auto"/>
        </w:rPr>
      </w:pPr>
    </w:p>
    <w:sectPr w:rsidR="004A34CA" w:rsidRPr="001F05D9">
      <w:headerReference w:type="default" r:id="rId18"/>
      <w:pgSz w:w="16838" w:h="11906" w:orient="landscape"/>
      <w:pgMar w:top="1440" w:right="1440" w:bottom="1440" w:left="1440" w:header="709" w:footer="0"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1930" w14:textId="77777777" w:rsidR="0023623D" w:rsidRDefault="0023623D">
      <w:pPr>
        <w:spacing w:after="0" w:line="240" w:lineRule="auto"/>
      </w:pPr>
      <w:r>
        <w:separator/>
      </w:r>
    </w:p>
  </w:endnote>
  <w:endnote w:type="continuationSeparator" w:id="0">
    <w:p w14:paraId="796BADB8" w14:textId="77777777" w:rsidR="0023623D" w:rsidRDefault="0023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BF58" w14:textId="77777777" w:rsidR="0023623D" w:rsidRDefault="0023623D">
      <w:pPr>
        <w:spacing w:after="0" w:line="240" w:lineRule="auto"/>
      </w:pPr>
      <w:r>
        <w:separator/>
      </w:r>
    </w:p>
  </w:footnote>
  <w:footnote w:type="continuationSeparator" w:id="0">
    <w:p w14:paraId="09B0587F" w14:textId="77777777" w:rsidR="0023623D" w:rsidRDefault="00236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FE9A" w14:textId="77777777" w:rsidR="00FA52CD" w:rsidRDefault="00FA52CD">
    <w:r>
      <w:fldChar w:fldCharType="begin"/>
    </w:r>
    <w:r>
      <w:instrText>PAGE</w:instrText>
    </w:r>
    <w:r>
      <w:fldChar w:fldCharType="separate"/>
    </w:r>
    <w:r w:rsidR="008C5DE3">
      <w:rPr>
        <w:noProof/>
      </w:rPr>
      <w:t>2</w:t>
    </w:r>
    <w:r>
      <w:fldChar w:fldCharType="end"/>
    </w:r>
  </w:p>
  <w:p w14:paraId="6ACC0DA5" w14:textId="77777777" w:rsidR="00FA52CD" w:rsidRDefault="00FA52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106B" w14:textId="77777777" w:rsidR="00FA52CD" w:rsidRDefault="00FA52CD">
    <w:r>
      <w:fldChar w:fldCharType="begin"/>
    </w:r>
    <w:r>
      <w:instrText>PAGE</w:instrText>
    </w:r>
    <w:r>
      <w:fldChar w:fldCharType="separate"/>
    </w:r>
    <w:r w:rsidR="008C5DE3">
      <w:rPr>
        <w:noProof/>
      </w:rPr>
      <w:t>1</w:t>
    </w:r>
    <w:r>
      <w:fldChar w:fldCharType="end"/>
    </w:r>
  </w:p>
  <w:p w14:paraId="0091AF31" w14:textId="77777777" w:rsidR="00FA52CD" w:rsidRDefault="00FA52C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CAE9" w14:textId="77777777" w:rsidR="00FA52CD" w:rsidRDefault="00FA52CD">
    <w:r>
      <w:fldChar w:fldCharType="begin"/>
    </w:r>
    <w:r>
      <w:instrText>PAGE</w:instrText>
    </w:r>
    <w:r>
      <w:fldChar w:fldCharType="separate"/>
    </w:r>
    <w:r w:rsidR="008C5DE3">
      <w:rPr>
        <w:noProof/>
      </w:rPr>
      <w:t>27</w:t>
    </w:r>
    <w:r>
      <w:fldChar w:fldCharType="end"/>
    </w:r>
  </w:p>
  <w:p w14:paraId="65A33B29" w14:textId="77777777" w:rsidR="00FA52CD" w:rsidRDefault="00FA52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B6304"/>
    <w:multiLevelType w:val="multilevel"/>
    <w:tmpl w:val="C0983E2C"/>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CA"/>
    <w:rsid w:val="000824BE"/>
    <w:rsid w:val="000A5C61"/>
    <w:rsid w:val="00101BAC"/>
    <w:rsid w:val="00152258"/>
    <w:rsid w:val="00163EC1"/>
    <w:rsid w:val="001857A2"/>
    <w:rsid w:val="001F05D9"/>
    <w:rsid w:val="0023623D"/>
    <w:rsid w:val="002C3155"/>
    <w:rsid w:val="002C5776"/>
    <w:rsid w:val="002D7676"/>
    <w:rsid w:val="00327F01"/>
    <w:rsid w:val="0033339D"/>
    <w:rsid w:val="00385AA8"/>
    <w:rsid w:val="003A6C7D"/>
    <w:rsid w:val="004852F8"/>
    <w:rsid w:val="004A34CA"/>
    <w:rsid w:val="004E32C8"/>
    <w:rsid w:val="005C3F81"/>
    <w:rsid w:val="005E1321"/>
    <w:rsid w:val="005F5FCF"/>
    <w:rsid w:val="006A756F"/>
    <w:rsid w:val="006B24BD"/>
    <w:rsid w:val="0079100C"/>
    <w:rsid w:val="007B47EF"/>
    <w:rsid w:val="007D7462"/>
    <w:rsid w:val="008A2E66"/>
    <w:rsid w:val="008C5DE3"/>
    <w:rsid w:val="008E1418"/>
    <w:rsid w:val="008E59B0"/>
    <w:rsid w:val="009A76C0"/>
    <w:rsid w:val="009E7E3C"/>
    <w:rsid w:val="00A332CA"/>
    <w:rsid w:val="00A605AD"/>
    <w:rsid w:val="00AA5E15"/>
    <w:rsid w:val="00AD2E4A"/>
    <w:rsid w:val="00B00DEC"/>
    <w:rsid w:val="00B5777A"/>
    <w:rsid w:val="00B95BE0"/>
    <w:rsid w:val="00BA0E9B"/>
    <w:rsid w:val="00BC60AE"/>
    <w:rsid w:val="00BF58F5"/>
    <w:rsid w:val="00C86F99"/>
    <w:rsid w:val="00DE6D60"/>
    <w:rsid w:val="00E028E5"/>
    <w:rsid w:val="00E13582"/>
    <w:rsid w:val="00E21A80"/>
    <w:rsid w:val="00E60D46"/>
    <w:rsid w:val="00F06161"/>
    <w:rsid w:val="00FA52CD"/>
    <w:rsid w:val="00FA66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71FFB"/>
  <w15:docId w15:val="{8EF3F4B6-B5A4-46B2-ADB3-8C4E4C9A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pPr>
    <w:rPr>
      <w:rFonts w:ascii="Cambria" w:eastAsia="Droid Sans Fallback" w:hAnsi="Cambria"/>
      <w:color w:val="00000A"/>
      <w:sz w:val="24"/>
      <w:szCs w:val="24"/>
      <w:lang w:eastAsia="en-US"/>
    </w:rPr>
  </w:style>
  <w:style w:type="paragraph" w:styleId="Heading1">
    <w:name w:val="heading 1"/>
    <w:basedOn w:val="Normal"/>
    <w:next w:val="Textbody"/>
    <w:pPr>
      <w:numPr>
        <w:numId w:val="1"/>
      </w:numPr>
      <w:spacing w:before="28" w:after="28"/>
      <w:outlineLvl w:val="0"/>
    </w:pPr>
    <w:rPr>
      <w:rFonts w:ascii="Times" w:hAnsi="Time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customStyle="1" w:styleId="CommentTextChar">
    <w:name w:val="Comment Text Char"/>
    <w:basedOn w:val="DefaultParagraphFont"/>
    <w:rPr>
      <w:rFonts w:ascii="Cambria" w:eastAsia="MS Mincho" w:hAnsi="Cambria" w:cs="Times New Roman"/>
      <w:sz w:val="20"/>
      <w:szCs w:val="20"/>
      <w:lang w:val="en-GB"/>
    </w:rPr>
  </w:style>
  <w:style w:type="character" w:customStyle="1" w:styleId="BalloonTextChar">
    <w:name w:val="Balloon Text Char"/>
    <w:basedOn w:val="DefaultParagraphFont"/>
    <w:rPr>
      <w:rFonts w:ascii="Lucida Grande" w:hAnsi="Lucida Grande" w:cs="Lucida Grande"/>
      <w:sz w:val="18"/>
      <w:szCs w:val="18"/>
      <w:lang w:val="en-GB"/>
    </w:rPr>
  </w:style>
  <w:style w:type="character" w:customStyle="1" w:styleId="CommentSubjectChar">
    <w:name w:val="Comment Subject Char"/>
    <w:basedOn w:val="CommentTextChar"/>
    <w:rPr>
      <w:rFonts w:ascii="Cambria" w:eastAsia="MS Mincho" w:hAnsi="Cambria" w:cs="Times New Roman"/>
      <w:b/>
      <w:bCs/>
      <w:sz w:val="20"/>
      <w:szCs w:val="20"/>
      <w:lang w:val="en-GB"/>
    </w:rPr>
  </w:style>
  <w:style w:type="character" w:styleId="LineNumber">
    <w:name w:val="line number"/>
    <w:basedOn w:val="DefaultParagraphFont"/>
  </w:style>
  <w:style w:type="character" w:customStyle="1" w:styleId="apple-converted-space">
    <w:name w:val="apple-converted-space"/>
    <w:basedOn w:val="DefaultParagraphFont"/>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lang w:val="en-ZA" w:eastAsia="en-ZA" w:bidi="en-ZA"/>
    </w:rPr>
  </w:style>
  <w:style w:type="character" w:customStyle="1" w:styleId="Heading1Char">
    <w:name w:val="Heading 1 Char"/>
    <w:basedOn w:val="DefaultParagraphFont"/>
    <w:rPr>
      <w:rFonts w:ascii="Times" w:hAnsi="Times"/>
      <w:b/>
      <w:bCs/>
      <w:sz w:val="48"/>
      <w:szCs w:val="48"/>
      <w:lang w:val="en-GB"/>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rPr>
      <w:lang w:val="en-GB"/>
    </w:rPr>
  </w:style>
  <w:style w:type="character" w:styleId="PageNumber">
    <w:name w:val="page number"/>
    <w:basedOn w:val="DefaultParagraphFont"/>
  </w:style>
  <w:style w:type="character" w:customStyle="1" w:styleId="FooterChar">
    <w:name w:val="Footer Char"/>
    <w:basedOn w:val="DefaultParagraphFont"/>
    <w:rPr>
      <w:lang w:val="en-GB"/>
    </w:rPr>
  </w:style>
  <w:style w:type="character" w:styleId="PlaceholderText">
    <w:name w:val="Placeholder Text"/>
    <w:basedOn w:val="DefaultParagraphFont"/>
    <w:rPr>
      <w:color w:val="808080"/>
    </w:rPr>
  </w:style>
  <w:style w:type="character" w:customStyle="1" w:styleId="PlainTextChar">
    <w:name w:val="Plain Text Char"/>
    <w:basedOn w:val="DefaultParagraphFont"/>
    <w:rPr>
      <w:rFonts w:ascii="Calibri" w:eastAsia="Times New Roman" w:hAnsi="Calibri" w:cs="Times New Roman"/>
      <w:sz w:val="22"/>
      <w:szCs w:val="21"/>
      <w:lang w:val="en-GB" w:eastAsia="en-GB"/>
    </w:rPr>
  </w:style>
  <w:style w:type="character" w:customStyle="1" w:styleId="ListLabel1">
    <w:name w:val="ListLabel 1"/>
    <w:rPr>
      <w:rFonts w:cs="Times New Roman"/>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before="28" w:after="28"/>
    </w:pPr>
    <w:rPr>
      <w:rFonts w:ascii="Times" w:eastAsia="MS Mincho" w:hAnsi="Times" w:cs="Times New Roman"/>
      <w:sz w:val="20"/>
      <w:szCs w:val="20"/>
    </w:rPr>
  </w:style>
  <w:style w:type="paragraph" w:styleId="CommentText">
    <w:name w:val="annotation text"/>
    <w:basedOn w:val="Normal"/>
    <w:rPr>
      <w:rFonts w:eastAsia="MS Mincho" w:cs="Times New Roman"/>
      <w:sz w:val="20"/>
      <w:szCs w:val="20"/>
    </w:rPr>
  </w:style>
  <w:style w:type="paragraph" w:styleId="BalloonText">
    <w:name w:val="Balloon Text"/>
    <w:basedOn w:val="Normal"/>
    <w:rPr>
      <w:rFonts w:ascii="Lucida Grande" w:hAnsi="Lucida Grande" w:cs="Lucida Grande"/>
      <w:sz w:val="18"/>
      <w:szCs w:val="18"/>
    </w:rPr>
  </w:style>
  <w:style w:type="paragraph" w:styleId="CommentSubject">
    <w:name w:val="annotation subject"/>
    <w:basedOn w:val="CommentText"/>
    <w:rPr>
      <w:b/>
      <w:bCs/>
    </w:rPr>
  </w:style>
  <w:style w:type="paragraph" w:styleId="NoSpacing">
    <w:name w:val="No Spacing"/>
    <w:pPr>
      <w:tabs>
        <w:tab w:val="left" w:pos="720"/>
      </w:tabs>
      <w:suppressAutoHyphens/>
    </w:pPr>
    <w:rPr>
      <w:rFonts w:ascii="Cambria" w:eastAsia="MS Mincho" w:hAnsi="Cambria" w:cs="Times New Roman"/>
      <w:color w:val="00000A"/>
      <w:sz w:val="24"/>
      <w:szCs w:val="24"/>
      <w:lang w:eastAsia="en-US"/>
    </w:rPr>
  </w:style>
  <w:style w:type="paragraph" w:customStyle="1" w:styleId="xmsonormal">
    <w:name w:val="x_msonormal"/>
    <w:basedOn w:val="Normal"/>
    <w:pPr>
      <w:spacing w:before="28" w:after="28"/>
    </w:pPr>
    <w:rPr>
      <w:rFonts w:ascii="Times" w:hAnsi="Times"/>
      <w:sz w:val="20"/>
      <w:szCs w:val="20"/>
    </w:rPr>
  </w:style>
  <w:style w:type="paragraph" w:styleId="ListParagraph">
    <w:name w:val="List Paragraph"/>
    <w:basedOn w:val="Normal"/>
    <w:pPr>
      <w:ind w:left="720"/>
    </w:pPr>
  </w:style>
  <w:style w:type="paragraph" w:styleId="Revision">
    <w:name w:val="Revision"/>
    <w:pPr>
      <w:tabs>
        <w:tab w:val="left" w:pos="720"/>
      </w:tabs>
      <w:suppressAutoHyphens/>
    </w:pPr>
    <w:rPr>
      <w:rFonts w:ascii="Cambria" w:eastAsia="Droid Sans Fallback" w:hAnsi="Cambria"/>
      <w:color w:val="00000A"/>
      <w:sz w:val="24"/>
      <w:szCs w:val="24"/>
      <w:lang w:eastAsia="en-U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513"/>
        <w:tab w:val="right" w:pos="9026"/>
      </w:tabs>
    </w:pPr>
  </w:style>
  <w:style w:type="paragraph" w:styleId="PlainText">
    <w:name w:val="Plain Text"/>
    <w:basedOn w:val="Normal"/>
    <w:rPr>
      <w:rFonts w:ascii="Calibri" w:eastAsia="Times New Roman" w:hAnsi="Calibri" w:cs="Times New Roman"/>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ternationaltouch.org/what-is-touch/" TargetMode="External"/><Relationship Id="rId13" Type="http://schemas.openxmlformats.org/officeDocument/2006/relationships/hyperlink" Target="http://www.ncbi.nlm.nih.gov/pubmed/?term=KjaerM%5BAuthor%5D&amp;cauthor=true&amp;cauthor_uid=16775559"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ickymarsh7@hotmail.com" TargetMode="External"/><Relationship Id="rId12" Type="http://schemas.openxmlformats.org/officeDocument/2006/relationships/hyperlink" Target="http://www.ncbi.nlm.nih.gov/pubmed/?term=BenckeJ%5BAuthor%5D&amp;cauthor=true&amp;cauthor_uid=1677555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teensbergA%5BAuthor%5D&amp;cauthor=true&amp;cauthor_uid=16775559" TargetMode="External"/><Relationship Id="rId5" Type="http://schemas.openxmlformats.org/officeDocument/2006/relationships/footnotes" Target="footnotes.xml"/><Relationship Id="rId15" Type="http://schemas.openxmlformats.org/officeDocument/2006/relationships/hyperlink" Target="http://dx.doi.org/10.1080/02640414.2017.1287933" TargetMode="External"/><Relationship Id="rId10" Type="http://schemas.openxmlformats.org/officeDocument/2006/relationships/hyperlink" Target="http://www.ncbi.nlm.nih.gov/pubmed/?term=MohrM%5BAuthor%5D&amp;cauthor=true&amp;cauthor_uid=167755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KrustrupP%5BAuthor%5D&amp;cauthor=true&amp;cauthor_uid=16775559" TargetMode="External"/><Relationship Id="rId14" Type="http://schemas.openxmlformats.org/officeDocument/2006/relationships/hyperlink" Target="http://www.ncbi.nlm.nih.gov/pubmed/?term=BangsboJ%5BAuthor%5D&amp;cauthor=true&amp;cauthor_uid=16775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36312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Marsh</dc:creator>
  <cp:lastModifiedBy>Kevin Sanders</cp:lastModifiedBy>
  <cp:revision>2</cp:revision>
  <cp:lastPrinted>2017-05-16T20:36:00Z</cp:lastPrinted>
  <dcterms:created xsi:type="dcterms:W3CDTF">2017-08-21T08:49:00Z</dcterms:created>
  <dcterms:modified xsi:type="dcterms:W3CDTF">2017-08-21T08:49:00Z</dcterms:modified>
</cp:coreProperties>
</file>