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DBFCE" w14:textId="77777777" w:rsidR="006126CD" w:rsidRPr="00E761C9" w:rsidRDefault="00144CCE" w:rsidP="00A860C3">
      <w:pPr>
        <w:jc w:val="center"/>
        <w:rPr>
          <w:rFonts w:ascii="Times New Roman" w:hAnsi="Times New Roman" w:cs="Times New Roman"/>
          <w:b/>
        </w:rPr>
      </w:pPr>
      <w:bookmarkStart w:id="0" w:name="_GoBack"/>
      <w:bookmarkEnd w:id="0"/>
      <w:r w:rsidRPr="00E761C9">
        <w:rPr>
          <w:rFonts w:ascii="Times New Roman" w:hAnsi="Times New Roman" w:cs="Times New Roman"/>
          <w:b/>
        </w:rPr>
        <w:t>T</w:t>
      </w:r>
      <w:r w:rsidR="00C22C64" w:rsidRPr="00E761C9">
        <w:rPr>
          <w:rFonts w:ascii="Times New Roman" w:hAnsi="Times New Roman" w:cs="Times New Roman"/>
          <w:b/>
        </w:rPr>
        <w:t>he (Mis)use of the Finnish Teacher Education Model</w:t>
      </w:r>
      <w:r w:rsidRPr="00E761C9">
        <w:rPr>
          <w:rFonts w:ascii="Times New Roman" w:hAnsi="Times New Roman" w:cs="Times New Roman"/>
          <w:b/>
        </w:rPr>
        <w:t xml:space="preserve">: </w:t>
      </w:r>
    </w:p>
    <w:p w14:paraId="550401C0" w14:textId="77777777" w:rsidR="00A860C3" w:rsidRPr="00E761C9" w:rsidRDefault="000912BE" w:rsidP="00A860C3">
      <w:pPr>
        <w:jc w:val="center"/>
        <w:rPr>
          <w:rFonts w:ascii="Times New Roman" w:hAnsi="Times New Roman" w:cs="Times New Roman"/>
          <w:b/>
        </w:rPr>
      </w:pPr>
      <w:r w:rsidRPr="00E761C9">
        <w:rPr>
          <w:rFonts w:ascii="Times New Roman" w:hAnsi="Times New Roman" w:cs="Times New Roman"/>
          <w:b/>
        </w:rPr>
        <w:t>‘Policy-based Evidence-Making’</w:t>
      </w:r>
      <w:r w:rsidR="00144CCE" w:rsidRPr="00E761C9">
        <w:rPr>
          <w:rFonts w:ascii="Times New Roman" w:hAnsi="Times New Roman" w:cs="Times New Roman"/>
          <w:b/>
        </w:rPr>
        <w:t>?</w:t>
      </w:r>
    </w:p>
    <w:p w14:paraId="15C3FA45" w14:textId="77777777" w:rsidR="00A860C3" w:rsidRPr="00E761C9" w:rsidRDefault="009D72FE" w:rsidP="0032666A">
      <w:pPr>
        <w:jc w:val="center"/>
        <w:rPr>
          <w:rFonts w:ascii="Times New Roman" w:hAnsi="Times New Roman" w:cs="Times New Roman"/>
          <w:b/>
        </w:rPr>
      </w:pPr>
      <w:r w:rsidRPr="00E761C9">
        <w:rPr>
          <w:rFonts w:ascii="Times New Roman" w:hAnsi="Times New Roman" w:cs="Times New Roman"/>
          <w:b/>
        </w:rPr>
        <w:t xml:space="preserve"> </w:t>
      </w:r>
    </w:p>
    <w:p w14:paraId="1A64E28A" w14:textId="77777777" w:rsidR="00A860C3" w:rsidRPr="00E761C9" w:rsidRDefault="00A860C3" w:rsidP="0032666A">
      <w:pPr>
        <w:jc w:val="center"/>
        <w:rPr>
          <w:rFonts w:ascii="Times New Roman" w:hAnsi="Times New Roman" w:cs="Times New Roman"/>
        </w:rPr>
      </w:pPr>
      <w:r w:rsidRPr="00E761C9">
        <w:rPr>
          <w:rFonts w:ascii="Times New Roman" w:hAnsi="Times New Roman" w:cs="Times New Roman"/>
        </w:rPr>
        <w:t>By Jennifer Chung</w:t>
      </w:r>
    </w:p>
    <w:p w14:paraId="2B5387D3" w14:textId="77777777" w:rsidR="00A860C3" w:rsidRPr="00E761C9" w:rsidRDefault="00A860C3" w:rsidP="0032666A">
      <w:pPr>
        <w:jc w:val="center"/>
        <w:rPr>
          <w:rFonts w:ascii="Times New Roman" w:hAnsi="Times New Roman" w:cs="Times New Roman"/>
        </w:rPr>
      </w:pPr>
      <w:r w:rsidRPr="00E761C9">
        <w:rPr>
          <w:rFonts w:ascii="Times New Roman" w:hAnsi="Times New Roman" w:cs="Times New Roman"/>
        </w:rPr>
        <w:t>St Mary’s University</w:t>
      </w:r>
    </w:p>
    <w:p w14:paraId="3E8E6C44" w14:textId="77777777" w:rsidR="00826ABF" w:rsidRPr="00E761C9" w:rsidRDefault="00826ABF" w:rsidP="00826ABF">
      <w:pPr>
        <w:jc w:val="center"/>
        <w:rPr>
          <w:rFonts w:ascii="Times New Roman" w:hAnsi="Times New Roman" w:cs="Times New Roman"/>
        </w:rPr>
      </w:pPr>
      <w:r w:rsidRPr="00E761C9">
        <w:rPr>
          <w:rFonts w:ascii="Times New Roman" w:hAnsi="Times New Roman" w:cs="Times New Roman"/>
        </w:rPr>
        <w:t>Education and Social Sciences</w:t>
      </w:r>
    </w:p>
    <w:p w14:paraId="78DC3288" w14:textId="77777777" w:rsidR="00826ABF" w:rsidRPr="00E761C9" w:rsidRDefault="00826ABF" w:rsidP="0032666A">
      <w:pPr>
        <w:jc w:val="center"/>
        <w:rPr>
          <w:rFonts w:ascii="Times New Roman" w:hAnsi="Times New Roman" w:cs="Times New Roman"/>
        </w:rPr>
      </w:pPr>
      <w:r w:rsidRPr="00E761C9">
        <w:rPr>
          <w:rFonts w:ascii="Times New Roman" w:hAnsi="Times New Roman" w:cs="Times New Roman"/>
        </w:rPr>
        <w:t>Waldegrave Road</w:t>
      </w:r>
    </w:p>
    <w:p w14:paraId="328B96B3" w14:textId="77777777" w:rsidR="00826ABF" w:rsidRPr="00E761C9" w:rsidRDefault="00826ABF" w:rsidP="0032666A">
      <w:pPr>
        <w:jc w:val="center"/>
        <w:rPr>
          <w:rFonts w:ascii="Times New Roman" w:hAnsi="Times New Roman" w:cs="Times New Roman"/>
        </w:rPr>
      </w:pPr>
      <w:r w:rsidRPr="00E761C9">
        <w:rPr>
          <w:rFonts w:ascii="Times New Roman" w:hAnsi="Times New Roman" w:cs="Times New Roman"/>
        </w:rPr>
        <w:t>Strawberry Hill</w:t>
      </w:r>
    </w:p>
    <w:p w14:paraId="30211E48" w14:textId="77777777" w:rsidR="00826ABF" w:rsidRPr="00E761C9" w:rsidRDefault="00826ABF" w:rsidP="0032666A">
      <w:pPr>
        <w:jc w:val="center"/>
        <w:rPr>
          <w:rFonts w:ascii="Times New Roman" w:hAnsi="Times New Roman" w:cs="Times New Roman"/>
        </w:rPr>
      </w:pPr>
      <w:r w:rsidRPr="00E761C9">
        <w:rPr>
          <w:rFonts w:ascii="Times New Roman" w:hAnsi="Times New Roman" w:cs="Times New Roman"/>
        </w:rPr>
        <w:t>Twickenham TW1 4SX</w:t>
      </w:r>
      <w:r w:rsidR="00A860C3" w:rsidRPr="00E761C9">
        <w:rPr>
          <w:rFonts w:ascii="Times New Roman" w:hAnsi="Times New Roman" w:cs="Times New Roman"/>
        </w:rPr>
        <w:t xml:space="preserve"> </w:t>
      </w:r>
    </w:p>
    <w:p w14:paraId="01936E0D" w14:textId="77777777" w:rsidR="00A860C3" w:rsidRPr="00E761C9" w:rsidRDefault="00A860C3" w:rsidP="0032666A">
      <w:pPr>
        <w:jc w:val="center"/>
        <w:rPr>
          <w:rFonts w:ascii="Times New Roman" w:hAnsi="Times New Roman" w:cs="Times New Roman"/>
        </w:rPr>
      </w:pPr>
      <w:r w:rsidRPr="00E761C9">
        <w:rPr>
          <w:rFonts w:ascii="Times New Roman" w:hAnsi="Times New Roman" w:cs="Times New Roman"/>
        </w:rPr>
        <w:t xml:space="preserve">United Kingdom </w:t>
      </w:r>
    </w:p>
    <w:p w14:paraId="0FF19D8D" w14:textId="77777777" w:rsidR="00187DE7" w:rsidRPr="00E761C9" w:rsidRDefault="00187DE7" w:rsidP="0032666A">
      <w:pPr>
        <w:jc w:val="center"/>
        <w:rPr>
          <w:rFonts w:ascii="Times New Roman" w:hAnsi="Times New Roman" w:cs="Times New Roman"/>
        </w:rPr>
      </w:pPr>
    </w:p>
    <w:p w14:paraId="4335DFDF" w14:textId="77777777" w:rsidR="00F35D73" w:rsidRPr="00E761C9" w:rsidRDefault="00F051E6" w:rsidP="0032666A">
      <w:pPr>
        <w:jc w:val="center"/>
        <w:rPr>
          <w:rFonts w:ascii="Times New Roman" w:hAnsi="Times New Roman" w:cs="Times New Roman"/>
        </w:rPr>
      </w:pPr>
      <w:hyperlink r:id="rId11" w:history="1">
        <w:r w:rsidR="00187DE7" w:rsidRPr="00E761C9">
          <w:rPr>
            <w:rStyle w:val="Hyperlink"/>
            <w:rFonts w:ascii="Times New Roman" w:hAnsi="Times New Roman" w:cs="Times New Roman"/>
          </w:rPr>
          <w:t>Jennifer.</w:t>
        </w:r>
        <w:r w:rsidR="00826ABF" w:rsidRPr="00E761C9">
          <w:rPr>
            <w:rStyle w:val="Hyperlink"/>
            <w:rFonts w:ascii="Times New Roman" w:hAnsi="Times New Roman" w:cs="Times New Roman"/>
          </w:rPr>
          <w:t>chung@stmarys</w:t>
        </w:r>
        <w:r w:rsidR="00187DE7" w:rsidRPr="00E761C9">
          <w:rPr>
            <w:rStyle w:val="Hyperlink"/>
            <w:rFonts w:ascii="Times New Roman" w:hAnsi="Times New Roman" w:cs="Times New Roman"/>
          </w:rPr>
          <w:t>.ac.uk</w:t>
        </w:r>
      </w:hyperlink>
    </w:p>
    <w:p w14:paraId="04DA5574" w14:textId="77777777" w:rsidR="00A860C3" w:rsidRPr="00E761C9" w:rsidRDefault="00F35D73" w:rsidP="00F35D73">
      <w:pPr>
        <w:rPr>
          <w:rFonts w:ascii="Times New Roman" w:hAnsi="Times New Roman" w:cs="Times New Roman"/>
          <w:b/>
        </w:rPr>
      </w:pPr>
      <w:r w:rsidRPr="00E761C9">
        <w:rPr>
          <w:rFonts w:ascii="Times New Roman" w:hAnsi="Times New Roman" w:cs="Times New Roman"/>
        </w:rPr>
        <w:br w:type="page"/>
      </w:r>
    </w:p>
    <w:p w14:paraId="470D006F" w14:textId="77777777" w:rsidR="00D87161" w:rsidRPr="00E761C9" w:rsidRDefault="00144CCE" w:rsidP="0032666A">
      <w:pPr>
        <w:jc w:val="center"/>
        <w:rPr>
          <w:rFonts w:ascii="Times New Roman" w:hAnsi="Times New Roman" w:cs="Times New Roman"/>
          <w:b/>
        </w:rPr>
      </w:pPr>
      <w:r w:rsidRPr="00E761C9">
        <w:rPr>
          <w:rFonts w:ascii="Times New Roman" w:hAnsi="Times New Roman" w:cs="Times New Roman"/>
          <w:b/>
        </w:rPr>
        <w:lastRenderedPageBreak/>
        <w:t xml:space="preserve"> </w:t>
      </w:r>
      <w:r w:rsidR="00D87161" w:rsidRPr="00E761C9">
        <w:rPr>
          <w:rFonts w:ascii="Times New Roman" w:hAnsi="Times New Roman" w:cs="Times New Roman"/>
          <w:b/>
        </w:rPr>
        <w:t xml:space="preserve">The (Mis)use of the Finnish Teacher Education Model: </w:t>
      </w:r>
    </w:p>
    <w:p w14:paraId="58D66C21" w14:textId="77777777" w:rsidR="0032666A" w:rsidRPr="00E761C9" w:rsidRDefault="00D87161" w:rsidP="0032666A">
      <w:pPr>
        <w:jc w:val="center"/>
        <w:rPr>
          <w:rFonts w:ascii="Times New Roman" w:hAnsi="Times New Roman" w:cs="Times New Roman"/>
          <w:b/>
        </w:rPr>
      </w:pPr>
      <w:r w:rsidRPr="00E761C9">
        <w:rPr>
          <w:rFonts w:ascii="Times New Roman" w:hAnsi="Times New Roman" w:cs="Times New Roman"/>
          <w:b/>
        </w:rPr>
        <w:t>‘Policy-based Evidence-Making’?</w:t>
      </w:r>
    </w:p>
    <w:p w14:paraId="34FF049B" w14:textId="77777777" w:rsidR="00FC5A16" w:rsidRPr="00E761C9" w:rsidRDefault="00FC5A16" w:rsidP="00DF44A8">
      <w:pPr>
        <w:ind w:left="360"/>
        <w:rPr>
          <w:rFonts w:ascii="Times New Roman" w:hAnsi="Times New Roman" w:cs="Times New Roman"/>
        </w:rPr>
      </w:pPr>
    </w:p>
    <w:p w14:paraId="36608740" w14:textId="77777777" w:rsidR="008F74B4" w:rsidRPr="00E761C9" w:rsidRDefault="008F74B4" w:rsidP="008F74B4">
      <w:pPr>
        <w:pStyle w:val="Textbody"/>
        <w:spacing w:after="0"/>
        <w:rPr>
          <w:rFonts w:cs="Times New Roman"/>
          <w:b/>
        </w:rPr>
      </w:pPr>
      <w:r w:rsidRPr="00E761C9">
        <w:rPr>
          <w:rFonts w:cs="Times New Roman"/>
          <w:b/>
        </w:rPr>
        <w:t>Abstract</w:t>
      </w:r>
    </w:p>
    <w:p w14:paraId="30316D08" w14:textId="77777777" w:rsidR="008F74B4" w:rsidRPr="00E761C9" w:rsidRDefault="008F74B4" w:rsidP="008F74B4">
      <w:pPr>
        <w:pStyle w:val="Textbody"/>
        <w:spacing w:after="0"/>
        <w:rPr>
          <w:rFonts w:cs="Times New Roman"/>
        </w:rPr>
      </w:pPr>
    </w:p>
    <w:p w14:paraId="73308A05" w14:textId="77777777" w:rsidR="00A153D5" w:rsidRPr="00E761C9" w:rsidRDefault="00A0362D" w:rsidP="00123D23">
      <w:pPr>
        <w:pStyle w:val="Textbody"/>
        <w:spacing w:after="0"/>
        <w:rPr>
          <w:rFonts w:cs="Times New Roman"/>
          <w:b/>
        </w:rPr>
      </w:pPr>
      <w:r w:rsidRPr="00E761C9">
        <w:rPr>
          <w:rFonts w:cs="Times New Roman"/>
          <w:b/>
        </w:rPr>
        <w:t>Background</w:t>
      </w:r>
    </w:p>
    <w:p w14:paraId="282BD1E9" w14:textId="77777777" w:rsidR="00A153D5" w:rsidRPr="00E761C9" w:rsidRDefault="008F74B4" w:rsidP="00123D23">
      <w:pPr>
        <w:pStyle w:val="Textbody"/>
        <w:spacing w:after="0"/>
        <w:rPr>
          <w:rFonts w:cs="Times New Roman"/>
        </w:rPr>
      </w:pPr>
      <w:r w:rsidRPr="00E761C9">
        <w:rPr>
          <w:rFonts w:cs="Times New Roman"/>
        </w:rPr>
        <w:t xml:space="preserve">International achievement studies such as the Programme for International Student Assessment (PISA) have </w:t>
      </w:r>
      <w:r w:rsidR="00DF6286" w:rsidRPr="00E761C9">
        <w:rPr>
          <w:rFonts w:cs="Times New Roman"/>
        </w:rPr>
        <w:t xml:space="preserve">an </w:t>
      </w:r>
      <w:r w:rsidR="006126CD" w:rsidRPr="00E761C9">
        <w:rPr>
          <w:rFonts w:cs="Times New Roman"/>
        </w:rPr>
        <w:t>increasing</w:t>
      </w:r>
      <w:r w:rsidRPr="00E761C9">
        <w:rPr>
          <w:rFonts w:cs="Times New Roman"/>
        </w:rPr>
        <w:t xml:space="preserve"> influence</w:t>
      </w:r>
      <w:r w:rsidR="00DF6286" w:rsidRPr="00E761C9">
        <w:rPr>
          <w:rFonts w:cs="Times New Roman"/>
        </w:rPr>
        <w:t xml:space="preserve"> on</w:t>
      </w:r>
      <w:r w:rsidRPr="00E761C9">
        <w:rPr>
          <w:rFonts w:cs="Times New Roman"/>
        </w:rPr>
        <w:t xml:space="preserve"> education policy worldwide.  The use of such data</w:t>
      </w:r>
      <w:r w:rsidR="00A153D5" w:rsidRPr="00E761C9">
        <w:rPr>
          <w:rFonts w:cs="Times New Roman"/>
        </w:rPr>
        <w:t xml:space="preserve"> can provide a basis for</w:t>
      </w:r>
      <w:r w:rsidRPr="00E761C9">
        <w:rPr>
          <w:rFonts w:cs="Times New Roman"/>
        </w:rPr>
        <w:t xml:space="preserve"> evidence-based policy making to </w:t>
      </w:r>
      <w:r w:rsidR="009001D2" w:rsidRPr="00E761C9">
        <w:rPr>
          <w:rFonts w:cs="Times New Roman"/>
        </w:rPr>
        <w:t>initiate</w:t>
      </w:r>
      <w:r w:rsidR="00A153D5" w:rsidRPr="00E761C9">
        <w:rPr>
          <w:rFonts w:cs="Times New Roman"/>
        </w:rPr>
        <w:t xml:space="preserve"> </w:t>
      </w:r>
      <w:r w:rsidRPr="00E761C9">
        <w:rPr>
          <w:rFonts w:cs="Times New Roman"/>
        </w:rPr>
        <w:t xml:space="preserve">educational reform.  Finland, a high performer in PISA, </w:t>
      </w:r>
      <w:r w:rsidR="00607C52">
        <w:rPr>
          <w:rFonts w:cs="Times New Roman"/>
        </w:rPr>
        <w:t>is often cited as</w:t>
      </w:r>
      <w:r w:rsidRPr="00E761C9">
        <w:rPr>
          <w:rFonts w:cs="Times New Roman"/>
        </w:rPr>
        <w:t xml:space="preserve"> an example of both efficient and equitable education.  Finland’s teachers and teacher education have </w:t>
      </w:r>
      <w:r w:rsidR="002D551F" w:rsidRPr="00E761C9">
        <w:rPr>
          <w:rFonts w:cs="Times New Roman"/>
        </w:rPr>
        <w:t xml:space="preserve">not only </w:t>
      </w:r>
      <w:r w:rsidRPr="00E761C9">
        <w:rPr>
          <w:rFonts w:cs="Times New Roman"/>
        </w:rPr>
        <w:t xml:space="preserve">garnered much attention for their role in the country’s PISA successes, </w:t>
      </w:r>
      <w:r w:rsidR="002D551F" w:rsidRPr="00E761C9">
        <w:rPr>
          <w:rFonts w:cs="Times New Roman"/>
        </w:rPr>
        <w:t>but</w:t>
      </w:r>
      <w:r w:rsidRPr="00E761C9">
        <w:rPr>
          <w:rFonts w:cs="Times New Roman"/>
        </w:rPr>
        <w:t xml:space="preserve"> </w:t>
      </w:r>
      <w:r w:rsidR="002F5384" w:rsidRPr="00E761C9">
        <w:rPr>
          <w:rFonts w:cs="Times New Roman"/>
        </w:rPr>
        <w:t xml:space="preserve">have </w:t>
      </w:r>
      <w:r w:rsidR="002D551F" w:rsidRPr="00E761C9">
        <w:rPr>
          <w:rFonts w:cs="Times New Roman"/>
        </w:rPr>
        <w:t xml:space="preserve">also </w:t>
      </w:r>
      <w:r w:rsidR="00501683" w:rsidRPr="00E761C9">
        <w:rPr>
          <w:rFonts w:cs="Times New Roman"/>
        </w:rPr>
        <w:t>influenced</w:t>
      </w:r>
      <w:r w:rsidRPr="00E761C9">
        <w:rPr>
          <w:rFonts w:cs="Times New Roman"/>
        </w:rPr>
        <w:t xml:space="preserve"> education policy change in England.  </w:t>
      </w:r>
    </w:p>
    <w:p w14:paraId="3420A74B" w14:textId="77777777" w:rsidR="00A153D5" w:rsidRPr="00E761C9" w:rsidRDefault="00A0362D" w:rsidP="00123D23">
      <w:pPr>
        <w:pStyle w:val="Textbody"/>
        <w:spacing w:after="0"/>
        <w:rPr>
          <w:rFonts w:cs="Times New Roman"/>
          <w:b/>
        </w:rPr>
      </w:pPr>
      <w:r w:rsidRPr="00E761C9">
        <w:rPr>
          <w:rFonts w:cs="Times New Roman"/>
          <w:b/>
        </w:rPr>
        <w:t>Main argument</w:t>
      </w:r>
    </w:p>
    <w:p w14:paraId="63BEC54E" w14:textId="77777777" w:rsidR="00A153D5" w:rsidRPr="00E761C9" w:rsidRDefault="00A153D5" w:rsidP="00123D23">
      <w:pPr>
        <w:pStyle w:val="Textbody"/>
        <w:spacing w:after="0"/>
        <w:rPr>
          <w:rFonts w:cs="Times New Roman"/>
        </w:rPr>
      </w:pPr>
      <w:r w:rsidRPr="00E761C9">
        <w:rPr>
          <w:rFonts w:cs="Times New Roman"/>
        </w:rPr>
        <w:t>T</w:t>
      </w:r>
      <w:r w:rsidR="008F74B4" w:rsidRPr="00E761C9">
        <w:rPr>
          <w:rFonts w:cs="Times New Roman"/>
        </w:rPr>
        <w:t xml:space="preserve">his article argues that the Finnish model of teacher education </w:t>
      </w:r>
      <w:r w:rsidRPr="00E761C9">
        <w:rPr>
          <w:rFonts w:cs="Times New Roman"/>
        </w:rPr>
        <w:t xml:space="preserve">has been </w:t>
      </w:r>
      <w:r w:rsidR="008F74B4" w:rsidRPr="00E761C9">
        <w:rPr>
          <w:rFonts w:cs="Times New Roman"/>
        </w:rPr>
        <w:t>borrowed uncritically</w:t>
      </w:r>
      <w:r w:rsidR="00BB70B4" w:rsidRPr="00E761C9">
        <w:rPr>
          <w:rFonts w:cs="Times New Roman"/>
        </w:rPr>
        <w:t xml:space="preserve"> by </w:t>
      </w:r>
      <w:r w:rsidR="004033AD" w:rsidRPr="00E761C9">
        <w:rPr>
          <w:rFonts w:cs="Times New Roman"/>
        </w:rPr>
        <w:t>UK</w:t>
      </w:r>
      <w:r w:rsidR="00BB70B4" w:rsidRPr="00E761C9">
        <w:rPr>
          <w:rFonts w:cs="Times New Roman"/>
        </w:rPr>
        <w:t xml:space="preserve"> policy</w:t>
      </w:r>
      <w:r w:rsidR="0053748B" w:rsidRPr="00E761C9">
        <w:rPr>
          <w:rFonts w:cs="Times New Roman"/>
        </w:rPr>
        <w:t xml:space="preserve"> </w:t>
      </w:r>
      <w:r w:rsidR="00BB70B4" w:rsidRPr="00E761C9">
        <w:rPr>
          <w:rFonts w:cs="Times New Roman"/>
        </w:rPr>
        <w:t>makers</w:t>
      </w:r>
      <w:r w:rsidR="008F74B4" w:rsidRPr="00E761C9">
        <w:rPr>
          <w:rFonts w:cs="Times New Roman"/>
        </w:rPr>
        <w:t xml:space="preserve">.  Finnish and English philosophies of teacher preparation differ greatly, and the borrowing of the Finnish teacher </w:t>
      </w:r>
      <w:r w:rsidR="008F74B4" w:rsidRPr="00E761C9">
        <w:rPr>
          <w:rFonts w:cs="Times New Roman"/>
          <w:i/>
        </w:rPr>
        <w:t>education</w:t>
      </w:r>
      <w:r w:rsidR="008F74B4" w:rsidRPr="00E761C9">
        <w:rPr>
          <w:rFonts w:cs="Times New Roman"/>
        </w:rPr>
        <w:t xml:space="preserve"> model does not fit within the teacher </w:t>
      </w:r>
      <w:r w:rsidR="008F74B4" w:rsidRPr="00E761C9">
        <w:rPr>
          <w:rFonts w:cs="Times New Roman"/>
          <w:i/>
        </w:rPr>
        <w:t>training</w:t>
      </w:r>
      <w:r w:rsidR="008F74B4" w:rsidRPr="00E761C9">
        <w:rPr>
          <w:rFonts w:cs="Times New Roman"/>
        </w:rPr>
        <w:t xml:space="preserve"> viewpoint of England.  </w:t>
      </w:r>
      <w:r w:rsidR="00501683" w:rsidRPr="00E761C9">
        <w:rPr>
          <w:rFonts w:cs="Times New Roman"/>
        </w:rPr>
        <w:t xml:space="preserve">The borrowed policies, thus, </w:t>
      </w:r>
      <w:r w:rsidR="00096025" w:rsidRPr="000B54F7">
        <w:rPr>
          <w:rFonts w:cs="Times New Roman"/>
        </w:rPr>
        <w:t xml:space="preserve">were </w:t>
      </w:r>
      <w:r w:rsidR="00096025" w:rsidRPr="00E761C9">
        <w:rPr>
          <w:rFonts w:cs="Times New Roman"/>
        </w:rPr>
        <w:t>decontextualized from</w:t>
      </w:r>
      <w:r w:rsidR="00501683" w:rsidRPr="00E761C9">
        <w:rPr>
          <w:rFonts w:cs="Times New Roman"/>
        </w:rPr>
        <w:t xml:space="preserve"> the wider </w:t>
      </w:r>
      <w:r w:rsidR="00114611" w:rsidRPr="00E761C9">
        <w:rPr>
          <w:rFonts w:cs="Times New Roman"/>
        </w:rPr>
        <w:t>values</w:t>
      </w:r>
      <w:r w:rsidR="00501683" w:rsidRPr="00E761C9">
        <w:rPr>
          <w:rFonts w:cs="Times New Roman"/>
        </w:rPr>
        <w:t xml:space="preserve"> and underpinnings of Finnish education. </w:t>
      </w:r>
      <w:r w:rsidR="00B30D60" w:rsidRPr="00E761C9">
        <w:rPr>
          <w:rFonts w:cs="Times New Roman"/>
        </w:rPr>
        <w:t>This</w:t>
      </w:r>
      <w:r w:rsidR="00501683" w:rsidRPr="00E761C9">
        <w:rPr>
          <w:rFonts w:cs="Times New Roman"/>
        </w:rPr>
        <w:t xml:space="preserve"> piecemeal,</w:t>
      </w:r>
      <w:r w:rsidR="009B256B" w:rsidRPr="00E761C9">
        <w:rPr>
          <w:rFonts w:cs="Times New Roman"/>
        </w:rPr>
        <w:t xml:space="preserve"> “pick ‘n’ mix”</w:t>
      </w:r>
      <w:r w:rsidR="008F74B4" w:rsidRPr="00E761C9">
        <w:rPr>
          <w:rFonts w:cs="Times New Roman"/>
        </w:rPr>
        <w:t xml:space="preserve"> (Morris 2012) approach to education policy reform</w:t>
      </w:r>
      <w:r w:rsidR="00AF6B2B" w:rsidRPr="00E761C9">
        <w:rPr>
          <w:rFonts w:cs="Times New Roman"/>
        </w:rPr>
        <w:t xml:space="preserve"> </w:t>
      </w:r>
      <w:r w:rsidR="008F74B4" w:rsidRPr="00E761C9">
        <w:rPr>
          <w:rFonts w:cs="Times New Roman"/>
        </w:rPr>
        <w:t>ign</w:t>
      </w:r>
      <w:r w:rsidR="00B30D60" w:rsidRPr="00E761C9">
        <w:rPr>
          <w:rFonts w:cs="Times New Roman"/>
        </w:rPr>
        <w:t xml:space="preserve">ores the fact that educational </w:t>
      </w:r>
      <w:r w:rsidR="004E4D42" w:rsidRPr="00E761C9">
        <w:rPr>
          <w:rFonts w:cs="Times New Roman"/>
        </w:rPr>
        <w:t xml:space="preserve">policies and </w:t>
      </w:r>
      <w:r w:rsidR="009B256B" w:rsidRPr="00E761C9">
        <w:rPr>
          <w:rFonts w:cs="Times New Roman"/>
        </w:rPr>
        <w:t>“</w:t>
      </w:r>
      <w:r w:rsidR="008F74B4" w:rsidRPr="00E761C9">
        <w:rPr>
          <w:rFonts w:cs="Times New Roman"/>
        </w:rPr>
        <w:t>practices exist in ecological relationships with one another and in whole ecosy</w:t>
      </w:r>
      <w:r w:rsidR="009B256B" w:rsidRPr="00E761C9">
        <w:rPr>
          <w:rFonts w:cs="Times New Roman"/>
        </w:rPr>
        <w:t>stems of interrelated practices”</w:t>
      </w:r>
      <w:r w:rsidR="008F74B4" w:rsidRPr="00E761C9">
        <w:rPr>
          <w:rFonts w:cs="Times New Roman"/>
        </w:rPr>
        <w:t xml:space="preserve"> (Kemmis </w:t>
      </w:r>
      <w:r w:rsidR="00296C87" w:rsidRPr="00E761C9">
        <w:rPr>
          <w:rFonts w:cs="Times New Roman"/>
        </w:rPr>
        <w:t>and</w:t>
      </w:r>
      <w:r w:rsidR="008F74B4" w:rsidRPr="00E761C9">
        <w:rPr>
          <w:rFonts w:cs="Times New Roman"/>
        </w:rPr>
        <w:t xml:space="preserve"> Heikkinen 2012, 157).</w:t>
      </w:r>
      <w:r w:rsidR="00190988" w:rsidRPr="00E761C9">
        <w:rPr>
          <w:rFonts w:cs="Times New Roman"/>
        </w:rPr>
        <w:t xml:space="preserve">  </w:t>
      </w:r>
      <w:r w:rsidR="003150B4" w:rsidRPr="00E761C9">
        <w:rPr>
          <w:rFonts w:cs="Times New Roman"/>
        </w:rPr>
        <w:t xml:space="preserve">Thus, these borrowed teacher preparation policies will </w:t>
      </w:r>
      <w:r w:rsidR="00096025" w:rsidRPr="00E761C9">
        <w:rPr>
          <w:rFonts w:cs="Times New Roman"/>
        </w:rPr>
        <w:t>not necessarily lead to</w:t>
      </w:r>
      <w:r w:rsidR="003150B4" w:rsidRPr="00E761C9">
        <w:rPr>
          <w:rFonts w:cs="Times New Roman"/>
        </w:rPr>
        <w:t xml:space="preserve"> the outcomes</w:t>
      </w:r>
      <w:r w:rsidR="00114611" w:rsidRPr="00E761C9">
        <w:rPr>
          <w:rFonts w:cs="Times New Roman"/>
        </w:rPr>
        <w:t xml:space="preserve"> </w:t>
      </w:r>
      <w:r w:rsidR="003150B4" w:rsidRPr="00E761C9">
        <w:rPr>
          <w:rFonts w:cs="Times New Roman"/>
        </w:rPr>
        <w:t xml:space="preserve">outlined by policy makers in the reforms. </w:t>
      </w:r>
    </w:p>
    <w:p w14:paraId="28A4321B" w14:textId="77777777" w:rsidR="00A153D5" w:rsidRPr="00E761C9" w:rsidRDefault="00A0362D" w:rsidP="00123D23">
      <w:pPr>
        <w:pStyle w:val="Textbody"/>
        <w:spacing w:after="0"/>
        <w:rPr>
          <w:rFonts w:cs="Times New Roman"/>
          <w:b/>
        </w:rPr>
      </w:pPr>
      <w:r w:rsidRPr="00E761C9">
        <w:rPr>
          <w:rFonts w:cs="Times New Roman"/>
          <w:b/>
        </w:rPr>
        <w:t>Sources of evidence</w:t>
      </w:r>
    </w:p>
    <w:p w14:paraId="3E22F772" w14:textId="77777777" w:rsidR="002A0942" w:rsidRPr="00E761C9" w:rsidRDefault="008F74B4" w:rsidP="00123D23">
      <w:pPr>
        <w:pStyle w:val="Textbody"/>
        <w:spacing w:after="0"/>
        <w:rPr>
          <w:rFonts w:cs="Times New Roman"/>
        </w:rPr>
      </w:pPr>
      <w:r w:rsidRPr="00E761C9">
        <w:rPr>
          <w:rFonts w:cs="Times New Roman"/>
        </w:rPr>
        <w:t xml:space="preserve">Two teacher preparation reforms in England, the University Training Schools </w:t>
      </w:r>
      <w:r w:rsidR="00120EAA" w:rsidRPr="00E761C9">
        <w:rPr>
          <w:rFonts w:cs="Times New Roman"/>
        </w:rPr>
        <w:t>(</w:t>
      </w:r>
      <w:r w:rsidRPr="00E761C9">
        <w:rPr>
          <w:rFonts w:cs="Times New Roman"/>
        </w:rPr>
        <w:t xml:space="preserve">outlined in the </w:t>
      </w:r>
      <w:r w:rsidR="00120EAA" w:rsidRPr="00E761C9">
        <w:rPr>
          <w:rFonts w:cs="Times New Roman"/>
        </w:rPr>
        <w:t xml:space="preserve">UK government’s </w:t>
      </w:r>
      <w:r w:rsidRPr="00E761C9">
        <w:rPr>
          <w:rFonts w:cs="Times New Roman"/>
        </w:rPr>
        <w:t xml:space="preserve">2010 </w:t>
      </w:r>
      <w:r w:rsidR="00120EAA" w:rsidRPr="00E761C9">
        <w:rPr>
          <w:rFonts w:cs="Times New Roman"/>
        </w:rPr>
        <w:t xml:space="preserve">Schools </w:t>
      </w:r>
      <w:r w:rsidRPr="00E761C9">
        <w:rPr>
          <w:rFonts w:cs="Times New Roman"/>
        </w:rPr>
        <w:t>White Paper</w:t>
      </w:r>
      <w:r w:rsidR="00AF6B2B" w:rsidRPr="00E761C9">
        <w:rPr>
          <w:rFonts w:cs="Times New Roman"/>
        </w:rPr>
        <w:t xml:space="preserve">, </w:t>
      </w:r>
      <w:r w:rsidR="00AF6B2B" w:rsidRPr="00E761C9">
        <w:rPr>
          <w:rFonts w:cs="Times New Roman"/>
          <w:i/>
        </w:rPr>
        <w:t>The Importance of Teaching</w:t>
      </w:r>
      <w:r w:rsidR="00120EAA" w:rsidRPr="00E761C9">
        <w:rPr>
          <w:rFonts w:cs="Times New Roman"/>
        </w:rPr>
        <w:t>) and the Master’s in Teaching and Learning (MTL)</w:t>
      </w:r>
      <w:r w:rsidR="00AF6B2B" w:rsidRPr="00E761C9">
        <w:rPr>
          <w:rFonts w:cs="Times New Roman"/>
        </w:rPr>
        <w:t>,</w:t>
      </w:r>
      <w:r w:rsidRPr="00E761C9">
        <w:rPr>
          <w:rFonts w:cs="Times New Roman"/>
        </w:rPr>
        <w:t xml:space="preserve"> </w:t>
      </w:r>
      <w:r w:rsidR="00A153D5" w:rsidRPr="00E761C9">
        <w:rPr>
          <w:rFonts w:cs="Times New Roman"/>
        </w:rPr>
        <w:t xml:space="preserve">are used to </w:t>
      </w:r>
      <w:r w:rsidRPr="00E761C9">
        <w:rPr>
          <w:rFonts w:cs="Times New Roman"/>
        </w:rPr>
        <w:t xml:space="preserve">illustrate </w:t>
      </w:r>
      <w:r w:rsidR="00925C74" w:rsidRPr="00E761C9">
        <w:rPr>
          <w:rFonts w:cs="Times New Roman"/>
        </w:rPr>
        <w:t>the problematic nature</w:t>
      </w:r>
      <w:r w:rsidR="00A153D5" w:rsidRPr="00E761C9">
        <w:rPr>
          <w:rFonts w:cs="Times New Roman"/>
        </w:rPr>
        <w:t xml:space="preserve"> </w:t>
      </w:r>
      <w:r w:rsidR="00925C74" w:rsidRPr="00E761C9">
        <w:rPr>
          <w:rFonts w:cs="Times New Roman"/>
        </w:rPr>
        <w:t>of</w:t>
      </w:r>
      <w:r w:rsidR="00A153D5" w:rsidRPr="00E761C9">
        <w:rPr>
          <w:rFonts w:cs="Times New Roman"/>
        </w:rPr>
        <w:t xml:space="preserve"> </w:t>
      </w:r>
      <w:r w:rsidR="00925C74" w:rsidRPr="00E761C9">
        <w:rPr>
          <w:rFonts w:cs="Times New Roman"/>
        </w:rPr>
        <w:t>uncritical policy borrowing</w:t>
      </w:r>
      <w:r w:rsidR="00D8508D" w:rsidRPr="00E761C9">
        <w:rPr>
          <w:rFonts w:cs="Times New Roman"/>
        </w:rPr>
        <w:t xml:space="preserve">.  </w:t>
      </w:r>
      <w:r w:rsidR="009001D2" w:rsidRPr="00E761C9">
        <w:rPr>
          <w:rFonts w:cs="Times New Roman"/>
        </w:rPr>
        <w:t xml:space="preserve">This article juxtaposes these policies </w:t>
      </w:r>
      <w:r w:rsidR="003150B4" w:rsidRPr="00E761C9">
        <w:rPr>
          <w:rFonts w:cs="Times New Roman"/>
        </w:rPr>
        <w:t>with the Finnish model of teacher education</w:t>
      </w:r>
      <w:r w:rsidR="004033AD" w:rsidRPr="00E761C9">
        <w:rPr>
          <w:rFonts w:cs="Times New Roman"/>
        </w:rPr>
        <w:t xml:space="preserve">, </w:t>
      </w:r>
      <w:r w:rsidR="00096025" w:rsidRPr="00E761C9">
        <w:rPr>
          <w:rFonts w:cs="Times New Roman"/>
        </w:rPr>
        <w:t xml:space="preserve">which is </w:t>
      </w:r>
      <w:r w:rsidR="004033AD" w:rsidRPr="00E761C9">
        <w:rPr>
          <w:rFonts w:cs="Times New Roman"/>
        </w:rPr>
        <w:t xml:space="preserve">a research-based </w:t>
      </w:r>
      <w:r w:rsidR="00D8508D" w:rsidRPr="00E761C9">
        <w:rPr>
          <w:rFonts w:cs="Times New Roman"/>
        </w:rPr>
        <w:t>programme</w:t>
      </w:r>
      <w:r w:rsidR="004033AD" w:rsidRPr="00E761C9">
        <w:rPr>
          <w:rFonts w:cs="Times New Roman"/>
        </w:rPr>
        <w:t xml:space="preserve"> where all candidates are required to complete a Master’s degree</w:t>
      </w:r>
      <w:r w:rsidR="001035E2" w:rsidRPr="00E761C9">
        <w:rPr>
          <w:rFonts w:cs="Times New Roman"/>
        </w:rPr>
        <w:t xml:space="preserve">. </w:t>
      </w:r>
      <w:r w:rsidR="00D8508D" w:rsidRPr="00E761C9">
        <w:rPr>
          <w:rFonts w:cs="Times New Roman"/>
        </w:rPr>
        <w:t xml:space="preserve">The contradictions exposed from this analysis </w:t>
      </w:r>
      <w:r w:rsidR="00DE799F" w:rsidRPr="00E761C9">
        <w:rPr>
          <w:rFonts w:cs="Times New Roman"/>
        </w:rPr>
        <w:t xml:space="preserve">further highlight the divergent practices of teacher preparation in England and Finland, </w:t>
      </w:r>
      <w:r w:rsidR="00EC4F0C" w:rsidRPr="00E761C9">
        <w:rPr>
          <w:rFonts w:cs="Times New Roman"/>
        </w:rPr>
        <w:t xml:space="preserve">or the disparate “ecosystems.” </w:t>
      </w:r>
      <w:r w:rsidR="00607C52">
        <w:rPr>
          <w:rFonts w:cs="Times New Roman"/>
        </w:rPr>
        <w:t>Evidence of educational policy borrowing in other settings is also considered.</w:t>
      </w:r>
    </w:p>
    <w:p w14:paraId="5E7BAEBF" w14:textId="77777777" w:rsidR="002A0942" w:rsidRPr="00E761C9" w:rsidRDefault="00A0362D" w:rsidP="00123D23">
      <w:pPr>
        <w:pStyle w:val="Textbody"/>
        <w:spacing w:after="0"/>
        <w:rPr>
          <w:rFonts w:cs="Times New Roman"/>
          <w:b/>
        </w:rPr>
      </w:pPr>
      <w:r w:rsidRPr="00E761C9">
        <w:rPr>
          <w:rFonts w:cs="Times New Roman"/>
          <w:b/>
        </w:rPr>
        <w:t>Conclusions</w:t>
      </w:r>
    </w:p>
    <w:p w14:paraId="49EBC986" w14:textId="77777777" w:rsidR="00E7148A" w:rsidRPr="00E761C9" w:rsidRDefault="00E7148A" w:rsidP="00E7148A">
      <w:pPr>
        <w:pStyle w:val="Textbody"/>
        <w:spacing w:after="0"/>
        <w:rPr>
          <w:rFonts w:cs="Times New Roman"/>
        </w:rPr>
      </w:pPr>
      <w:r w:rsidRPr="00E761C9">
        <w:rPr>
          <w:rFonts w:cs="Times New Roman"/>
        </w:rPr>
        <w:t xml:space="preserve">Both the MTL and the White Paper reforms overlook the “ecosystem” </w:t>
      </w:r>
      <w:r w:rsidR="003962B2">
        <w:rPr>
          <w:rFonts w:cs="Times New Roman"/>
        </w:rPr>
        <w:t>surrounding</w:t>
      </w:r>
      <w:r w:rsidR="00F0066C" w:rsidRPr="00E761C9">
        <w:rPr>
          <w:rFonts w:cs="Times New Roman"/>
        </w:rPr>
        <w:t xml:space="preserve"> </w:t>
      </w:r>
      <w:r w:rsidRPr="00E761C9">
        <w:rPr>
          <w:rFonts w:cs="Times New Roman"/>
        </w:rPr>
        <w:t>Finnish teacher education.  The school-based MTL contrasts with the research-based Finnish teachers’ MA.  Similarly, the University Training Schools</w:t>
      </w:r>
      <w:r w:rsidR="00F0066C" w:rsidRPr="00E761C9">
        <w:rPr>
          <w:rFonts w:cs="Times New Roman"/>
        </w:rPr>
        <w:t xml:space="preserve"> scheme</w:t>
      </w:r>
      <w:r w:rsidRPr="00E761C9">
        <w:rPr>
          <w:rFonts w:cs="Times New Roman"/>
        </w:rPr>
        <w:t>, based on Finnish university-affiliated, teaching practice schools, contrast</w:t>
      </w:r>
      <w:r w:rsidR="00F0066C" w:rsidRPr="00E761C9">
        <w:rPr>
          <w:rFonts w:cs="Times New Roman"/>
        </w:rPr>
        <w:t>s</w:t>
      </w:r>
      <w:r w:rsidRPr="00E761C9">
        <w:rPr>
          <w:rFonts w:cs="Times New Roman"/>
        </w:rPr>
        <w:t xml:space="preserve"> heavily with the rest of the White Paper reforms</w:t>
      </w:r>
      <w:r w:rsidR="001376AA" w:rsidRPr="00E761C9">
        <w:rPr>
          <w:rFonts w:cs="Times New Roman"/>
        </w:rPr>
        <w:t>, which contradict the philosophies and ethos behind Finnish teacher education</w:t>
      </w:r>
      <w:r w:rsidR="002E2E4D" w:rsidRPr="00E761C9">
        <w:rPr>
          <w:rFonts w:cs="Times New Roman"/>
        </w:rPr>
        <w:t xml:space="preserve"> by proposing the move of English teacher preparation away from the universities</w:t>
      </w:r>
      <w:r w:rsidR="001376AA" w:rsidRPr="00E761C9">
        <w:rPr>
          <w:rFonts w:cs="Times New Roman"/>
        </w:rPr>
        <w:t xml:space="preserve">.  The analysis highlights the uncritical eye through which politicians </w:t>
      </w:r>
      <w:r w:rsidR="008F5B37">
        <w:rPr>
          <w:rFonts w:cs="Times New Roman"/>
        </w:rPr>
        <w:t xml:space="preserve">may </w:t>
      </w:r>
      <w:r w:rsidR="001376AA" w:rsidRPr="00E761C9">
        <w:rPr>
          <w:rFonts w:cs="Times New Roman"/>
        </w:rPr>
        <w:t>view international survey results, looking for “quick fix” (Noah 1984, 550; Phillips and Ochs 2004, 780) options instead of</w:t>
      </w:r>
      <w:r w:rsidR="003962B2">
        <w:rPr>
          <w:rFonts w:cs="Times New Roman"/>
        </w:rPr>
        <w:t xml:space="preserve"> utilising academic evidence for</w:t>
      </w:r>
      <w:r w:rsidR="001376AA" w:rsidRPr="00E761C9">
        <w:rPr>
          <w:rFonts w:cs="Times New Roman"/>
        </w:rPr>
        <w:t xml:space="preserve"> </w:t>
      </w:r>
      <w:r w:rsidR="002E2E4D" w:rsidRPr="00E761C9">
        <w:rPr>
          <w:rFonts w:cs="Times New Roman"/>
        </w:rPr>
        <w:t>investigation</w:t>
      </w:r>
      <w:r w:rsidR="001376AA" w:rsidRPr="00E761C9">
        <w:rPr>
          <w:rFonts w:cs="Times New Roman"/>
        </w:rPr>
        <w:t xml:space="preserve"> on education and education reform.  </w:t>
      </w:r>
    </w:p>
    <w:p w14:paraId="759F0859" w14:textId="77777777" w:rsidR="00123D23" w:rsidRPr="00E761C9" w:rsidRDefault="00123D23" w:rsidP="00123D23">
      <w:pPr>
        <w:pStyle w:val="Textbody"/>
        <w:spacing w:after="0"/>
        <w:rPr>
          <w:rFonts w:cs="Times New Roman"/>
        </w:rPr>
      </w:pPr>
    </w:p>
    <w:p w14:paraId="71102308" w14:textId="77777777" w:rsidR="004A6B12" w:rsidRPr="00E761C9" w:rsidRDefault="004A6B12" w:rsidP="00123D23">
      <w:pPr>
        <w:pStyle w:val="Textbody"/>
        <w:spacing w:after="0"/>
        <w:rPr>
          <w:rFonts w:cs="Times New Roman"/>
        </w:rPr>
      </w:pPr>
      <w:r w:rsidRPr="00E761C9">
        <w:rPr>
          <w:rFonts w:cs="Times New Roman"/>
          <w:b/>
        </w:rPr>
        <w:t xml:space="preserve">Keywords: </w:t>
      </w:r>
      <w:r w:rsidRPr="00E761C9">
        <w:rPr>
          <w:rFonts w:cs="Times New Roman"/>
        </w:rPr>
        <w:t xml:space="preserve">PISA, Finland, England, policy borrowing, </w:t>
      </w:r>
      <w:r w:rsidR="00DB79C1" w:rsidRPr="00E761C9">
        <w:rPr>
          <w:rFonts w:cs="Times New Roman"/>
        </w:rPr>
        <w:t>Master</w:t>
      </w:r>
      <w:r w:rsidR="0089201E">
        <w:rPr>
          <w:rFonts w:cs="Times New Roman"/>
        </w:rPr>
        <w:t>’</w:t>
      </w:r>
      <w:r w:rsidR="0003581D" w:rsidRPr="00E761C9">
        <w:rPr>
          <w:rFonts w:cs="Times New Roman"/>
        </w:rPr>
        <w:t xml:space="preserve">s </w:t>
      </w:r>
      <w:r w:rsidR="00DB79C1" w:rsidRPr="00E761C9">
        <w:rPr>
          <w:rFonts w:cs="Times New Roman"/>
        </w:rPr>
        <w:t>in</w:t>
      </w:r>
      <w:r w:rsidR="0003581D" w:rsidRPr="00E761C9">
        <w:rPr>
          <w:rFonts w:cs="Times New Roman"/>
        </w:rPr>
        <w:t xml:space="preserve"> Teaching and Learning (MTL)</w:t>
      </w:r>
      <w:r w:rsidRPr="00E761C9">
        <w:rPr>
          <w:rFonts w:cs="Times New Roman"/>
        </w:rPr>
        <w:t xml:space="preserve">, </w:t>
      </w:r>
      <w:r w:rsidR="00426B6F" w:rsidRPr="00E761C9">
        <w:rPr>
          <w:rFonts w:cs="Times New Roman"/>
        </w:rPr>
        <w:t>teacher education</w:t>
      </w:r>
      <w:r w:rsidR="00E01A91" w:rsidRPr="00E761C9">
        <w:rPr>
          <w:rFonts w:cs="Times New Roman"/>
        </w:rPr>
        <w:t xml:space="preserve">, </w:t>
      </w:r>
      <w:r w:rsidR="003316AC" w:rsidRPr="00E761C9">
        <w:rPr>
          <w:rFonts w:cs="Times New Roman"/>
          <w:i/>
        </w:rPr>
        <w:t xml:space="preserve">The Importance of Teaching </w:t>
      </w:r>
      <w:r w:rsidR="00F72091" w:rsidRPr="00E761C9">
        <w:rPr>
          <w:rFonts w:cs="Times New Roman"/>
        </w:rPr>
        <w:t>White Paper 2010</w:t>
      </w:r>
    </w:p>
    <w:p w14:paraId="131CEEE8" w14:textId="77777777" w:rsidR="00123D23" w:rsidRPr="00E761C9" w:rsidRDefault="00123D23" w:rsidP="00123D23">
      <w:pPr>
        <w:pStyle w:val="Textbody"/>
        <w:spacing w:after="0"/>
        <w:rPr>
          <w:rFonts w:cs="Times New Roman"/>
        </w:rPr>
      </w:pPr>
    </w:p>
    <w:p w14:paraId="5805FDA4" w14:textId="77777777" w:rsidR="000053C9" w:rsidRPr="00E761C9" w:rsidRDefault="000053C9" w:rsidP="00123D23">
      <w:pPr>
        <w:pStyle w:val="Textbody"/>
        <w:spacing w:after="0"/>
        <w:rPr>
          <w:rFonts w:cs="Times New Roman"/>
        </w:rPr>
      </w:pPr>
    </w:p>
    <w:p w14:paraId="78E061BA" w14:textId="77777777" w:rsidR="00123D23" w:rsidRPr="00E761C9" w:rsidRDefault="00123D23" w:rsidP="00123D23">
      <w:pPr>
        <w:pStyle w:val="Textbody"/>
        <w:spacing w:after="0"/>
        <w:rPr>
          <w:rFonts w:cs="Times New Roman"/>
          <w:b/>
        </w:rPr>
      </w:pPr>
      <w:r w:rsidRPr="00E761C9">
        <w:rPr>
          <w:rFonts w:cs="Times New Roman"/>
          <w:b/>
        </w:rPr>
        <w:t>Introduction</w:t>
      </w:r>
    </w:p>
    <w:p w14:paraId="53122504" w14:textId="77777777" w:rsidR="00C64B69" w:rsidRPr="00E761C9" w:rsidRDefault="00C64B69" w:rsidP="00123D23">
      <w:pPr>
        <w:pStyle w:val="Textbody"/>
        <w:spacing w:after="0"/>
        <w:rPr>
          <w:rFonts w:cs="Times New Roman"/>
          <w:b/>
        </w:rPr>
      </w:pPr>
    </w:p>
    <w:p w14:paraId="7A22DB73" w14:textId="112B2999" w:rsidR="00426B6F" w:rsidRPr="00E761C9" w:rsidRDefault="00C64B69" w:rsidP="00927803">
      <w:pPr>
        <w:pStyle w:val="Textbody"/>
        <w:spacing w:after="0" w:line="480" w:lineRule="auto"/>
        <w:rPr>
          <w:rFonts w:cs="Times New Roman"/>
        </w:rPr>
      </w:pPr>
      <w:r w:rsidRPr="00E761C9">
        <w:rPr>
          <w:rFonts w:cs="Times New Roman"/>
        </w:rPr>
        <w:tab/>
      </w:r>
      <w:r w:rsidR="00F140A1" w:rsidRPr="00E761C9">
        <w:rPr>
          <w:rFonts w:cs="Times New Roman"/>
        </w:rPr>
        <w:t xml:space="preserve">International achievement studies increasingly influence education policy, thus </w:t>
      </w:r>
      <w:r w:rsidR="00F0066C" w:rsidRPr="00E761C9">
        <w:rPr>
          <w:rFonts w:cs="Times New Roman"/>
        </w:rPr>
        <w:t xml:space="preserve">giving further </w:t>
      </w:r>
      <w:r w:rsidR="00F140A1" w:rsidRPr="00E761C9">
        <w:rPr>
          <w:rFonts w:cs="Times New Roman"/>
        </w:rPr>
        <w:t xml:space="preserve">impetus </w:t>
      </w:r>
      <w:r w:rsidR="00F0066C" w:rsidRPr="00E761C9">
        <w:rPr>
          <w:rFonts w:cs="Times New Roman"/>
        </w:rPr>
        <w:t>to</w:t>
      </w:r>
      <w:r w:rsidR="00F140A1" w:rsidRPr="00E761C9">
        <w:rPr>
          <w:rFonts w:cs="Times New Roman"/>
        </w:rPr>
        <w:t xml:space="preserve"> the borrowing of education policy across national borders. </w:t>
      </w:r>
      <w:r w:rsidR="00927803" w:rsidRPr="00E761C9">
        <w:rPr>
          <w:rFonts w:cs="Times New Roman"/>
        </w:rPr>
        <w:t>The Programme for International Student Assessment (PISA)</w:t>
      </w:r>
      <w:r w:rsidR="003B1ADB" w:rsidRPr="00E761C9">
        <w:rPr>
          <w:rFonts w:cs="Times New Roman"/>
        </w:rPr>
        <w:t>, administered by the Organisation for Economic Co</w:t>
      </w:r>
      <w:r w:rsidR="002F7085">
        <w:rPr>
          <w:rFonts w:cs="Times New Roman"/>
        </w:rPr>
        <w:t>-</w:t>
      </w:r>
      <w:r w:rsidR="003B1ADB" w:rsidRPr="00E761C9">
        <w:rPr>
          <w:rFonts w:cs="Times New Roman"/>
        </w:rPr>
        <w:t>o</w:t>
      </w:r>
      <w:r w:rsidR="009E4035">
        <w:rPr>
          <w:rFonts w:cs="Times New Roman"/>
        </w:rPr>
        <w:t>peration and Development (OECD)</w:t>
      </w:r>
      <w:r w:rsidR="006567A3" w:rsidRPr="00E761C9">
        <w:rPr>
          <w:rFonts w:cs="Times New Roman"/>
        </w:rPr>
        <w:t xml:space="preserve">, </w:t>
      </w:r>
      <w:r w:rsidR="00D758D6" w:rsidRPr="00E761C9">
        <w:rPr>
          <w:rFonts w:cs="Times New Roman"/>
        </w:rPr>
        <w:t xml:space="preserve">has gathered much attention </w:t>
      </w:r>
      <w:r w:rsidR="00F0066C" w:rsidRPr="00E761C9">
        <w:rPr>
          <w:rFonts w:cs="Times New Roman"/>
        </w:rPr>
        <w:t xml:space="preserve">since its </w:t>
      </w:r>
      <w:r w:rsidR="00D57E4F" w:rsidRPr="00E761C9">
        <w:rPr>
          <w:rFonts w:cs="Times New Roman"/>
        </w:rPr>
        <w:t xml:space="preserve">first survey </w:t>
      </w:r>
      <w:r w:rsidR="00F0066C" w:rsidRPr="00E761C9">
        <w:rPr>
          <w:rFonts w:cs="Times New Roman"/>
        </w:rPr>
        <w:t xml:space="preserve">in 2000 </w:t>
      </w:r>
      <w:r w:rsidR="00D758D6" w:rsidRPr="00E761C9">
        <w:rPr>
          <w:rFonts w:cs="Times New Roman"/>
        </w:rPr>
        <w:t xml:space="preserve">and has provided politicians and policy makers </w:t>
      </w:r>
      <w:r w:rsidR="00426B6F" w:rsidRPr="00E761C9">
        <w:rPr>
          <w:rFonts w:cs="Times New Roman"/>
        </w:rPr>
        <w:t xml:space="preserve">with </w:t>
      </w:r>
      <w:r w:rsidR="00D758D6" w:rsidRPr="00E761C9">
        <w:rPr>
          <w:rFonts w:cs="Times New Roman"/>
        </w:rPr>
        <w:t xml:space="preserve">concrete examples </w:t>
      </w:r>
      <w:r w:rsidR="00CE5968" w:rsidRPr="00E761C9">
        <w:rPr>
          <w:rFonts w:cs="Times New Roman"/>
        </w:rPr>
        <w:t xml:space="preserve">of </w:t>
      </w:r>
      <w:r w:rsidR="00D758D6" w:rsidRPr="00E761C9">
        <w:rPr>
          <w:rFonts w:cs="Times New Roman"/>
        </w:rPr>
        <w:t xml:space="preserve">and benchmarks for education policy change.  Finland’s high scores in </w:t>
      </w:r>
      <w:r w:rsidR="00E761C9" w:rsidRPr="00E761C9">
        <w:rPr>
          <w:rFonts w:cs="Times New Roman"/>
        </w:rPr>
        <w:t xml:space="preserve">the </w:t>
      </w:r>
      <w:r w:rsidR="00D758D6" w:rsidRPr="00E761C9">
        <w:rPr>
          <w:rFonts w:cs="Times New Roman"/>
        </w:rPr>
        <w:t xml:space="preserve">PISA </w:t>
      </w:r>
      <w:r w:rsidR="00E761C9" w:rsidRPr="00E761C9">
        <w:rPr>
          <w:rFonts w:cs="Times New Roman"/>
        </w:rPr>
        <w:t xml:space="preserve">assessment </w:t>
      </w:r>
      <w:r w:rsidR="00012A18">
        <w:rPr>
          <w:rFonts w:cs="Times New Roman"/>
        </w:rPr>
        <w:t>(OECD 2010; OECD 201</w:t>
      </w:r>
      <w:r w:rsidR="00236B38">
        <w:rPr>
          <w:rFonts w:cs="Times New Roman"/>
        </w:rPr>
        <w:t>4</w:t>
      </w:r>
      <w:r w:rsidR="00012A18">
        <w:rPr>
          <w:rFonts w:cs="Times New Roman"/>
        </w:rPr>
        <w:t xml:space="preserve">) </w:t>
      </w:r>
      <w:r w:rsidR="007577FD" w:rsidRPr="000B54F7">
        <w:rPr>
          <w:rFonts w:cs="Times New Roman"/>
        </w:rPr>
        <w:t>have</w:t>
      </w:r>
      <w:r w:rsidR="00D758D6" w:rsidRPr="00E761C9">
        <w:rPr>
          <w:rFonts w:cs="Times New Roman"/>
        </w:rPr>
        <w:t xml:space="preserve"> drawn worldwide attention to </w:t>
      </w:r>
      <w:r w:rsidR="008D6326" w:rsidRPr="00E761C9">
        <w:rPr>
          <w:rFonts w:cs="Times New Roman"/>
        </w:rPr>
        <w:t>the</w:t>
      </w:r>
      <w:r w:rsidR="00D758D6" w:rsidRPr="00E761C9">
        <w:rPr>
          <w:rFonts w:cs="Times New Roman"/>
        </w:rPr>
        <w:t xml:space="preserve"> country’s education system.  </w:t>
      </w:r>
    </w:p>
    <w:p w14:paraId="2649B22E" w14:textId="77777777" w:rsidR="00B13EDF" w:rsidRPr="00EA24B1" w:rsidRDefault="00D36DDE" w:rsidP="00AF0F54">
      <w:pPr>
        <w:spacing w:line="480" w:lineRule="auto"/>
        <w:ind w:firstLine="709"/>
        <w:rPr>
          <w:rFonts w:ascii="Times New Roman" w:hAnsi="Times New Roman"/>
        </w:rPr>
      </w:pPr>
      <w:r w:rsidRPr="00EA24B1">
        <w:rPr>
          <w:rFonts w:ascii="Times New Roman" w:hAnsi="Times New Roman" w:cs="Times New Roman"/>
        </w:rPr>
        <w:t xml:space="preserve">Research attributes much of Finnish PISA success to the high quality of Finnish teachers and the rigour of Finnish teacher education (e.g. Chung 2009).  </w:t>
      </w:r>
      <w:r w:rsidRPr="00EA24B1">
        <w:rPr>
          <w:rFonts w:ascii="Times New Roman" w:hAnsi="Times New Roman"/>
        </w:rPr>
        <w:t>Teaching has proved an extremely popular profession in the country</w:t>
      </w:r>
      <w:r w:rsidR="00C17B2D" w:rsidRPr="00655D0C">
        <w:rPr>
          <w:rFonts w:ascii="Times New Roman" w:hAnsi="Times New Roman" w:cs="Times New Roman"/>
        </w:rPr>
        <w:t xml:space="preserve">, and </w:t>
      </w:r>
      <w:r w:rsidR="00426B6F" w:rsidRPr="00655D0C">
        <w:rPr>
          <w:rFonts w:ascii="Times New Roman" w:hAnsi="Times New Roman" w:cs="Times New Roman"/>
        </w:rPr>
        <w:t xml:space="preserve">all </w:t>
      </w:r>
      <w:r w:rsidR="00E60853" w:rsidRPr="00655D0C">
        <w:rPr>
          <w:rFonts w:ascii="Times New Roman" w:hAnsi="Times New Roman" w:cs="Times New Roman"/>
        </w:rPr>
        <w:t xml:space="preserve">qualified teachers undergo a </w:t>
      </w:r>
      <w:r w:rsidRPr="00EA24B1">
        <w:rPr>
          <w:rFonts w:ascii="Times New Roman" w:hAnsi="Times New Roman" w:cs="Times New Roman"/>
        </w:rPr>
        <w:t xml:space="preserve">demanding </w:t>
      </w:r>
      <w:r w:rsidR="00E60853" w:rsidRPr="00655D0C">
        <w:rPr>
          <w:rFonts w:ascii="Times New Roman" w:hAnsi="Times New Roman" w:cs="Times New Roman"/>
        </w:rPr>
        <w:t>admissions proc</w:t>
      </w:r>
      <w:r w:rsidR="00A67440" w:rsidRPr="00655D0C">
        <w:rPr>
          <w:rFonts w:ascii="Times New Roman" w:hAnsi="Times New Roman" w:cs="Times New Roman"/>
        </w:rPr>
        <w:t xml:space="preserve">ess and </w:t>
      </w:r>
      <w:r w:rsidR="00F0066C" w:rsidRPr="00655D0C">
        <w:rPr>
          <w:rFonts w:ascii="Times New Roman" w:hAnsi="Times New Roman" w:cs="Times New Roman"/>
        </w:rPr>
        <w:t xml:space="preserve">study for </w:t>
      </w:r>
      <w:r w:rsidR="00A67440" w:rsidRPr="00655D0C">
        <w:rPr>
          <w:rFonts w:ascii="Times New Roman" w:hAnsi="Times New Roman" w:cs="Times New Roman"/>
        </w:rPr>
        <w:t>a Master’s degree.</w:t>
      </w:r>
      <w:r w:rsidRPr="00EA24B1">
        <w:rPr>
          <w:rFonts w:ascii="Times New Roman" w:hAnsi="Times New Roman" w:cs="Times New Roman"/>
        </w:rPr>
        <w:t xml:space="preserve">  Typical admissions rates to teacher education programmes hover around 10% of the applicant pool (e.g. Chung 2009; Raiker 2011; Tirri 2014, 602),</w:t>
      </w:r>
      <w:r w:rsidR="002F7085">
        <w:rPr>
          <w:rFonts w:ascii="Times New Roman" w:hAnsi="Times New Roman" w:cs="Times New Roman"/>
        </w:rPr>
        <w:t xml:space="preserve"> </w:t>
      </w:r>
      <w:r w:rsidRPr="00EA24B1">
        <w:rPr>
          <w:rFonts w:ascii="Times New Roman" w:hAnsi="Times New Roman" w:cs="Times New Roman"/>
        </w:rPr>
        <w:t>which means that it is easier to earn admission to a law or medicine programme at the University of Helsinki than a primary teacher education course (Tirri 2014).  Those admitted to the classroom teaching or primary education programme face selection based on their academic achievement and their “communication and social skills” (Tirri 2014, 602).   Academic achievement is based on upper-secondary school grades and a book test -</w:t>
      </w:r>
      <w:r w:rsidR="00EA24B1">
        <w:rPr>
          <w:rFonts w:ascii="Times New Roman" w:hAnsi="Times New Roman" w:cs="Times New Roman"/>
        </w:rPr>
        <w:t xml:space="preserve"> </w:t>
      </w:r>
      <w:r w:rsidRPr="00EA24B1">
        <w:rPr>
          <w:rFonts w:ascii="Times New Roman" w:hAnsi="Times New Roman" w:cs="Times New Roman"/>
        </w:rPr>
        <w:t xml:space="preserve">applicants are given a book to read, usually based on educational theory, and undertake a test based on this book.  The applicants also undergo </w:t>
      </w:r>
      <w:r w:rsidRPr="00EA24B1">
        <w:rPr>
          <w:rFonts w:ascii="Times New Roman" w:hAnsi="Times New Roman"/>
        </w:rPr>
        <w:t>an interview, as well as a teaching exercise based on group interaction (Chung 2009), in order to determine their “communication and social skills”.</w:t>
      </w:r>
    </w:p>
    <w:p w14:paraId="74455BA9" w14:textId="11BBFEB6" w:rsidR="00A67440" w:rsidRPr="00E761C9" w:rsidRDefault="00D36DDE" w:rsidP="00AF0F54">
      <w:pPr>
        <w:spacing w:line="480" w:lineRule="auto"/>
        <w:ind w:firstLine="709"/>
        <w:rPr>
          <w:rFonts w:ascii="Times New Roman" w:hAnsi="Times New Roman"/>
          <w:color w:val="0000FF"/>
        </w:rPr>
      </w:pPr>
      <w:r w:rsidRPr="00EA24B1">
        <w:rPr>
          <w:rFonts w:ascii="Times New Roman" w:hAnsi="Times New Roman"/>
        </w:rPr>
        <w:lastRenderedPageBreak/>
        <w:t xml:space="preserve">While both academic literature and the mass media have illuminated the high quality of Finnish teacher education and thus, Finnish teachers, they overlook the effort made by the Finns to achieve this quality.  “The long march of teachers from despised and underprivileged civil servants to the core of the academic elite has been more glorious and successful in Finnish society than in most other countries in the world” (Kivinen and Rinne 1994, 521).  As far back as the 1860s, the establishment of teacher training seminaries went hand in hand with the quest to improve education provision nationwide (Uusiautti and Määtä 2013, 4).  Many of the early teaching candidates came from peasant backgrounds, and became teachers who were some of the most important people in their communities (Tirri 2014, 601).  </w:t>
      </w:r>
      <w:r w:rsidR="004718BD">
        <w:rPr>
          <w:rFonts w:ascii="Times New Roman" w:hAnsi="Times New Roman"/>
          <w:color w:val="0000FF"/>
        </w:rPr>
        <w:t xml:space="preserve">The </w:t>
      </w:r>
      <w:r w:rsidR="007B64A8">
        <w:rPr>
          <w:rFonts w:ascii="Times New Roman" w:hAnsi="Times New Roman"/>
          <w:color w:val="0000FF"/>
        </w:rPr>
        <w:t>“</w:t>
      </w:r>
      <w:r w:rsidR="004718BD">
        <w:rPr>
          <w:rFonts w:ascii="Times New Roman" w:hAnsi="Times New Roman"/>
          <w:color w:val="0000FF"/>
        </w:rPr>
        <w:t>Teacher Education Act of 1971</w:t>
      </w:r>
      <w:r w:rsidR="007B64A8">
        <w:rPr>
          <w:rFonts w:ascii="Times New Roman" w:hAnsi="Times New Roman"/>
          <w:color w:val="0000FF"/>
        </w:rPr>
        <w:t>” (e.g. Silander and Välijärvi 2013, 79; Välijärvi</w:t>
      </w:r>
      <w:r w:rsidR="00CB01F4">
        <w:rPr>
          <w:rFonts w:ascii="Times New Roman" w:hAnsi="Times New Roman"/>
          <w:color w:val="0000FF"/>
        </w:rPr>
        <w:t xml:space="preserve"> and Heikkinen 2012,</w:t>
      </w:r>
      <w:r w:rsidR="009E4035">
        <w:rPr>
          <w:rFonts w:ascii="Times New Roman" w:hAnsi="Times New Roman"/>
          <w:color w:val="0000FF"/>
        </w:rPr>
        <w:t xml:space="preserve"> 33</w:t>
      </w:r>
      <w:r w:rsidR="007B64A8">
        <w:rPr>
          <w:rFonts w:ascii="Times New Roman" w:hAnsi="Times New Roman"/>
          <w:color w:val="0000FF"/>
        </w:rPr>
        <w:t>)</w:t>
      </w:r>
      <w:r w:rsidR="004718BD">
        <w:rPr>
          <w:rFonts w:ascii="Times New Roman" w:hAnsi="Times New Roman"/>
          <w:color w:val="0000FF"/>
        </w:rPr>
        <w:t xml:space="preserve"> </w:t>
      </w:r>
      <w:r w:rsidRPr="007B64A8">
        <w:rPr>
          <w:rFonts w:ascii="Times New Roman" w:hAnsi="Times New Roman"/>
        </w:rPr>
        <w:t>moved all teacher preparation to universities, and increased the time studying to four, and ultimately five years, culminating in a Master’s degree (Tirri 2014; Uusiautti and Määtä 2013; Sahlberg 2007).  This helped “academize” (Begrem et al. 1997, 434; Uusiautti and Määtä 2013, 5) the teaching profession and commit to a strong foundation in education for both the profession as a whole and the teachers individually (Uusiautti and Määtä 201</w:t>
      </w:r>
      <w:r w:rsidR="00AB588D">
        <w:rPr>
          <w:rFonts w:ascii="Times New Roman" w:hAnsi="Times New Roman"/>
        </w:rPr>
        <w:t>3</w:t>
      </w:r>
      <w:r w:rsidRPr="007B64A8">
        <w:rPr>
          <w:rFonts w:ascii="Times New Roman" w:hAnsi="Times New Roman"/>
        </w:rPr>
        <w:t>; Tirri 2014).   “Today the success of the professionalization strategy can also be seen in the comparatively high status of teachers, and in the huge numbers of undergraduates wanting to launch their career as teachers” (Begrem et al. 1997, 434).  In addition to the efforts to make teaching an academic, research-based profession, the furthering of the already high levels of education for teachers is underway.  Tirri (2014, 605) cites the efforts created to make doctoral education available to all teachers.   This illustrates the considerable commitment from Finnish policy makers to establish teaching as a rigorously research-based, academic profession.</w:t>
      </w:r>
      <w:r w:rsidR="00470357" w:rsidRPr="00E761C9">
        <w:rPr>
          <w:rFonts w:ascii="Times New Roman" w:hAnsi="Times New Roman"/>
          <w:color w:val="0000FF"/>
        </w:rPr>
        <w:t xml:space="preserve">  </w:t>
      </w:r>
    </w:p>
    <w:p w14:paraId="23DA5124" w14:textId="77777777" w:rsidR="009163C6" w:rsidRPr="00E761C9" w:rsidRDefault="009163C6" w:rsidP="00AF0F54">
      <w:pPr>
        <w:spacing w:line="480" w:lineRule="auto"/>
        <w:ind w:firstLine="709"/>
        <w:rPr>
          <w:rFonts w:ascii="Times New Roman" w:hAnsi="Times New Roman"/>
          <w:color w:val="0000FF"/>
        </w:rPr>
      </w:pPr>
    </w:p>
    <w:p w14:paraId="0967978A" w14:textId="77777777" w:rsidR="0075571F" w:rsidRPr="0071103B" w:rsidRDefault="00CD19F6" w:rsidP="0075571F">
      <w:pPr>
        <w:spacing w:line="480" w:lineRule="auto"/>
        <w:rPr>
          <w:rFonts w:ascii="Times New Roman" w:hAnsi="Times New Roman" w:cs="Times New Roman"/>
          <w:b/>
        </w:rPr>
      </w:pPr>
      <w:r>
        <w:rPr>
          <w:rFonts w:ascii="Times New Roman" w:hAnsi="Times New Roman"/>
          <w:b/>
        </w:rPr>
        <w:t>The current study</w:t>
      </w:r>
    </w:p>
    <w:p w14:paraId="662D4B38" w14:textId="77777777" w:rsidR="00086D63" w:rsidRPr="00CF0AA8" w:rsidRDefault="00E741CD" w:rsidP="00CF0AA8">
      <w:pPr>
        <w:pStyle w:val="Textbody"/>
        <w:spacing w:after="0" w:line="480" w:lineRule="auto"/>
        <w:ind w:firstLine="709"/>
        <w:rPr>
          <w:rFonts w:cs="Times New Roman"/>
        </w:rPr>
      </w:pPr>
      <w:r w:rsidRPr="00E761C9">
        <w:rPr>
          <w:rFonts w:cs="Times New Roman"/>
        </w:rPr>
        <w:t xml:space="preserve">Due </w:t>
      </w:r>
      <w:r w:rsidR="00B90014">
        <w:rPr>
          <w:rFonts w:cs="Times New Roman"/>
        </w:rPr>
        <w:t xml:space="preserve">in part </w:t>
      </w:r>
      <w:r w:rsidRPr="00E761C9">
        <w:rPr>
          <w:rFonts w:cs="Times New Roman"/>
        </w:rPr>
        <w:t xml:space="preserve">to the high </w:t>
      </w:r>
      <w:r w:rsidR="00706FE5" w:rsidRPr="00E761C9">
        <w:rPr>
          <w:rFonts w:cs="Times New Roman"/>
        </w:rPr>
        <w:t>quality of Finnish teachers, e</w:t>
      </w:r>
      <w:r w:rsidR="00F140A1" w:rsidRPr="00E761C9">
        <w:rPr>
          <w:rFonts w:cs="Times New Roman"/>
        </w:rPr>
        <w:t>ducation p</w:t>
      </w:r>
      <w:r w:rsidR="00D758D6" w:rsidRPr="00E761C9">
        <w:rPr>
          <w:rFonts w:cs="Times New Roman"/>
        </w:rPr>
        <w:t>olicy</w:t>
      </w:r>
      <w:r w:rsidR="00E27F2E" w:rsidRPr="00E761C9">
        <w:rPr>
          <w:rFonts w:cs="Times New Roman"/>
        </w:rPr>
        <w:t xml:space="preserve"> </w:t>
      </w:r>
      <w:r w:rsidR="00D758D6" w:rsidRPr="00E761C9">
        <w:rPr>
          <w:rFonts w:cs="Times New Roman"/>
        </w:rPr>
        <w:t xml:space="preserve">makers from around the world have looked to Finland has a model for education reform, and </w:t>
      </w:r>
      <w:r w:rsidR="00391CDC" w:rsidRPr="00E761C9">
        <w:rPr>
          <w:rFonts w:cs="Times New Roman"/>
        </w:rPr>
        <w:t>the United Kingdom</w:t>
      </w:r>
      <w:r w:rsidR="00D758D6" w:rsidRPr="00E761C9">
        <w:rPr>
          <w:rFonts w:cs="Times New Roman"/>
        </w:rPr>
        <w:t xml:space="preserve"> is no exception.  </w:t>
      </w:r>
      <w:r w:rsidR="00361A49" w:rsidRPr="00E761C9">
        <w:rPr>
          <w:rFonts w:cs="Times New Roman"/>
        </w:rPr>
        <w:t>This article explores two instances</w:t>
      </w:r>
      <w:r w:rsidR="006776DA" w:rsidRPr="00E761C9">
        <w:rPr>
          <w:rFonts w:cs="Times New Roman"/>
        </w:rPr>
        <w:t>, both initiated in 2010,</w:t>
      </w:r>
      <w:r w:rsidR="00361A49" w:rsidRPr="00E761C9">
        <w:rPr>
          <w:rFonts w:cs="Times New Roman"/>
        </w:rPr>
        <w:t xml:space="preserve"> where the </w:t>
      </w:r>
      <w:r w:rsidR="00426B6F" w:rsidRPr="00E761C9">
        <w:rPr>
          <w:rFonts w:cs="Times New Roman"/>
        </w:rPr>
        <w:t xml:space="preserve">UK </w:t>
      </w:r>
      <w:r w:rsidR="00361A49" w:rsidRPr="00E761C9">
        <w:rPr>
          <w:rFonts w:cs="Times New Roman"/>
        </w:rPr>
        <w:t>government used the Finnish teacher education model to provide inspiration, albeit uncritically, for education policy reform</w:t>
      </w:r>
      <w:r w:rsidR="00426B6F" w:rsidRPr="00E761C9">
        <w:rPr>
          <w:rFonts w:cs="Times New Roman"/>
        </w:rPr>
        <w:t xml:space="preserve"> in England</w:t>
      </w:r>
      <w:r w:rsidR="00CB1257" w:rsidRPr="00E761C9">
        <w:rPr>
          <w:rFonts w:cs="Times New Roman"/>
        </w:rPr>
        <w:t xml:space="preserve"> </w:t>
      </w:r>
      <w:r w:rsidR="006860CF" w:rsidRPr="00E761C9">
        <w:rPr>
          <w:rFonts w:cs="Times New Roman"/>
        </w:rPr>
        <w:t>(</w:t>
      </w:r>
      <w:r w:rsidR="00B90014">
        <w:rPr>
          <w:rFonts w:cs="Times New Roman"/>
        </w:rPr>
        <w:t>t</w:t>
      </w:r>
      <w:r w:rsidR="00B90014" w:rsidRPr="00E761C9">
        <w:rPr>
          <w:rFonts w:cs="Times New Roman"/>
        </w:rPr>
        <w:t xml:space="preserve">he </w:t>
      </w:r>
      <w:r w:rsidR="002F7085" w:rsidRPr="00E761C9">
        <w:rPr>
          <w:rFonts w:cs="Times New Roman"/>
        </w:rPr>
        <w:t>U</w:t>
      </w:r>
      <w:r w:rsidR="002F7085" w:rsidRPr="002F7085">
        <w:rPr>
          <w:rFonts w:cs="Times New Roman"/>
        </w:rPr>
        <w:t>K</w:t>
      </w:r>
      <w:r w:rsidR="002F7085">
        <w:rPr>
          <w:rFonts w:cs="Times New Roman"/>
        </w:rPr>
        <w:t xml:space="preserve"> government’s</w:t>
      </w:r>
      <w:r w:rsidR="002F7085" w:rsidRPr="00E761C9">
        <w:rPr>
          <w:rFonts w:cs="Times New Roman"/>
        </w:rPr>
        <w:t xml:space="preserve"> </w:t>
      </w:r>
      <w:r w:rsidR="00CB1257" w:rsidRPr="00E761C9">
        <w:rPr>
          <w:rFonts w:cs="Times New Roman"/>
        </w:rPr>
        <w:t xml:space="preserve">Department for Education </w:t>
      </w:r>
      <w:r w:rsidR="002F7085">
        <w:rPr>
          <w:rFonts w:cs="Times New Roman"/>
        </w:rPr>
        <w:t xml:space="preserve">is responsible </w:t>
      </w:r>
      <w:r w:rsidR="008179BB" w:rsidRPr="00E761C9">
        <w:rPr>
          <w:rFonts w:cs="Times New Roman"/>
        </w:rPr>
        <w:t>for</w:t>
      </w:r>
      <w:r w:rsidR="00CB1257" w:rsidRPr="00E761C9">
        <w:rPr>
          <w:rFonts w:cs="Times New Roman"/>
        </w:rPr>
        <w:t xml:space="preserve"> education in England</w:t>
      </w:r>
      <w:r w:rsidR="006860CF" w:rsidRPr="00E761C9">
        <w:rPr>
          <w:rFonts w:cs="Times New Roman"/>
        </w:rPr>
        <w:t>)</w:t>
      </w:r>
      <w:r w:rsidR="00B90014">
        <w:rPr>
          <w:rFonts w:cs="Times New Roman"/>
        </w:rPr>
        <w:t>.</w:t>
      </w:r>
      <w:r w:rsidR="006F6572" w:rsidRPr="00E761C9">
        <w:rPr>
          <w:rFonts w:cs="Times New Roman"/>
        </w:rPr>
        <w:t xml:space="preserve"> </w:t>
      </w:r>
      <w:r w:rsidR="00CB1257" w:rsidRPr="00E761C9">
        <w:rPr>
          <w:rFonts w:cs="Times New Roman"/>
        </w:rPr>
        <w:t xml:space="preserve"> </w:t>
      </w:r>
      <w:r w:rsidR="00B36323">
        <w:rPr>
          <w:rFonts w:cs="Times New Roman"/>
        </w:rPr>
        <w:t>Using documentary analysis, t</w:t>
      </w:r>
      <w:r w:rsidR="00B36323" w:rsidRPr="00E761C9">
        <w:rPr>
          <w:rFonts w:cs="Times New Roman"/>
        </w:rPr>
        <w:t xml:space="preserve">his </w:t>
      </w:r>
      <w:r w:rsidR="00970394" w:rsidRPr="00E761C9">
        <w:rPr>
          <w:rFonts w:cs="Times New Roman"/>
        </w:rPr>
        <w:t>article argues</w:t>
      </w:r>
      <w:r w:rsidR="00361A49" w:rsidRPr="00E761C9">
        <w:rPr>
          <w:rFonts w:cs="Times New Roman"/>
        </w:rPr>
        <w:t xml:space="preserve"> that both of these reforms misconstrued the underpinning philosophies and values that encompass Finnish teacher education, indicating that these policies were borrowed without full exploration into or understanding of </w:t>
      </w:r>
      <w:r w:rsidR="00F44328" w:rsidRPr="00E761C9">
        <w:rPr>
          <w:rFonts w:cs="Times New Roman"/>
        </w:rPr>
        <w:t>Finnish education</w:t>
      </w:r>
      <w:r w:rsidR="00361A49" w:rsidRPr="00E761C9">
        <w:rPr>
          <w:rFonts w:cs="Times New Roman"/>
        </w:rPr>
        <w:t xml:space="preserve"> ideologies.  </w:t>
      </w:r>
      <w:r w:rsidR="00B36323">
        <w:rPr>
          <w:rFonts w:cs="Times New Roman"/>
        </w:rPr>
        <w:t xml:space="preserve">The paper also considers some </w:t>
      </w:r>
      <w:r w:rsidR="00B90014">
        <w:rPr>
          <w:rFonts w:cs="Times New Roman"/>
        </w:rPr>
        <w:t xml:space="preserve">further </w:t>
      </w:r>
      <w:r w:rsidR="00B36323">
        <w:rPr>
          <w:rFonts w:cs="Times New Roman"/>
        </w:rPr>
        <w:t>examples of educational policy borrowing from other international settings.</w:t>
      </w:r>
    </w:p>
    <w:p w14:paraId="72AB851F" w14:textId="77777777" w:rsidR="00803327" w:rsidRPr="00CF0AA8" w:rsidRDefault="00D36DDE" w:rsidP="00086D63">
      <w:pPr>
        <w:pStyle w:val="BodyTextIndent2"/>
        <w:ind w:firstLine="0"/>
        <w:rPr>
          <w:b/>
        </w:rPr>
      </w:pPr>
      <w:r w:rsidRPr="00CF0AA8">
        <w:rPr>
          <w:b/>
        </w:rPr>
        <w:t>Methodology</w:t>
      </w:r>
    </w:p>
    <w:p w14:paraId="391EF80A" w14:textId="77777777" w:rsidR="00803327" w:rsidRPr="00E761C9" w:rsidRDefault="00803327" w:rsidP="00EE2CBD">
      <w:pPr>
        <w:pStyle w:val="BodyTextIndent2"/>
      </w:pPr>
      <w:r w:rsidRPr="00E761C9">
        <w:t>This comparativist analysis of education policy borrowing implements documentary analysis in order to support the arguments presented. The importance of documents as a foundation for comparative education research remains undisputed</w:t>
      </w:r>
      <w:r w:rsidR="00EE2CBD">
        <w:t>:</w:t>
      </w:r>
      <w:r w:rsidR="00EE2CBD" w:rsidRPr="00E761C9">
        <w:t xml:space="preserve">  </w:t>
      </w:r>
      <w:r w:rsidRPr="00E761C9">
        <w:t xml:space="preserve">“All comparative students must begin by extensive reading” (Bereday 1964, 11).  </w:t>
      </w:r>
      <w:r>
        <w:t>W</w:t>
      </w:r>
      <w:r w:rsidRPr="00E761C9">
        <w:t xml:space="preserve">hile documentary analysis is somewhat unusual in education and the social sciences (McCulloch 2011, 248), it is well justified here with the analysis of government documents in order to draw conclusions </w:t>
      </w:r>
      <w:r w:rsidR="00BB2DF8">
        <w:t>about</w:t>
      </w:r>
      <w:r w:rsidR="00BB2DF8" w:rsidRPr="00E761C9">
        <w:t xml:space="preserve"> </w:t>
      </w:r>
      <w:r w:rsidRPr="00E761C9">
        <w:t xml:space="preserve">the “use and abuse” (Noah 1984, 550) of foreign </w:t>
      </w:r>
      <w:r w:rsidR="00BB2DF8">
        <w:t>models</w:t>
      </w:r>
      <w:r w:rsidR="00BB2DF8" w:rsidRPr="00E761C9">
        <w:t xml:space="preserve"> </w:t>
      </w:r>
      <w:r w:rsidRPr="00E761C9">
        <w:t xml:space="preserve">in education policy formation.   Document analysis, although often overlooked, is just as valid as a method of data collection as, for example, interviews and questionnaires and forms its own field of research (Owen 2014, 10). </w:t>
      </w:r>
      <w:r w:rsidR="00071C5E">
        <w:t xml:space="preserve"> </w:t>
      </w:r>
      <w:r w:rsidRPr="00E761C9">
        <w:lastRenderedPageBreak/>
        <w:t xml:space="preserve">Furthermore, the relationship between production, consumption, and content of documents also deserves analysis and inspection (Owen 2014, 10; Prior 2003, 26).  </w:t>
      </w:r>
    </w:p>
    <w:p w14:paraId="741E622F" w14:textId="6F81727E" w:rsidR="00803327" w:rsidRPr="00864481" w:rsidRDefault="00803327" w:rsidP="005D704C">
      <w:pPr>
        <w:pStyle w:val="BodyTextIndent2"/>
        <w:rPr>
          <w:color w:val="0000FF"/>
        </w:rPr>
      </w:pPr>
      <w:r>
        <w:t>P</w:t>
      </w:r>
      <w:r w:rsidRPr="00E761C9">
        <w:t>apers appropriate for documentary analysis range from primary to secondary sources, and public, private, and personal documents (Mogalakwe 2006, 223).  Documents specifically analysed for this paper are what Mogalakwe (2006, 223) would classify as public documents</w:t>
      </w:r>
      <w:r>
        <w:t xml:space="preserve">. The particular documents that are the focus of attention in this paper are </w:t>
      </w:r>
      <w:r w:rsidR="00E079C8" w:rsidRPr="00E079C8">
        <w:rPr>
          <w:i/>
          <w:color w:val="0000FF"/>
        </w:rPr>
        <w:t>The Importance of Teaching</w:t>
      </w:r>
      <w:r w:rsidR="00E079C8">
        <w:rPr>
          <w:color w:val="0000FF"/>
        </w:rPr>
        <w:t xml:space="preserve">, </w:t>
      </w:r>
      <w:r>
        <w:t>the UK government’s Schools White Paper (2010)</w:t>
      </w:r>
      <w:r w:rsidR="00CD7790">
        <w:t>,</w:t>
      </w:r>
      <w:r>
        <w:t xml:space="preserve"> and </w:t>
      </w:r>
      <w:r w:rsidRPr="00154B9F">
        <w:rPr>
          <w:i/>
        </w:rPr>
        <w:t>The Master’s in Teaching and Learning Participant Handbook</w:t>
      </w:r>
      <w:r w:rsidR="00CF04A0">
        <w:t>,</w:t>
      </w:r>
      <w:r>
        <w:rPr>
          <w:i/>
        </w:rPr>
        <w:t xml:space="preserve"> </w:t>
      </w:r>
      <w:r w:rsidR="00BC6DD9">
        <w:t xml:space="preserve">produced by the </w:t>
      </w:r>
      <w:r w:rsidR="00BC6DD9" w:rsidRPr="00737D36">
        <w:t xml:space="preserve">Training and Development Agency for Schools </w:t>
      </w:r>
      <w:r>
        <w:t>(TDA, 2010).</w:t>
      </w:r>
      <w:r w:rsidRPr="00E761C9">
        <w:t xml:space="preserve"> </w:t>
      </w:r>
      <w:r w:rsidR="00E079C8">
        <w:rPr>
          <w:color w:val="0000FF"/>
        </w:rPr>
        <w:t xml:space="preserve">In addition to this, </w:t>
      </w:r>
      <w:r w:rsidR="00E079C8" w:rsidRPr="00E079C8">
        <w:rPr>
          <w:i/>
          <w:color w:val="0000FF"/>
        </w:rPr>
        <w:t>The Children’s Plan: Building Brighter Futures</w:t>
      </w:r>
      <w:r w:rsidR="00E079C8">
        <w:rPr>
          <w:color w:val="0000FF"/>
        </w:rPr>
        <w:t xml:space="preserve"> (DCSF, 2007), </w:t>
      </w:r>
      <w:r w:rsidR="005D704C" w:rsidRPr="005D704C">
        <w:rPr>
          <w:i/>
          <w:color w:val="0000FF"/>
        </w:rPr>
        <w:t>Being the Best for Our Children: Releasing Talent for Teaching and Learning</w:t>
      </w:r>
      <w:r w:rsidR="005D704C">
        <w:rPr>
          <w:color w:val="0000FF"/>
        </w:rPr>
        <w:t xml:space="preserve"> (DCSF, 2008),</w:t>
      </w:r>
      <w:r w:rsidR="00B763BB">
        <w:rPr>
          <w:color w:val="0000FF"/>
        </w:rPr>
        <w:t xml:space="preserve"> and</w:t>
      </w:r>
      <w:r w:rsidR="005D704C">
        <w:rPr>
          <w:color w:val="0000FF"/>
        </w:rPr>
        <w:t xml:space="preserve"> </w:t>
      </w:r>
      <w:r w:rsidR="00864481" w:rsidRPr="00864481">
        <w:rPr>
          <w:i/>
          <w:color w:val="0000FF"/>
        </w:rPr>
        <w:t>Training our Next Generation of Outstanding Teachers</w:t>
      </w:r>
      <w:r w:rsidR="000E6D93">
        <w:rPr>
          <w:i/>
          <w:color w:val="0000FF"/>
        </w:rPr>
        <w:t>: Implementation Plan</w:t>
      </w:r>
      <w:r w:rsidR="00864481">
        <w:rPr>
          <w:i/>
          <w:color w:val="0000FF"/>
        </w:rPr>
        <w:t xml:space="preserve"> </w:t>
      </w:r>
      <w:r w:rsidR="00864481" w:rsidRPr="00864481">
        <w:rPr>
          <w:color w:val="0000FF"/>
        </w:rPr>
        <w:t>(DfE, 2011)</w:t>
      </w:r>
      <w:r w:rsidR="000E6D93">
        <w:rPr>
          <w:color w:val="0000FF"/>
        </w:rPr>
        <w:t xml:space="preserve"> were all consulted to provide a broader range of government documents in reference to the MTL and the University Training Schools</w:t>
      </w:r>
      <w:r w:rsidR="00D8709B">
        <w:rPr>
          <w:color w:val="0000FF"/>
        </w:rPr>
        <w:t xml:space="preserve">. </w:t>
      </w:r>
    </w:p>
    <w:p w14:paraId="4CA99B03" w14:textId="77777777" w:rsidR="00803327" w:rsidRPr="00E761C9" w:rsidRDefault="00803327" w:rsidP="00803327">
      <w:pPr>
        <w:pStyle w:val="BodyTextIndent2"/>
      </w:pPr>
      <w:r w:rsidRPr="00E761C9">
        <w:t xml:space="preserve">Government policy documents are well suited towards educational documentary analysis.  They </w:t>
      </w:r>
      <w:r w:rsidR="00CD7790">
        <w:t>can</w:t>
      </w:r>
      <w:r w:rsidR="00CD7790" w:rsidRPr="00E761C9">
        <w:t xml:space="preserve"> </w:t>
      </w:r>
      <w:r w:rsidRPr="00E761C9">
        <w:t xml:space="preserve">reveal “the assumptions that underlie policy reforms,” their ideologies, and policy agendas (McCulloch 2011, 250).  A careful analysis of education documents needs to take into account the context, such as the “social, political, economic and other relationships” that frame the document’s era (McCulloch 2011, 253) as well as country of origin.  Exploring the document’s authorship, audience, and policy impact helps gauge the context and purpose of its publication (McCulloch 2011, 253).  Fittingly, the role of a country’s context, whether societal, political, cultural, or historical, plays a strong role in both comparative education (e.g. Phillips and Schweisfurth 2006) and with documentary </w:t>
      </w:r>
      <w:r w:rsidRPr="00E761C9">
        <w:lastRenderedPageBreak/>
        <w:t xml:space="preserve">research within comparative education.  Similarly, Owen (2014, 10) and Prior (2003, 60) also suggest that an institution’s documents provide insight into its identity.  </w:t>
      </w:r>
    </w:p>
    <w:p w14:paraId="21AC9856" w14:textId="77777777" w:rsidR="00803327" w:rsidRPr="00901D8F" w:rsidRDefault="00D36DDE" w:rsidP="00803327">
      <w:pPr>
        <w:pStyle w:val="Title"/>
        <w:spacing w:line="480" w:lineRule="auto"/>
        <w:ind w:firstLine="720"/>
        <w:jc w:val="left"/>
        <w:rPr>
          <w:rFonts w:ascii="Times New Roman" w:hAnsi="Times New Roman"/>
          <w:b w:val="0"/>
          <w:i w:val="0"/>
          <w:sz w:val="24"/>
          <w:szCs w:val="24"/>
          <w:u w:val="none"/>
        </w:rPr>
      </w:pPr>
      <w:r w:rsidRPr="00901D8F">
        <w:rPr>
          <w:rFonts w:ascii="Times New Roman" w:hAnsi="Times New Roman"/>
          <w:b w:val="0"/>
          <w:i w:val="0"/>
          <w:sz w:val="24"/>
          <w:szCs w:val="24"/>
          <w:u w:val="none"/>
        </w:rPr>
        <w:t xml:space="preserve">All researchers carry a “position” when carrying out research (Cohen et al. 2007); </w:t>
      </w:r>
      <w:r w:rsidRPr="00901D8F">
        <w:rPr>
          <w:b w:val="0"/>
          <w:i w:val="0"/>
          <w:sz w:val="24"/>
          <w:szCs w:val="24"/>
          <w:u w:val="none"/>
        </w:rPr>
        <w:t>bias</w:t>
      </w:r>
      <w:r w:rsidRPr="00901D8F">
        <w:rPr>
          <w:rFonts w:ascii="Times New Roman" w:hAnsi="Times New Roman"/>
          <w:b w:val="0"/>
          <w:i w:val="0"/>
          <w:sz w:val="24"/>
          <w:szCs w:val="24"/>
          <w:u w:val="none"/>
        </w:rPr>
        <w:t xml:space="preserve"> can colour comparative education research. Bereday (1964, 159) refers to cultural bias as “the plague of comparative methodology”.  Therefore, he suggests that comparative education researchers remain on the “outside,” so to speak, while observing cultures.  As an “outsider,” my understanding of the situation could be more limited than an “insider,” a Finn or a Briton, but an outside position allows for more objectivity (Cohen et al. 2007).  </w:t>
      </w:r>
      <w:r w:rsidR="00CD7790">
        <w:rPr>
          <w:rFonts w:ascii="Times New Roman" w:hAnsi="Times New Roman"/>
          <w:b w:val="0"/>
          <w:i w:val="0"/>
          <w:sz w:val="24"/>
          <w:szCs w:val="24"/>
          <w:u w:val="none"/>
        </w:rPr>
        <w:t>As I was</w:t>
      </w:r>
      <w:r w:rsidRPr="00901D8F">
        <w:rPr>
          <w:rFonts w:ascii="Times New Roman" w:hAnsi="Times New Roman"/>
          <w:b w:val="0"/>
          <w:i w:val="0"/>
          <w:sz w:val="24"/>
          <w:szCs w:val="24"/>
          <w:u w:val="none"/>
        </w:rPr>
        <w:t xml:space="preserve"> born outside both Finland and Britain, the research carried out brings forth issues of my own limitations and bias, whether to cast an unnecessarily positive or negative light on the policies of either country.  I would cast myself as a </w:t>
      </w:r>
      <w:r w:rsidRPr="00901D8F">
        <w:rPr>
          <w:b w:val="0"/>
          <w:i w:val="0"/>
          <w:sz w:val="24"/>
          <w:szCs w:val="24"/>
          <w:u w:val="none"/>
        </w:rPr>
        <w:t>“familiar outsider,” a term coined by Wagner (2006, 303), as a resident of the United Kingdom and a frequent visitor to Finland for research and language study.  According to Cohen et al. (2007), this allows for more objectivity than an “insider.”  In addition, Bereday</w:t>
      </w:r>
      <w:r w:rsidRPr="00901D8F">
        <w:rPr>
          <w:rFonts w:ascii="Times New Roman" w:hAnsi="Times New Roman"/>
          <w:b w:val="0"/>
          <w:i w:val="0"/>
          <w:sz w:val="24"/>
          <w:szCs w:val="24"/>
          <w:u w:val="none"/>
        </w:rPr>
        <w:t xml:space="preserve"> (1964) believed travel to the countries involved in comparative study helps reduce bias in comparative research. My extensive experience as a researcher in Finland and my residence in the United Kingdom allow me, as Bereday suggested, an expansive knowledge of both countries, reducing bias and allowing for viable research.  </w:t>
      </w:r>
    </w:p>
    <w:p w14:paraId="755CD156" w14:textId="2FC30CE2" w:rsidR="00803327" w:rsidRPr="00E761C9" w:rsidRDefault="00D36DDE" w:rsidP="00803327">
      <w:pPr>
        <w:pStyle w:val="Title"/>
        <w:spacing w:line="480" w:lineRule="auto"/>
        <w:ind w:firstLine="720"/>
        <w:jc w:val="left"/>
        <w:rPr>
          <w:rFonts w:ascii="Times New Roman" w:hAnsi="Times New Roman"/>
          <w:b w:val="0"/>
          <w:i w:val="0"/>
          <w:color w:val="0000FF"/>
          <w:sz w:val="24"/>
          <w:szCs w:val="24"/>
          <w:u w:val="none"/>
        </w:rPr>
      </w:pPr>
      <w:r w:rsidRPr="00D5359C">
        <w:rPr>
          <w:b w:val="0"/>
          <w:i w:val="0"/>
          <w:sz w:val="24"/>
          <w:szCs w:val="24"/>
          <w:u w:val="none"/>
        </w:rPr>
        <w:t>Bereday (1964</w:t>
      </w:r>
      <w:r w:rsidR="00DC6B93">
        <w:rPr>
          <w:b w:val="0"/>
          <w:i w:val="0"/>
          <w:sz w:val="24"/>
          <w:szCs w:val="24"/>
          <w:u w:val="none"/>
        </w:rPr>
        <w:t>, 163</w:t>
      </w:r>
      <w:r w:rsidRPr="00D5359C">
        <w:rPr>
          <w:b w:val="0"/>
          <w:i w:val="0"/>
          <w:sz w:val="24"/>
          <w:szCs w:val="24"/>
          <w:u w:val="none"/>
        </w:rPr>
        <w:t>), in his discussion of bias in interpretation, addresses, much like Sadler</w:t>
      </w:r>
      <w:r w:rsidR="00D5359C">
        <w:rPr>
          <w:b w:val="0"/>
          <w:i w:val="0"/>
          <w:sz w:val="24"/>
          <w:szCs w:val="24"/>
          <w:u w:val="none"/>
        </w:rPr>
        <w:t xml:space="preserve"> (Higginson, 1979, 49)</w:t>
      </w:r>
      <w:r w:rsidRPr="00D5359C">
        <w:rPr>
          <w:b w:val="0"/>
          <w:i w:val="0"/>
          <w:sz w:val="24"/>
          <w:szCs w:val="24"/>
          <w:u w:val="none"/>
        </w:rPr>
        <w:t xml:space="preserve">, the close relationship between education systems and society.  Therefore, a researcher in comparative education must understand the history, society, economy, and culture of a country in reference to its education system and the data collected about it.  Bereday implies that a researcher would most likely apply their own country’s ideologies to another, which would </w:t>
      </w:r>
      <w:r w:rsidRPr="00D5359C">
        <w:rPr>
          <w:b w:val="0"/>
          <w:i w:val="0"/>
          <w:sz w:val="24"/>
          <w:szCs w:val="24"/>
          <w:u w:val="none"/>
        </w:rPr>
        <w:lastRenderedPageBreak/>
        <w:t>ultimately colour and bias the interpretation of the research.  Bereday (1964, 159) lists four stages that comparative researchers must successfully achieve: the most accurate and unbiased collection, application, juxtaposition, and comparison of educational information.  Thus, this article tackled the analysis of the documents in this manner.</w:t>
      </w:r>
      <w:r w:rsidR="00803327" w:rsidRPr="00E761C9">
        <w:rPr>
          <w:b w:val="0"/>
          <w:i w:val="0"/>
          <w:color w:val="0000FF"/>
          <w:sz w:val="24"/>
          <w:szCs w:val="24"/>
          <w:u w:val="none"/>
        </w:rPr>
        <w:t xml:space="preserve"> </w:t>
      </w:r>
    </w:p>
    <w:p w14:paraId="04D7D5FE" w14:textId="77777777" w:rsidR="00B36323" w:rsidRDefault="00880455" w:rsidP="002A662B">
      <w:pPr>
        <w:pStyle w:val="BodyTextIndent2"/>
      </w:pPr>
      <w:r>
        <w:t>T</w:t>
      </w:r>
      <w:r w:rsidR="00803327" w:rsidRPr="00E761C9">
        <w:t xml:space="preserve">he “ultimate purpose of examining documents is to arrive at an understanding of the meaning and significance the document contains” (Mogalakwe 2006, 227).  Documents can have literal and interpretative meanings.  While the literal information from the </w:t>
      </w:r>
      <w:r>
        <w:t xml:space="preserve">Schools </w:t>
      </w:r>
      <w:r w:rsidR="00803327" w:rsidRPr="00E761C9">
        <w:t>White Paper</w:t>
      </w:r>
      <w:r>
        <w:t xml:space="preserve"> (2010)</w:t>
      </w:r>
      <w:r w:rsidR="00803327" w:rsidRPr="00E761C9">
        <w:t xml:space="preserve"> and the MTL </w:t>
      </w:r>
      <w:r w:rsidR="00CD7790" w:rsidRPr="00E761C9">
        <w:t>document</w:t>
      </w:r>
      <w:r w:rsidR="00CD7790">
        <w:t>ation is</w:t>
      </w:r>
      <w:r w:rsidR="00803327" w:rsidRPr="00E761C9">
        <w:t xml:space="preserve"> quite clear, this article aims to uncover the interpretative meanings conveyed with these documents.  </w:t>
      </w:r>
    </w:p>
    <w:p w14:paraId="67392D97" w14:textId="77777777" w:rsidR="00CD19F6" w:rsidRPr="00154B9F" w:rsidRDefault="00CD19F6" w:rsidP="00CD19F6">
      <w:pPr>
        <w:spacing w:line="480" w:lineRule="auto"/>
        <w:rPr>
          <w:rFonts w:ascii="Times New Roman" w:hAnsi="Times New Roman" w:cs="Times New Roman"/>
          <w:b/>
        </w:rPr>
      </w:pPr>
      <w:r w:rsidRPr="00154B9F">
        <w:rPr>
          <w:rFonts w:ascii="Times New Roman" w:hAnsi="Times New Roman"/>
          <w:b/>
        </w:rPr>
        <w:t xml:space="preserve">England’s Attraction to Finnish Teacher Education Policy </w:t>
      </w:r>
    </w:p>
    <w:p w14:paraId="1796DC2A" w14:textId="492E9C36" w:rsidR="005F709A" w:rsidRPr="00E761C9" w:rsidRDefault="00C22C35" w:rsidP="00AF0F54">
      <w:pPr>
        <w:pStyle w:val="Textbody"/>
        <w:spacing w:after="0" w:line="480" w:lineRule="auto"/>
        <w:ind w:firstLine="709"/>
        <w:rPr>
          <w:rFonts w:cs="Times New Roman"/>
        </w:rPr>
      </w:pPr>
      <w:r>
        <w:rPr>
          <w:rFonts w:cs="Times New Roman"/>
        </w:rPr>
        <w:t>P</w:t>
      </w:r>
      <w:r w:rsidR="00774E90">
        <w:rPr>
          <w:rFonts w:cs="Times New Roman"/>
        </w:rPr>
        <w:t xml:space="preserve">olicy </w:t>
      </w:r>
      <w:r>
        <w:rPr>
          <w:rFonts w:cs="Times New Roman"/>
        </w:rPr>
        <w:t>makers in the UK</w:t>
      </w:r>
      <w:r w:rsidR="007577FD" w:rsidRPr="00E761C9">
        <w:rPr>
          <w:rFonts w:cs="Times New Roman"/>
        </w:rPr>
        <w:t xml:space="preserve"> used the Finnish example to initiate reform</w:t>
      </w:r>
      <w:r w:rsidR="00CE300E" w:rsidRPr="00E761C9">
        <w:rPr>
          <w:rFonts w:cs="Times New Roman"/>
        </w:rPr>
        <w:t>s</w:t>
      </w:r>
      <w:r w:rsidR="007577FD" w:rsidRPr="00E761C9">
        <w:rPr>
          <w:rFonts w:cs="Times New Roman"/>
        </w:rPr>
        <w:t xml:space="preserve"> </w:t>
      </w:r>
      <w:r w:rsidR="00CE300E" w:rsidRPr="00E761C9">
        <w:rPr>
          <w:rFonts w:cs="Times New Roman"/>
        </w:rPr>
        <w:t>to</w:t>
      </w:r>
      <w:r w:rsidR="007577FD" w:rsidRPr="00E761C9">
        <w:rPr>
          <w:rFonts w:cs="Times New Roman"/>
        </w:rPr>
        <w:t xml:space="preserve"> teacher preparation, in the form of </w:t>
      </w:r>
      <w:r w:rsidR="00426B6F" w:rsidRPr="00E761C9">
        <w:rPr>
          <w:rFonts w:cs="Times New Roman"/>
        </w:rPr>
        <w:t xml:space="preserve">a qualification called </w:t>
      </w:r>
      <w:r w:rsidR="007577FD" w:rsidRPr="00E761C9">
        <w:rPr>
          <w:rFonts w:cs="Times New Roman"/>
        </w:rPr>
        <w:t>the Master</w:t>
      </w:r>
      <w:r>
        <w:rPr>
          <w:rFonts w:cs="Times New Roman"/>
        </w:rPr>
        <w:t>’</w:t>
      </w:r>
      <w:r w:rsidR="007577FD" w:rsidRPr="00E761C9">
        <w:rPr>
          <w:rFonts w:cs="Times New Roman"/>
        </w:rPr>
        <w:t xml:space="preserve">s </w:t>
      </w:r>
      <w:r w:rsidR="00DB79C1" w:rsidRPr="00E761C9">
        <w:rPr>
          <w:rFonts w:cs="Times New Roman"/>
        </w:rPr>
        <w:t xml:space="preserve">in </w:t>
      </w:r>
      <w:r w:rsidR="007577FD" w:rsidRPr="00E761C9">
        <w:rPr>
          <w:rFonts w:cs="Times New Roman"/>
        </w:rPr>
        <w:t xml:space="preserve">Teaching and Learning (MTL), and </w:t>
      </w:r>
      <w:r w:rsidR="00CD7790">
        <w:rPr>
          <w:rFonts w:cs="Times New Roman"/>
        </w:rPr>
        <w:t xml:space="preserve">in </w:t>
      </w:r>
      <w:r w:rsidR="007577FD" w:rsidRPr="00E761C9">
        <w:rPr>
          <w:rFonts w:cs="Times New Roman"/>
        </w:rPr>
        <w:t>the University Training Schools</w:t>
      </w:r>
      <w:r w:rsidR="00DB79C1" w:rsidRPr="00E761C9">
        <w:rPr>
          <w:rFonts w:cs="Times New Roman"/>
        </w:rPr>
        <w:t xml:space="preserve">. </w:t>
      </w:r>
      <w:r w:rsidR="003F32E0" w:rsidRPr="00E761C9">
        <w:rPr>
          <w:rFonts w:cs="Times New Roman"/>
        </w:rPr>
        <w:t>The Training School</w:t>
      </w:r>
      <w:r w:rsidR="00DB79C1" w:rsidRPr="00E761C9">
        <w:rPr>
          <w:rFonts w:cs="Times New Roman"/>
        </w:rPr>
        <w:t xml:space="preserve"> reforms were </w:t>
      </w:r>
      <w:r w:rsidR="007577FD" w:rsidRPr="00E761C9">
        <w:rPr>
          <w:rFonts w:cs="Times New Roman"/>
        </w:rPr>
        <w:t>outlined in the</w:t>
      </w:r>
      <w:r w:rsidR="00DB79C1" w:rsidRPr="00E761C9">
        <w:rPr>
          <w:rFonts w:cs="Times New Roman"/>
        </w:rPr>
        <w:t xml:space="preserve"> </w:t>
      </w:r>
      <w:r>
        <w:rPr>
          <w:rFonts w:cs="Times New Roman"/>
        </w:rPr>
        <w:t xml:space="preserve">UK </w:t>
      </w:r>
      <w:r w:rsidR="00DB79C1" w:rsidRPr="00E761C9">
        <w:rPr>
          <w:rFonts w:cs="Times New Roman"/>
        </w:rPr>
        <w:t>government’s</w:t>
      </w:r>
      <w:r w:rsidR="007577FD" w:rsidRPr="00E761C9">
        <w:rPr>
          <w:rFonts w:cs="Times New Roman"/>
        </w:rPr>
        <w:t xml:space="preserve"> 2010 </w:t>
      </w:r>
      <w:r>
        <w:rPr>
          <w:rFonts w:cs="Times New Roman"/>
        </w:rPr>
        <w:t xml:space="preserve">Schools </w:t>
      </w:r>
      <w:r w:rsidR="007577FD" w:rsidRPr="00E761C9">
        <w:rPr>
          <w:rFonts w:cs="Times New Roman"/>
        </w:rPr>
        <w:t xml:space="preserve">White Paper, </w:t>
      </w:r>
      <w:r w:rsidR="007577FD" w:rsidRPr="00E761C9">
        <w:rPr>
          <w:rFonts w:cs="Times New Roman"/>
          <w:i/>
        </w:rPr>
        <w:t>The Importance of Teachin</w:t>
      </w:r>
      <w:r w:rsidR="00A440B3" w:rsidRPr="00E761C9">
        <w:rPr>
          <w:rFonts w:cs="Times New Roman"/>
          <w:i/>
        </w:rPr>
        <w:t>g</w:t>
      </w:r>
      <w:r w:rsidR="00FA2AB8">
        <w:rPr>
          <w:rFonts w:cs="Times New Roman"/>
          <w:i/>
        </w:rPr>
        <w:t xml:space="preserve"> </w:t>
      </w:r>
      <w:r w:rsidR="00FA2AB8">
        <w:rPr>
          <w:rFonts w:cs="Times New Roman"/>
        </w:rPr>
        <w:t>(DfE, 2010)</w:t>
      </w:r>
      <w:r w:rsidR="007577FD" w:rsidRPr="00E761C9">
        <w:rPr>
          <w:rFonts w:cs="Times New Roman"/>
        </w:rPr>
        <w:t xml:space="preserve">. </w:t>
      </w:r>
      <w:r w:rsidR="00986676" w:rsidRPr="00E761C9">
        <w:rPr>
          <w:rFonts w:cs="Times New Roman"/>
        </w:rPr>
        <w:t xml:space="preserve">This </w:t>
      </w:r>
      <w:r w:rsidR="00F816EF" w:rsidRPr="00E761C9">
        <w:rPr>
          <w:rFonts w:cs="Times New Roman"/>
        </w:rPr>
        <w:t>article</w:t>
      </w:r>
      <w:r w:rsidR="00DB79C1" w:rsidRPr="00E761C9">
        <w:rPr>
          <w:rFonts w:cs="Times New Roman"/>
        </w:rPr>
        <w:t xml:space="preserve"> argue</w:t>
      </w:r>
      <w:r w:rsidR="00986676" w:rsidRPr="00E761C9">
        <w:rPr>
          <w:rFonts w:cs="Times New Roman"/>
        </w:rPr>
        <w:t>s</w:t>
      </w:r>
      <w:r w:rsidR="00DB79C1" w:rsidRPr="00E761C9">
        <w:rPr>
          <w:rFonts w:cs="Times New Roman"/>
        </w:rPr>
        <w:t xml:space="preserve"> that</w:t>
      </w:r>
      <w:r w:rsidR="00986676" w:rsidRPr="00E761C9">
        <w:rPr>
          <w:rFonts w:cs="Times New Roman"/>
        </w:rPr>
        <w:t xml:space="preserve"> UK policy makers used</w:t>
      </w:r>
      <w:r w:rsidR="00DB79C1" w:rsidRPr="00E761C9">
        <w:rPr>
          <w:rFonts w:cs="Times New Roman"/>
        </w:rPr>
        <w:t xml:space="preserve"> both </w:t>
      </w:r>
      <w:r w:rsidR="007E2546" w:rsidRPr="00E761C9">
        <w:rPr>
          <w:rFonts w:cs="Times New Roman"/>
        </w:rPr>
        <w:t xml:space="preserve">the PISA data and the example </w:t>
      </w:r>
      <w:r w:rsidR="00986676" w:rsidRPr="00E761C9">
        <w:rPr>
          <w:rFonts w:cs="Times New Roman"/>
        </w:rPr>
        <w:t>of Finland</w:t>
      </w:r>
      <w:r w:rsidR="007E2546" w:rsidRPr="00E761C9">
        <w:rPr>
          <w:rFonts w:cs="Times New Roman"/>
        </w:rPr>
        <w:t xml:space="preserve"> </w:t>
      </w:r>
      <w:r w:rsidR="00986676" w:rsidRPr="00E761C9">
        <w:rPr>
          <w:rFonts w:cs="Times New Roman"/>
        </w:rPr>
        <w:t xml:space="preserve">not </w:t>
      </w:r>
      <w:r w:rsidR="007E2546" w:rsidRPr="00E761C9">
        <w:rPr>
          <w:rFonts w:cs="Times New Roman"/>
        </w:rPr>
        <w:t>as evidence-based policy making but</w:t>
      </w:r>
      <w:r w:rsidR="008179BB" w:rsidRPr="00E761C9">
        <w:rPr>
          <w:rFonts w:cs="Times New Roman"/>
        </w:rPr>
        <w:t>,</w:t>
      </w:r>
      <w:r w:rsidR="007E2546" w:rsidRPr="00E761C9">
        <w:rPr>
          <w:rFonts w:cs="Times New Roman"/>
        </w:rPr>
        <w:t xml:space="preserve"> </w:t>
      </w:r>
      <w:r w:rsidR="00DB79C1" w:rsidRPr="00E761C9">
        <w:rPr>
          <w:rFonts w:cs="Times New Roman"/>
        </w:rPr>
        <w:t>rather</w:t>
      </w:r>
      <w:r w:rsidR="008179BB" w:rsidRPr="00E761C9">
        <w:rPr>
          <w:rFonts w:cs="Times New Roman"/>
        </w:rPr>
        <w:t>,</w:t>
      </w:r>
      <w:r w:rsidR="00DB79C1" w:rsidRPr="00E761C9">
        <w:rPr>
          <w:rFonts w:cs="Times New Roman"/>
        </w:rPr>
        <w:t xml:space="preserve"> </w:t>
      </w:r>
      <w:r w:rsidR="00DE37EB" w:rsidRPr="00E761C9">
        <w:rPr>
          <w:rFonts w:cs="Times New Roman"/>
        </w:rPr>
        <w:t xml:space="preserve">as </w:t>
      </w:r>
      <w:r w:rsidR="00E10180" w:rsidRPr="00E761C9">
        <w:rPr>
          <w:rFonts w:cs="Times New Roman"/>
        </w:rPr>
        <w:t>“policy-based evidence making”</w:t>
      </w:r>
      <w:r w:rsidR="000040D8" w:rsidRPr="00E761C9">
        <w:rPr>
          <w:rFonts w:cs="Times New Roman"/>
        </w:rPr>
        <w:t xml:space="preserve"> (Yore et al. 2010, 597)</w:t>
      </w:r>
      <w:r w:rsidR="00C559C8" w:rsidRPr="00E761C9">
        <w:rPr>
          <w:rFonts w:cs="Times New Roman"/>
        </w:rPr>
        <w:t>.</w:t>
      </w:r>
      <w:r w:rsidR="005F709A" w:rsidRPr="00E761C9">
        <w:rPr>
          <w:rFonts w:cs="Times New Roman"/>
        </w:rPr>
        <w:t xml:space="preserve"> </w:t>
      </w:r>
    </w:p>
    <w:p w14:paraId="1188F6BA" w14:textId="77777777" w:rsidR="00017583" w:rsidRPr="0095625C" w:rsidRDefault="003766FF" w:rsidP="0095625C">
      <w:pPr>
        <w:pStyle w:val="Textbody"/>
        <w:spacing w:after="0" w:line="480" w:lineRule="auto"/>
        <w:ind w:firstLine="720"/>
        <w:rPr>
          <w:rFonts w:cs="Times New Roman"/>
          <w:color w:val="0000FF"/>
        </w:rPr>
      </w:pPr>
      <w:r w:rsidRPr="00E761C9">
        <w:rPr>
          <w:rFonts w:cs="Times New Roman"/>
        </w:rPr>
        <w:t>As stated previously, i</w:t>
      </w:r>
      <w:r w:rsidR="00DB79C1" w:rsidRPr="00E761C9">
        <w:rPr>
          <w:rFonts w:cs="Times New Roman"/>
        </w:rPr>
        <w:t xml:space="preserve">t is widely held that </w:t>
      </w:r>
      <w:r w:rsidR="00054DB4" w:rsidRPr="00E761C9">
        <w:rPr>
          <w:rFonts w:cs="Times New Roman"/>
        </w:rPr>
        <w:t>the Finnish teacher education model holds much merit</w:t>
      </w:r>
      <w:r w:rsidRPr="00E761C9">
        <w:rPr>
          <w:rFonts w:cs="Times New Roman"/>
        </w:rPr>
        <w:t xml:space="preserve"> and informs education policy in other contexts</w:t>
      </w:r>
      <w:r w:rsidR="00DB79C1" w:rsidRPr="00E761C9">
        <w:rPr>
          <w:rFonts w:cs="Times New Roman"/>
        </w:rPr>
        <w:t xml:space="preserve">. However, it is </w:t>
      </w:r>
      <w:r w:rsidR="00C22C35">
        <w:rPr>
          <w:rFonts w:cs="Times New Roman"/>
        </w:rPr>
        <w:t>argued</w:t>
      </w:r>
      <w:r w:rsidR="00C22C35" w:rsidRPr="00C22C35">
        <w:rPr>
          <w:rFonts w:cs="Times New Roman"/>
        </w:rPr>
        <w:t xml:space="preserve"> </w:t>
      </w:r>
      <w:r w:rsidR="00DB79C1" w:rsidRPr="00C22C35">
        <w:rPr>
          <w:rFonts w:cs="Times New Roman"/>
        </w:rPr>
        <w:t xml:space="preserve">that </w:t>
      </w:r>
      <w:r w:rsidR="00C22C35">
        <w:rPr>
          <w:rFonts w:cs="Times New Roman"/>
        </w:rPr>
        <w:t xml:space="preserve">the </w:t>
      </w:r>
      <w:r w:rsidR="00DB79C1" w:rsidRPr="00C22C35">
        <w:rPr>
          <w:rFonts w:cs="Times New Roman"/>
        </w:rPr>
        <w:t>UK</w:t>
      </w:r>
      <w:r w:rsidR="00054DB4" w:rsidRPr="00C22C35">
        <w:rPr>
          <w:rFonts w:cs="Times New Roman"/>
        </w:rPr>
        <w:t xml:space="preserve"> policy</w:t>
      </w:r>
      <w:r w:rsidR="00C22C35">
        <w:rPr>
          <w:rFonts w:cs="Times New Roman"/>
        </w:rPr>
        <w:t xml:space="preserve"> reforms of teacher preparation in England</w:t>
      </w:r>
      <w:r w:rsidR="00054DB4" w:rsidRPr="00C22C35">
        <w:rPr>
          <w:rFonts w:cs="Times New Roman"/>
        </w:rPr>
        <w:t xml:space="preserve"> </w:t>
      </w:r>
      <w:r w:rsidR="00C22C35">
        <w:rPr>
          <w:rFonts w:cs="Times New Roman"/>
        </w:rPr>
        <w:t>did not take account of</w:t>
      </w:r>
      <w:r w:rsidR="00054DB4" w:rsidRPr="00C22C35">
        <w:rPr>
          <w:rFonts w:cs="Times New Roman"/>
        </w:rPr>
        <w:t xml:space="preserve"> t</w:t>
      </w:r>
      <w:r w:rsidR="008774C1" w:rsidRPr="00C22C35">
        <w:rPr>
          <w:rFonts w:cs="Times New Roman"/>
        </w:rPr>
        <w:t>he nuances of Finnish</w:t>
      </w:r>
      <w:r w:rsidR="008774C1" w:rsidRPr="00E761C9">
        <w:rPr>
          <w:rFonts w:cs="Times New Roman"/>
        </w:rPr>
        <w:t xml:space="preserve"> education</w:t>
      </w:r>
      <w:r w:rsidR="00DB79C1" w:rsidRPr="00E761C9">
        <w:rPr>
          <w:rFonts w:cs="Times New Roman"/>
        </w:rPr>
        <w:t xml:space="preserve">, although </w:t>
      </w:r>
      <w:r w:rsidR="00C22C35">
        <w:rPr>
          <w:rFonts w:cs="Times New Roman"/>
        </w:rPr>
        <w:t>it drew</w:t>
      </w:r>
      <w:r w:rsidR="00DB79C1" w:rsidRPr="00E761C9">
        <w:rPr>
          <w:rFonts w:cs="Times New Roman"/>
        </w:rPr>
        <w:t xml:space="preserve"> upon the Finnish model in </w:t>
      </w:r>
      <w:r w:rsidR="00C22C35">
        <w:rPr>
          <w:rFonts w:cs="Times New Roman"/>
        </w:rPr>
        <w:t xml:space="preserve">the </w:t>
      </w:r>
      <w:r w:rsidR="00DB79C1" w:rsidRPr="00E761C9">
        <w:rPr>
          <w:rFonts w:cs="Times New Roman"/>
        </w:rPr>
        <w:t>proposals</w:t>
      </w:r>
      <w:r w:rsidR="00C22C35">
        <w:rPr>
          <w:rFonts w:cs="Times New Roman"/>
        </w:rPr>
        <w:t>.</w:t>
      </w:r>
      <w:r w:rsidR="00DB79C1" w:rsidRPr="00E761C9">
        <w:rPr>
          <w:rFonts w:cs="Times New Roman"/>
        </w:rPr>
        <w:t xml:space="preserve"> </w:t>
      </w:r>
      <w:r w:rsidR="0095625C">
        <w:rPr>
          <w:rFonts w:cs="Times New Roman"/>
          <w:color w:val="0000FF"/>
        </w:rPr>
        <w:t xml:space="preserve"> </w:t>
      </w:r>
      <w:r w:rsidR="00D36DDE" w:rsidRPr="007A15F2">
        <w:rPr>
          <w:rFonts w:cs="Times New Roman"/>
        </w:rPr>
        <w:t>The attention paid to the Fi</w:t>
      </w:r>
      <w:r w:rsidR="00CC1E83">
        <w:rPr>
          <w:rFonts w:cs="Times New Roman"/>
        </w:rPr>
        <w:t>n</w:t>
      </w:r>
      <w:r w:rsidR="00D36DDE" w:rsidRPr="007A15F2">
        <w:rPr>
          <w:rFonts w:cs="Times New Roman"/>
        </w:rPr>
        <w:t xml:space="preserve">nish model of education in England’s policy reform also </w:t>
      </w:r>
      <w:r w:rsidR="00CC1E83">
        <w:rPr>
          <w:rFonts w:cs="Times New Roman"/>
        </w:rPr>
        <w:t>suggests</w:t>
      </w:r>
      <w:r w:rsidR="00D36DDE" w:rsidRPr="007A15F2">
        <w:rPr>
          <w:rFonts w:cs="Times New Roman"/>
        </w:rPr>
        <w:t xml:space="preserve"> the influence of international achievement studies such as PISA in education policy.  Both the MTL</w:t>
      </w:r>
      <w:r w:rsidR="006E2DE0">
        <w:rPr>
          <w:rFonts w:cs="Times New Roman"/>
        </w:rPr>
        <w:t>,</w:t>
      </w:r>
      <w:r w:rsidR="00D36DDE" w:rsidRPr="007A15F2">
        <w:rPr>
          <w:rFonts w:cs="Times New Roman"/>
        </w:rPr>
        <w:t xml:space="preserve"> and the University Training Schools </w:t>
      </w:r>
      <w:r w:rsidR="00D36DDE" w:rsidRPr="007A15F2">
        <w:rPr>
          <w:rFonts w:cs="Times New Roman"/>
        </w:rPr>
        <w:lastRenderedPageBreak/>
        <w:t>outlined in the 2010 White Paper</w:t>
      </w:r>
      <w:r w:rsidR="00017583" w:rsidRPr="00CC1E83">
        <w:rPr>
          <w:rFonts w:cs="Times New Roman"/>
        </w:rPr>
        <w:t xml:space="preserve"> </w:t>
      </w:r>
      <w:r w:rsidR="007A15F2">
        <w:rPr>
          <w:rFonts w:cs="Times New Roman"/>
        </w:rPr>
        <w:t>seem to be</w:t>
      </w:r>
      <w:r w:rsidR="00D36DDE" w:rsidRPr="007A15F2">
        <w:rPr>
          <w:rFonts w:cs="Times New Roman"/>
        </w:rPr>
        <w:t xml:space="preserve"> influenced by Finland’s strong performances in the PISA assessment.  </w:t>
      </w:r>
    </w:p>
    <w:p w14:paraId="4E6DEB47" w14:textId="77777777" w:rsidR="00832511" w:rsidRPr="00E761C9" w:rsidRDefault="00D36DDE" w:rsidP="0018159E">
      <w:pPr>
        <w:pStyle w:val="Textbody"/>
        <w:spacing w:after="0" w:line="480" w:lineRule="auto"/>
        <w:ind w:firstLine="720"/>
        <w:rPr>
          <w:rFonts w:cs="Times New Roman"/>
        </w:rPr>
      </w:pPr>
      <w:r w:rsidRPr="00720263">
        <w:rPr>
          <w:rFonts w:cs="Times New Roman"/>
        </w:rPr>
        <w:t>Frankham and Hiett (2011), for example, argue that the McKinsey report (Barber and Mourshed, 2007) influenced the creation of the MTL</w:t>
      </w:r>
      <w:r w:rsidR="003332B5">
        <w:rPr>
          <w:rFonts w:cs="Times New Roman"/>
        </w:rPr>
        <w:t>:</w:t>
      </w:r>
      <w:r w:rsidRPr="00720263">
        <w:rPr>
          <w:rFonts w:cs="Times New Roman"/>
        </w:rPr>
        <w:t xml:space="preserve"> Barber and Mourshed (2007) explicitly refer to the OECD and PISA (e.g., p</w:t>
      </w:r>
      <w:r w:rsidR="00720263">
        <w:rPr>
          <w:rFonts w:cs="Times New Roman"/>
        </w:rPr>
        <w:t xml:space="preserve"> </w:t>
      </w:r>
      <w:r w:rsidRPr="00720263">
        <w:rPr>
          <w:rFonts w:cs="Times New Roman"/>
        </w:rPr>
        <w:t>8) and Finland, specifically Finland’s teacher education (e.g., p 17).  However, w</w:t>
      </w:r>
      <w:r w:rsidRPr="00720263">
        <w:t>hile the MTL was created with the aim of aligning England with “top” performers in international achievement studies (Frankham and Hiett 201</w:t>
      </w:r>
      <w:r w:rsidR="00720263">
        <w:t xml:space="preserve">1, </w:t>
      </w:r>
      <w:r w:rsidR="003332B5">
        <w:t>805),</w:t>
      </w:r>
      <w:r w:rsidRPr="00720263">
        <w:t xml:space="preserve"> it stops short of specifically mentioning Finland as its model</w:t>
      </w:r>
      <w:r w:rsidR="004E5FB1" w:rsidRPr="00086D63">
        <w:rPr>
          <w:rFonts w:cs="Times New Roman"/>
        </w:rPr>
        <w:t xml:space="preserve">.  </w:t>
      </w:r>
      <w:r w:rsidR="00870F1B">
        <w:rPr>
          <w:rFonts w:cs="Times New Roman"/>
        </w:rPr>
        <w:t xml:space="preserve">The influence of Finland is, though, heavily implied.  </w:t>
      </w:r>
      <w:r w:rsidRPr="00720263">
        <w:rPr>
          <w:rFonts w:cs="Times New Roman"/>
        </w:rPr>
        <w:t xml:space="preserve">For example, </w:t>
      </w:r>
      <w:r w:rsidR="00870F1B">
        <w:rPr>
          <w:rFonts w:eastAsia="Times New Roman" w:cs="Times New Roman"/>
          <w:i/>
        </w:rPr>
        <w:t>The Master’s in Teaching and Learning Participant Handbook</w:t>
      </w:r>
      <w:r w:rsidR="00870F1B">
        <w:rPr>
          <w:rFonts w:cs="Times New Roman"/>
        </w:rPr>
        <w:t xml:space="preserve">  describes the intention for the MTL to be “a key lever for schools in England, helping to further raise the status of the teaching profession, and align us with the highest performing education systems in the world” (TDA 2010, 4</w:t>
      </w:r>
      <w:r w:rsidR="00D818DE" w:rsidRPr="00086D63">
        <w:rPr>
          <w:rFonts w:cs="Times New Roman"/>
        </w:rPr>
        <w:t>)</w:t>
      </w:r>
      <w:r w:rsidR="00870F1B">
        <w:rPr>
          <w:rFonts w:cs="Times New Roman"/>
        </w:rPr>
        <w:t>.  In contrast, the</w:t>
      </w:r>
      <w:r w:rsidR="00720263">
        <w:rPr>
          <w:rFonts w:cs="Times New Roman"/>
        </w:rPr>
        <w:t xml:space="preserve"> UK government’s </w:t>
      </w:r>
      <w:r w:rsidR="00870F1B">
        <w:rPr>
          <w:rFonts w:cs="Times New Roman"/>
        </w:rPr>
        <w:t>Schools White Paper (2010) clearly and explicitly</w:t>
      </w:r>
      <w:r w:rsidR="00054DB4" w:rsidRPr="00086D63">
        <w:rPr>
          <w:rFonts w:cs="Times New Roman"/>
        </w:rPr>
        <w:t xml:space="preserve"> </w:t>
      </w:r>
      <w:r w:rsidR="00870F1B">
        <w:rPr>
          <w:rFonts w:cs="Times New Roman"/>
        </w:rPr>
        <w:t>referenced Finland for teacher education reform</w:t>
      </w:r>
      <w:r w:rsidR="0095625C">
        <w:rPr>
          <w:rFonts w:cs="Times New Roman"/>
        </w:rPr>
        <w:t xml:space="preserve"> in England</w:t>
      </w:r>
      <w:r w:rsidR="00870F1B">
        <w:rPr>
          <w:rFonts w:cs="Times New Roman"/>
        </w:rPr>
        <w:t xml:space="preserve"> by highlighting the </w:t>
      </w:r>
      <w:r w:rsidR="00870F1B">
        <w:rPr>
          <w:rFonts w:cs="Times New Roman"/>
          <w:i/>
        </w:rPr>
        <w:t>normaalikoulu</w:t>
      </w:r>
      <w:r w:rsidR="00870F1B">
        <w:rPr>
          <w:rFonts w:cs="Times New Roman"/>
        </w:rPr>
        <w:t>, or the university-affiliated, teaching practice schools of Finland as an element for emulation (DfE 2010</w:t>
      </w:r>
      <w:r w:rsidR="00720263">
        <w:rPr>
          <w:rFonts w:cs="Times New Roman"/>
        </w:rPr>
        <w:t xml:space="preserve">, </w:t>
      </w:r>
      <w:r w:rsidR="00870F1B">
        <w:rPr>
          <w:rFonts w:cs="Times New Roman"/>
        </w:rPr>
        <w:t xml:space="preserve">25-26).  </w:t>
      </w:r>
      <w:r w:rsidR="00832511" w:rsidRPr="00E761C9">
        <w:rPr>
          <w:rFonts w:cs="Times New Roman"/>
        </w:rPr>
        <w:t>Accordingly</w:t>
      </w:r>
      <w:r w:rsidR="00BA63D5" w:rsidRPr="00E761C9">
        <w:rPr>
          <w:rFonts w:cs="Times New Roman"/>
        </w:rPr>
        <w:t xml:space="preserve">, the White Paper called for the implementation of University Training Schools </w:t>
      </w:r>
      <w:r w:rsidR="00F613C4" w:rsidRPr="00E761C9">
        <w:rPr>
          <w:rFonts w:cs="Times New Roman"/>
        </w:rPr>
        <w:t xml:space="preserve">to help </w:t>
      </w:r>
      <w:r w:rsidR="00BA63D5" w:rsidRPr="00E761C9">
        <w:rPr>
          <w:rFonts w:cs="Times New Roman"/>
        </w:rPr>
        <w:t xml:space="preserve">raise educational attainment.  </w:t>
      </w:r>
    </w:p>
    <w:p w14:paraId="69E7D4FD" w14:textId="77777777" w:rsidR="00CD19F6" w:rsidRPr="00B50000" w:rsidRDefault="00832511" w:rsidP="00B50000">
      <w:pPr>
        <w:pStyle w:val="Textbody"/>
        <w:spacing w:after="0" w:line="480" w:lineRule="auto"/>
        <w:ind w:firstLine="720"/>
        <w:rPr>
          <w:rFonts w:cs="Times New Roman"/>
          <w:color w:val="0000FF"/>
        </w:rPr>
      </w:pPr>
      <w:r w:rsidRPr="00086D63">
        <w:rPr>
          <w:rFonts w:cs="Times New Roman"/>
        </w:rPr>
        <w:t xml:space="preserve">However, despite </w:t>
      </w:r>
      <w:r w:rsidR="00870F1B">
        <w:rPr>
          <w:rFonts w:cs="Times New Roman"/>
        </w:rPr>
        <w:t xml:space="preserve">this use of Finland as a model, the underlying principles of Finnish teacher education are not evident in either of these educational reforms.  </w:t>
      </w:r>
      <w:r w:rsidR="00C90E78" w:rsidRPr="00086D63">
        <w:rPr>
          <w:rFonts w:cs="Times New Roman"/>
        </w:rPr>
        <w:t>In England, there has been an ongoing</w:t>
      </w:r>
      <w:r w:rsidR="00870F1B">
        <w:rPr>
          <w:rFonts w:cs="Times New Roman"/>
        </w:rPr>
        <w:t xml:space="preserve"> tendency to move</w:t>
      </w:r>
      <w:r w:rsidR="00D36DDE" w:rsidRPr="003332B5">
        <w:rPr>
          <w:rFonts w:cs="Times New Roman"/>
        </w:rPr>
        <w:t xml:space="preserve"> teacher preparation away from university settings and towards school settings </w:t>
      </w:r>
      <w:r w:rsidR="0095625C">
        <w:rPr>
          <w:rFonts w:cs="Times New Roman"/>
        </w:rPr>
        <w:t xml:space="preserve">in an evolving approach </w:t>
      </w:r>
      <w:r w:rsidR="00D36DDE" w:rsidRPr="003332B5">
        <w:rPr>
          <w:rFonts w:cs="Times New Roman"/>
        </w:rPr>
        <w:t>which pre-dates</w:t>
      </w:r>
      <w:r w:rsidR="0095625C">
        <w:rPr>
          <w:rFonts w:cs="Times New Roman"/>
        </w:rPr>
        <w:t xml:space="preserve"> </w:t>
      </w:r>
      <w:r w:rsidR="00D36DDE" w:rsidRPr="003332B5">
        <w:rPr>
          <w:rFonts w:cs="Times New Roman"/>
        </w:rPr>
        <w:t>the 2010 Schools</w:t>
      </w:r>
      <w:r w:rsidR="00086D63">
        <w:rPr>
          <w:rFonts w:cs="Times New Roman"/>
        </w:rPr>
        <w:t xml:space="preserve"> </w:t>
      </w:r>
      <w:r w:rsidR="00D36DDE" w:rsidRPr="003332B5">
        <w:rPr>
          <w:rFonts w:cs="Times New Roman"/>
        </w:rPr>
        <w:t>White Paper (DfE, 2010). For example, in the late twentieth century, teacher preparation moved from the university setting in order to create partnerships with schools (King 2004).</w:t>
      </w:r>
      <w:r w:rsidR="00D90D98" w:rsidRPr="00E761C9">
        <w:rPr>
          <w:rFonts w:cs="Times New Roman"/>
          <w:color w:val="0000FF"/>
        </w:rPr>
        <w:t xml:space="preserve"> </w:t>
      </w:r>
      <w:r w:rsidR="00F60A42">
        <w:rPr>
          <w:rFonts w:cs="Times New Roman"/>
          <w:color w:val="0000FF"/>
        </w:rPr>
        <w:t xml:space="preserve"> </w:t>
      </w:r>
      <w:r w:rsidR="0098505C">
        <w:rPr>
          <w:rFonts w:cs="Times New Roman"/>
          <w:color w:val="0000FF"/>
        </w:rPr>
        <w:t xml:space="preserve">Thus, it is argued that Finnish teacher </w:t>
      </w:r>
      <w:r w:rsidR="0098505C">
        <w:rPr>
          <w:rFonts w:cs="Times New Roman"/>
          <w:color w:val="0000FF"/>
        </w:rPr>
        <w:lastRenderedPageBreak/>
        <w:t xml:space="preserve">preparation is best described as </w:t>
      </w:r>
      <w:r w:rsidR="005E3B62">
        <w:rPr>
          <w:rFonts w:cs="Times New Roman"/>
          <w:color w:val="0000FF"/>
        </w:rPr>
        <w:t xml:space="preserve">an </w:t>
      </w:r>
      <w:r w:rsidR="0098505C">
        <w:rPr>
          <w:rFonts w:cs="Times New Roman"/>
          <w:color w:val="0000FF"/>
        </w:rPr>
        <w:t xml:space="preserve">education, </w:t>
      </w:r>
      <w:r w:rsidR="005E3B62">
        <w:rPr>
          <w:rFonts w:cs="Times New Roman"/>
          <w:color w:val="0000FF"/>
        </w:rPr>
        <w:t>while</w:t>
      </w:r>
      <w:r w:rsidR="0098505C">
        <w:rPr>
          <w:rFonts w:cs="Times New Roman"/>
          <w:color w:val="0000FF"/>
        </w:rPr>
        <w:t xml:space="preserve"> English teacher preparation is </w:t>
      </w:r>
      <w:r w:rsidR="005E3B62">
        <w:rPr>
          <w:rFonts w:cs="Times New Roman"/>
          <w:color w:val="0000FF"/>
        </w:rPr>
        <w:t>seen</w:t>
      </w:r>
      <w:r w:rsidR="0098505C">
        <w:rPr>
          <w:rFonts w:cs="Times New Roman"/>
          <w:color w:val="0000FF"/>
        </w:rPr>
        <w:t xml:space="preserve"> as training.  </w:t>
      </w:r>
      <w:r w:rsidR="00D36DDE" w:rsidRPr="00FC211C">
        <w:rPr>
          <w:rFonts w:cs="Times New Roman"/>
        </w:rPr>
        <w:t xml:space="preserve">Stevens, Tønnessen, and Kyriacou (2004) analyse the nuances of difference between teacher training </w:t>
      </w:r>
      <w:r w:rsidR="0095625C">
        <w:rPr>
          <w:rFonts w:cs="Times New Roman"/>
        </w:rPr>
        <w:t xml:space="preserve">on the one hand, </w:t>
      </w:r>
      <w:r w:rsidR="00D36DDE" w:rsidRPr="00FC211C">
        <w:rPr>
          <w:rFonts w:cs="Times New Roman"/>
        </w:rPr>
        <w:t>and teacher education</w:t>
      </w:r>
      <w:r w:rsidR="0095625C">
        <w:rPr>
          <w:rFonts w:cs="Times New Roman"/>
        </w:rPr>
        <w:t xml:space="preserve"> on the other</w:t>
      </w:r>
      <w:r w:rsidR="00D36DDE" w:rsidRPr="00FC211C">
        <w:rPr>
          <w:rFonts w:cs="Times New Roman"/>
        </w:rPr>
        <w:t>.  They relate the difference to “specialized training” versus “cultivation” and argue that England’s view of teacher preparation focuses on practical skills (2004, 110).</w:t>
      </w:r>
      <w:r w:rsidR="006719A6" w:rsidRPr="00E761C9">
        <w:rPr>
          <w:rFonts w:cs="Times New Roman"/>
          <w:color w:val="0000FF"/>
        </w:rPr>
        <w:t xml:space="preserve">  </w:t>
      </w:r>
      <w:r w:rsidR="004A1C5A" w:rsidRPr="00FD0607">
        <w:rPr>
          <w:rFonts w:cs="Times New Roman"/>
          <w:color w:val="0000FF"/>
        </w:rPr>
        <w:t xml:space="preserve">In contrast, Finns would view “[t]eaching is an art as well as a profession; it is an art because it is concerned with human values.  The good teacher transcends his curriculum and the methods taught him and becomes an artist” (Valentine 1938, </w:t>
      </w:r>
      <w:r w:rsidR="004A1C5A">
        <w:rPr>
          <w:rFonts w:cs="Times New Roman"/>
          <w:color w:val="0000FF"/>
        </w:rPr>
        <w:t xml:space="preserve">654). </w:t>
      </w:r>
    </w:p>
    <w:p w14:paraId="7DE2D1B6" w14:textId="77777777" w:rsidR="00CD19F6" w:rsidRPr="00E761C9" w:rsidRDefault="0095625C" w:rsidP="00CD19F6">
      <w:pPr>
        <w:pStyle w:val="BodyTextIndent2"/>
      </w:pPr>
      <w:r>
        <w:t>Clearly, t</w:t>
      </w:r>
      <w:r w:rsidRPr="00E761C9">
        <w:t xml:space="preserve">he </w:t>
      </w:r>
      <w:r w:rsidR="00CD19F6" w:rsidRPr="00E761C9">
        <w:t xml:space="preserve">disparity between the English and Finnish education systems did not begin with the UK government’s policy initiatives of 2010 described earlier in this paper; rather, they existed before that time.  </w:t>
      </w:r>
      <w:r w:rsidR="00CD19F6">
        <w:t>Taking a historical perspective allows us to see that t</w:t>
      </w:r>
      <w:r w:rsidR="00CD19F6" w:rsidRPr="00E761C9">
        <w:t>he Finns and the English differ greatly with their education policies and approaches to education. Their views differ on</w:t>
      </w:r>
      <w:r>
        <w:t xml:space="preserve"> a whole array of educational</w:t>
      </w:r>
      <w:r w:rsidR="00CD19F6" w:rsidRPr="00E761C9">
        <w:t xml:space="preserve"> issues </w:t>
      </w:r>
      <w:r>
        <w:t>including</w:t>
      </w:r>
      <w:r w:rsidR="00CD19F6" w:rsidRPr="00E761C9">
        <w:t xml:space="preserve"> a national curriculum, inspections, teaching practices, pedagogy, and testing (Webb et al. 1998; Webb et al. 2004; Webb et al. 2009; Webb and Vuilliamy 1999).  The diverse directions Finnish and English education have taken in the past few decades further illustrate the immensely disparate “ecosystems” (Kemmis and Heikkinen 2012, 157) in which the two education systems operate.  </w:t>
      </w:r>
    </w:p>
    <w:p w14:paraId="0194313A" w14:textId="77777777" w:rsidR="00CD19F6" w:rsidRPr="00E761C9" w:rsidRDefault="00CD19F6" w:rsidP="0095625C">
      <w:pPr>
        <w:pStyle w:val="Textbody"/>
        <w:spacing w:after="0" w:line="480" w:lineRule="auto"/>
        <w:ind w:firstLine="720"/>
        <w:rPr>
          <w:rFonts w:cs="Times New Roman"/>
        </w:rPr>
      </w:pPr>
      <w:r w:rsidRPr="00E761C9">
        <w:rPr>
          <w:rFonts w:cs="Times New Roman"/>
        </w:rPr>
        <w:t xml:space="preserve">While the White Paper proposed implementing teaching practice schools in England, </w:t>
      </w:r>
      <w:r w:rsidR="002B2790">
        <w:rPr>
          <w:rFonts w:cs="Times New Roman"/>
        </w:rPr>
        <w:t>it has been argued</w:t>
      </w:r>
      <w:r w:rsidRPr="00E761C9">
        <w:rPr>
          <w:rFonts w:cs="Times New Roman"/>
        </w:rPr>
        <w:t xml:space="preserve"> that the wider aims of the Paper undermine the Finnish teacher education model.  </w:t>
      </w:r>
      <w:r w:rsidR="00D36DDE" w:rsidRPr="00CF08BA">
        <w:rPr>
          <w:rFonts w:cs="Arial"/>
          <w:shd w:val="clear" w:color="auto" w:fill="FFFFFF"/>
        </w:rPr>
        <w:t>It is possible that this stems from a shift of viewing teacher preparation from education to training in England, illustrated by the replacement of the Council for the Accreditation of Teacher Education (CATE) by the Teacher Training Agency (TTA) in 1994 (Chung et al. 2012; Ostinelli 2009).</w:t>
      </w:r>
      <w:r w:rsidRPr="00086D63">
        <w:rPr>
          <w:rFonts w:cs="Arial"/>
          <w:shd w:val="clear" w:color="auto" w:fill="FFFFFF"/>
        </w:rPr>
        <w:t xml:space="preserve">  </w:t>
      </w:r>
      <w:r w:rsidR="008D0A73">
        <w:rPr>
          <w:rFonts w:cs="Arial"/>
          <w:shd w:val="clear" w:color="auto" w:fill="FFFFFF"/>
        </w:rPr>
        <w:t>Further, it should be noted that w</w:t>
      </w:r>
      <w:r w:rsidRPr="00086D63">
        <w:rPr>
          <w:rFonts w:cs="Times New Roman"/>
        </w:rPr>
        <w:t xml:space="preserve">hile it upholds the Finnish model of teacher education (but </w:t>
      </w:r>
      <w:r w:rsidRPr="00086D63">
        <w:rPr>
          <w:rFonts w:cs="Times New Roman"/>
        </w:rPr>
        <w:lastRenderedPageBreak/>
        <w:t xml:space="preserve">ignoring its university-based nature), the White Paper advocates the increase of school-based pathways into teaching, rather than strengthening the university’s role in preparing England’s future teachers.  Interestingly, there is only one path to becoming a qualified teacher in Finland, but as many as </w:t>
      </w:r>
      <w:r w:rsidR="00D36DDE" w:rsidRPr="00CF08BA">
        <w:rPr>
          <w:rFonts w:cs="Times New Roman"/>
        </w:rPr>
        <w:t>36</w:t>
      </w:r>
      <w:r w:rsidRPr="00086D63">
        <w:rPr>
          <w:rFonts w:cs="Times New Roman"/>
        </w:rPr>
        <w:t xml:space="preserve"> in</w:t>
      </w:r>
      <w:r w:rsidR="00D36DDE" w:rsidRPr="00CF08BA">
        <w:rPr>
          <w:rFonts w:cs="Times New Roman"/>
        </w:rPr>
        <w:t xml:space="preserve"> England (Furlong 2008</w:t>
      </w:r>
      <w:r w:rsidRPr="00086D63">
        <w:rPr>
          <w:rFonts w:cs="Times New Roman"/>
        </w:rPr>
        <w:t xml:space="preserve">).  In </w:t>
      </w:r>
      <w:r w:rsidRPr="00E761C9">
        <w:rPr>
          <w:rFonts w:cs="Times New Roman"/>
        </w:rPr>
        <w:t xml:space="preserve">this way, it is argued, much like Morris (2012, 87) asserts, that White Paper does not engage with the underlying principles of Finnish teacher education, and instead </w:t>
      </w:r>
      <w:r w:rsidR="008D0A73" w:rsidRPr="00E761C9">
        <w:rPr>
          <w:rFonts w:cs="Times New Roman"/>
        </w:rPr>
        <w:t>borrow</w:t>
      </w:r>
      <w:r w:rsidR="008D0A73">
        <w:rPr>
          <w:rFonts w:cs="Times New Roman"/>
        </w:rPr>
        <w:t>s</w:t>
      </w:r>
      <w:r w:rsidR="008D0A73" w:rsidRPr="00E761C9">
        <w:rPr>
          <w:rFonts w:cs="Times New Roman"/>
        </w:rPr>
        <w:t xml:space="preserve"> </w:t>
      </w:r>
      <w:r w:rsidRPr="00E761C9">
        <w:rPr>
          <w:rFonts w:cs="Times New Roman"/>
        </w:rPr>
        <w:t>ideas from the Finnish system in a superficial, piecemeal</w:t>
      </w:r>
      <w:r w:rsidR="00151614">
        <w:rPr>
          <w:rFonts w:cs="Times New Roman"/>
        </w:rPr>
        <w:t xml:space="preserve"> </w:t>
      </w:r>
      <w:r w:rsidRPr="00E761C9">
        <w:rPr>
          <w:rFonts w:cs="Times New Roman"/>
        </w:rPr>
        <w:t>manner</w:t>
      </w:r>
      <w:r w:rsidRPr="00E761C9">
        <w:rPr>
          <w:rFonts w:cs="Times New Roman"/>
          <w:color w:val="0000FF"/>
        </w:rPr>
        <w:t>.</w:t>
      </w:r>
      <w:r w:rsidRPr="00E761C9">
        <w:rPr>
          <w:rFonts w:cs="Times New Roman"/>
        </w:rPr>
        <w:t xml:space="preserve">  </w:t>
      </w:r>
      <w:r w:rsidR="008D0A73">
        <w:rPr>
          <w:rFonts w:cs="Times New Roman"/>
        </w:rPr>
        <w:t>Due to these dispar</w:t>
      </w:r>
      <w:r w:rsidR="007E5977">
        <w:rPr>
          <w:rFonts w:cs="Times New Roman"/>
        </w:rPr>
        <w:t>i</w:t>
      </w:r>
      <w:r w:rsidR="008D0A73">
        <w:rPr>
          <w:rFonts w:cs="Times New Roman"/>
        </w:rPr>
        <w:t>ties</w:t>
      </w:r>
      <w:r w:rsidRPr="00E761C9">
        <w:rPr>
          <w:rFonts w:cs="Times New Roman"/>
        </w:rPr>
        <w:t xml:space="preserve">, the English “ecosystem” (Kemmis and Heikkinen 2012, 157) would not prove hospitable for the Finnish implantations. In other words, even a small practice such as a University Training School exists in a wider ecosystem of teacher education and school culture.  According to this model, it could not flourish within an educational ecosystem so different from its own.  </w:t>
      </w:r>
    </w:p>
    <w:p w14:paraId="2D312629" w14:textId="77777777" w:rsidR="00CD19F6" w:rsidRPr="00E761C9" w:rsidRDefault="00CD19F6" w:rsidP="00CD19F6">
      <w:pPr>
        <w:spacing w:line="480" w:lineRule="auto"/>
        <w:ind w:firstLine="720"/>
        <w:rPr>
          <w:rFonts w:ascii="Times New Roman" w:hAnsi="Times New Roman" w:cs="Times New Roman"/>
        </w:rPr>
      </w:pPr>
      <w:r w:rsidRPr="00E761C9">
        <w:rPr>
          <w:rFonts w:ascii="Times New Roman" w:hAnsi="Times New Roman" w:cs="Times New Roman"/>
        </w:rPr>
        <w:t xml:space="preserve">The MTL can also be seen to contradict the Finnish ethos of teacher education.  Launched in April 2010, it marked a UK government initiative for a fully funded, postgraduate degree for newly qualified teachers (NQTs) in England.  While the </w:t>
      </w:r>
      <w:r w:rsidR="008D0A73">
        <w:rPr>
          <w:rFonts w:ascii="Times New Roman" w:hAnsi="Times New Roman" w:cs="Times New Roman"/>
        </w:rPr>
        <w:t>Training and Development Agency for Schools (</w:t>
      </w:r>
      <w:r w:rsidRPr="00E761C9">
        <w:rPr>
          <w:rFonts w:ascii="Times New Roman" w:hAnsi="Times New Roman" w:cs="Times New Roman"/>
        </w:rPr>
        <w:t>TDA</w:t>
      </w:r>
      <w:r w:rsidR="008D0A73">
        <w:rPr>
          <w:rFonts w:ascii="Times New Roman" w:hAnsi="Times New Roman" w:cs="Times New Roman"/>
        </w:rPr>
        <w:t>)</w:t>
      </w:r>
      <w:r w:rsidRPr="00E761C9">
        <w:rPr>
          <w:rFonts w:ascii="Times New Roman" w:hAnsi="Times New Roman" w:cs="Times New Roman"/>
        </w:rPr>
        <w:t xml:space="preserve"> heralded this change, the initiative was met with scepticism from some in the teaching profession</w:t>
      </w:r>
      <w:r w:rsidR="006A52A1">
        <w:rPr>
          <w:rStyle w:val="FootnoteReference"/>
          <w:rFonts w:ascii="Times New Roman" w:hAnsi="Times New Roman" w:cs="Times New Roman"/>
        </w:rPr>
        <w:footnoteReference w:id="1"/>
      </w:r>
      <w:r w:rsidRPr="00E761C9">
        <w:rPr>
          <w:rFonts w:ascii="Times New Roman" w:hAnsi="Times New Roman" w:cs="Times New Roman"/>
        </w:rPr>
        <w:t xml:space="preserve">.  </w:t>
      </w:r>
      <w:r w:rsidRPr="00086D63">
        <w:rPr>
          <w:rFonts w:ascii="Times New Roman" w:hAnsi="Times New Roman" w:cs="Times New Roman"/>
        </w:rPr>
        <w:t>The MTL, unlike “traditional”</w:t>
      </w:r>
      <w:r w:rsidR="00870F1B">
        <w:rPr>
          <w:rFonts w:ascii="Times New Roman" w:hAnsi="Times New Roman" w:cs="Times New Roman"/>
        </w:rPr>
        <w:t xml:space="preserve"> university-based Master’s programmes, based itself in the workplace, emphasising the personalised, flexible relationship between the university tutor, school-based “coach,” and participant/student.  While it can be easily argued that this approach to professional development is beneficial, it contrasts with the </w:t>
      </w:r>
      <w:r w:rsidR="00D36DDE" w:rsidRPr="001F3EB5">
        <w:rPr>
          <w:rFonts w:ascii="Times New Roman" w:hAnsi="Times New Roman" w:cs="Times New Roman"/>
        </w:rPr>
        <w:t>focus on Finland</w:t>
      </w:r>
      <w:r w:rsidR="001F3EB5">
        <w:rPr>
          <w:rFonts w:ascii="Times New Roman" w:hAnsi="Times New Roman" w:cs="Times New Roman"/>
        </w:rPr>
        <w:t xml:space="preserve"> </w:t>
      </w:r>
      <w:r w:rsidR="00D36DDE" w:rsidRPr="001F3EB5">
        <w:rPr>
          <w:rFonts w:ascii="Times New Roman" w:hAnsi="Times New Roman" w:cs="Times New Roman"/>
        </w:rPr>
        <w:t xml:space="preserve">in the UK education policy rhetoric.  </w:t>
      </w:r>
    </w:p>
    <w:p w14:paraId="5191AD30" w14:textId="77777777" w:rsidR="00CD19F6" w:rsidRPr="00E275BD" w:rsidRDefault="00CD19F6" w:rsidP="00E275BD">
      <w:pPr>
        <w:spacing w:line="480" w:lineRule="auto"/>
        <w:ind w:firstLine="720"/>
        <w:rPr>
          <w:rFonts w:ascii="Times New Roman" w:hAnsi="Times New Roman" w:cs="Times New Roman"/>
        </w:rPr>
      </w:pPr>
      <w:r w:rsidRPr="00E761C9">
        <w:rPr>
          <w:rFonts w:ascii="Times New Roman" w:hAnsi="Times New Roman" w:cs="Times New Roman"/>
        </w:rPr>
        <w:t>Only eight months after its launch, the then-newly-elected UK (Conservative-</w:t>
      </w:r>
      <w:r w:rsidR="00737D36">
        <w:rPr>
          <w:rFonts w:ascii="Times New Roman" w:hAnsi="Times New Roman" w:cs="Times New Roman"/>
        </w:rPr>
        <w:t xml:space="preserve">Liberal Democrat coalition) government withdrew funding for the MTL.  </w:t>
      </w:r>
      <w:r w:rsidR="00AC525F">
        <w:rPr>
          <w:rFonts w:ascii="Times New Roman" w:hAnsi="Times New Roman" w:cs="Times New Roman"/>
        </w:rPr>
        <w:t xml:space="preserve">In a letter to </w:t>
      </w:r>
      <w:r w:rsidR="00AC525F">
        <w:rPr>
          <w:rFonts w:ascii="Times New Roman" w:hAnsi="Times New Roman" w:cs="Times New Roman"/>
        </w:rPr>
        <w:lastRenderedPageBreak/>
        <w:t xml:space="preserve">the </w:t>
      </w:r>
      <w:r w:rsidR="00AC525F" w:rsidRPr="00AC525F">
        <w:rPr>
          <w:rFonts w:ascii="Times New Roman" w:hAnsi="Times New Roman" w:cs="Times New Roman"/>
        </w:rPr>
        <w:t>Training and Development Agency for Schools</w:t>
      </w:r>
      <w:r w:rsidR="00AC525F">
        <w:rPr>
          <w:rFonts w:ascii="Times New Roman" w:hAnsi="Times New Roman" w:cs="Times New Roman"/>
        </w:rPr>
        <w:t xml:space="preserve"> (TDA),</w:t>
      </w:r>
      <w:r w:rsidR="00737D36">
        <w:rPr>
          <w:rFonts w:ascii="Times New Roman" w:hAnsi="Times New Roman" w:cs="Times New Roman"/>
        </w:rPr>
        <w:t xml:space="preserve"> the then-Secretary of State for Education, Michael Gove, </w:t>
      </w:r>
      <w:r w:rsidR="00406415">
        <w:rPr>
          <w:rFonts w:ascii="Times New Roman" w:hAnsi="Times New Roman" w:cs="Times New Roman"/>
        </w:rPr>
        <w:t>announced that there would no longer be central government funding for the MTL and that only those who had already started the programme would continue to be funded</w:t>
      </w:r>
      <w:r w:rsidR="00406415">
        <w:rPr>
          <w:rStyle w:val="FootnoteReference"/>
          <w:rFonts w:ascii="Times New Roman" w:hAnsi="Times New Roman" w:cs="Times New Roman"/>
        </w:rPr>
        <w:footnoteReference w:id="2"/>
      </w:r>
      <w:r w:rsidR="00406415">
        <w:rPr>
          <w:rFonts w:ascii="Times New Roman" w:hAnsi="Times New Roman" w:cs="Times New Roman"/>
        </w:rPr>
        <w:t xml:space="preserve">. </w:t>
      </w:r>
      <w:r w:rsidR="00E25771">
        <w:rPr>
          <w:rFonts w:ascii="Times New Roman" w:hAnsi="Times New Roman" w:cs="Times New Roman"/>
        </w:rPr>
        <w:t>In the letter, which was quoted in the educational media</w:t>
      </w:r>
      <w:r w:rsidR="00E25771">
        <w:rPr>
          <w:rStyle w:val="FootnoteReference"/>
          <w:rFonts w:ascii="Times New Roman" w:hAnsi="Times New Roman" w:cs="Times New Roman"/>
        </w:rPr>
        <w:footnoteReference w:id="3"/>
      </w:r>
      <w:r w:rsidR="00E25771">
        <w:rPr>
          <w:rFonts w:ascii="Times New Roman" w:hAnsi="Times New Roman" w:cs="Times New Roman"/>
        </w:rPr>
        <w:t xml:space="preserve">, the </w:t>
      </w:r>
      <w:r w:rsidR="00737D36">
        <w:rPr>
          <w:rFonts w:ascii="Times New Roman" w:hAnsi="Times New Roman" w:cs="Times New Roman"/>
        </w:rPr>
        <w:t>continued sup</w:t>
      </w:r>
      <w:r w:rsidR="005B0E1E" w:rsidRPr="001C46BC">
        <w:rPr>
          <w:rFonts w:ascii="Times New Roman" w:hAnsi="Times New Roman" w:cs="Times New Roman"/>
        </w:rPr>
        <w:t xml:space="preserve">port </w:t>
      </w:r>
      <w:r w:rsidR="00E25771">
        <w:rPr>
          <w:rFonts w:ascii="Times New Roman" w:hAnsi="Times New Roman" w:cs="Times New Roman"/>
        </w:rPr>
        <w:t>for</w:t>
      </w:r>
      <w:r w:rsidR="00E25771" w:rsidRPr="001C46BC">
        <w:rPr>
          <w:rFonts w:ascii="Times New Roman" w:hAnsi="Times New Roman" w:cs="Times New Roman"/>
        </w:rPr>
        <w:t xml:space="preserve"> </w:t>
      </w:r>
      <w:r w:rsidR="005B0E1E" w:rsidRPr="001C46BC">
        <w:rPr>
          <w:rFonts w:ascii="Times New Roman" w:hAnsi="Times New Roman" w:cs="Times New Roman"/>
        </w:rPr>
        <w:t>teachers</w:t>
      </w:r>
      <w:r w:rsidR="00C6565F">
        <w:rPr>
          <w:rFonts w:ascii="Times New Roman" w:hAnsi="Times New Roman" w:cs="Times New Roman"/>
        </w:rPr>
        <w:t>’ professional development</w:t>
      </w:r>
      <w:r w:rsidR="00E25771">
        <w:rPr>
          <w:rFonts w:ascii="Times New Roman" w:hAnsi="Times New Roman" w:cs="Times New Roman"/>
        </w:rPr>
        <w:t xml:space="preserve"> was affirmed</w:t>
      </w:r>
      <w:r w:rsidR="00DC2117">
        <w:rPr>
          <w:rFonts w:ascii="Times New Roman" w:hAnsi="Times New Roman" w:cs="Times New Roman"/>
        </w:rPr>
        <w:t xml:space="preserve">. </w:t>
      </w:r>
      <w:r w:rsidR="00E25771">
        <w:rPr>
          <w:rFonts w:ascii="Times New Roman" w:hAnsi="Times New Roman" w:cs="Times New Roman"/>
        </w:rPr>
        <w:t xml:space="preserve"> </w:t>
      </w:r>
      <w:r w:rsidR="00737D36">
        <w:rPr>
          <w:rFonts w:ascii="Times New Roman" w:hAnsi="Times New Roman" w:cs="Times New Roman"/>
        </w:rPr>
        <w:t xml:space="preserve">However, </w:t>
      </w:r>
      <w:r w:rsidR="00E25771">
        <w:rPr>
          <w:rFonts w:ascii="Times New Roman" w:hAnsi="Times New Roman" w:cs="Times New Roman"/>
        </w:rPr>
        <w:t xml:space="preserve">the letter </w:t>
      </w:r>
      <w:r w:rsidR="00737D36">
        <w:rPr>
          <w:rFonts w:ascii="Times New Roman" w:hAnsi="Times New Roman" w:cs="Times New Roman"/>
        </w:rPr>
        <w:t xml:space="preserve">also </w:t>
      </w:r>
      <w:r w:rsidR="00DC2117">
        <w:rPr>
          <w:rFonts w:ascii="Times New Roman" w:hAnsi="Times New Roman" w:cs="Times New Roman"/>
        </w:rPr>
        <w:t xml:space="preserve">explained the belief that a single, government-prescribed qualification was not the way forward. </w:t>
      </w:r>
      <w:r w:rsidR="00531A34">
        <w:rPr>
          <w:rFonts w:ascii="Times New Roman" w:hAnsi="Times New Roman" w:cs="Times New Roman"/>
        </w:rPr>
        <w:t xml:space="preserve">Hence, it can be seen that </w:t>
      </w:r>
      <w:r w:rsidR="00D36DDE" w:rsidRPr="005C56CB">
        <w:rPr>
          <w:rFonts w:ascii="Times New Roman" w:hAnsi="Times New Roman" w:cs="Times New Roman"/>
        </w:rPr>
        <w:t>UK policy makers</w:t>
      </w:r>
      <w:r w:rsidRPr="00086D63">
        <w:rPr>
          <w:rFonts w:ascii="Times New Roman" w:hAnsi="Times New Roman" w:cs="Times New Roman"/>
        </w:rPr>
        <w:t xml:space="preserve"> </w:t>
      </w:r>
      <w:r w:rsidR="00D36DDE" w:rsidRPr="005C56CB">
        <w:rPr>
          <w:rFonts w:ascii="Times New Roman" w:hAnsi="Times New Roman" w:cs="Times New Roman"/>
        </w:rPr>
        <w:t>initiated the MTL</w:t>
      </w:r>
      <w:r w:rsidRPr="00086D63">
        <w:rPr>
          <w:rFonts w:ascii="Times New Roman" w:hAnsi="Times New Roman" w:cs="Times New Roman"/>
        </w:rPr>
        <w:t xml:space="preserve"> </w:t>
      </w:r>
      <w:r w:rsidR="00D36DDE" w:rsidRPr="005C56CB">
        <w:rPr>
          <w:rFonts w:ascii="Times New Roman" w:hAnsi="Times New Roman" w:cs="Times New Roman"/>
        </w:rPr>
        <w:t>by using</w:t>
      </w:r>
      <w:r w:rsidRPr="00086D63">
        <w:rPr>
          <w:rFonts w:ascii="Times New Roman" w:hAnsi="Times New Roman" w:cs="Times New Roman"/>
        </w:rPr>
        <w:t xml:space="preserve"> </w:t>
      </w:r>
      <w:r w:rsidR="00870F1B">
        <w:rPr>
          <w:rFonts w:ascii="Times New Roman" w:hAnsi="Times New Roman" w:cs="Times New Roman"/>
        </w:rPr>
        <w:t>Finland as a model; however, the withdrawal of the MTL illustrates a</w:t>
      </w:r>
      <w:r w:rsidRPr="00086D63">
        <w:rPr>
          <w:rFonts w:ascii="Times New Roman" w:hAnsi="Times New Roman" w:cs="Times New Roman"/>
        </w:rPr>
        <w:t xml:space="preserve"> lack of commitment to acad</w:t>
      </w:r>
      <w:r w:rsidR="00870F1B">
        <w:rPr>
          <w:rFonts w:ascii="Times New Roman" w:hAnsi="Times New Roman" w:cs="Times New Roman"/>
        </w:rPr>
        <w:t>emising the teaching profession, by both</w:t>
      </w:r>
      <w:r w:rsidRPr="00086D63">
        <w:rPr>
          <w:rFonts w:ascii="Times New Roman" w:hAnsi="Times New Roman" w:cs="Times New Roman"/>
        </w:rPr>
        <w:t xml:space="preserve"> </w:t>
      </w:r>
      <w:r w:rsidR="00870F1B">
        <w:rPr>
          <w:rFonts w:ascii="Times New Roman" w:hAnsi="Times New Roman" w:cs="Times New Roman"/>
        </w:rPr>
        <w:t>creating a Master’s degree with significant amounts of distance and removal from the university setting, and withdrawing the commitment to and funding of the MTL soon after its launch</w:t>
      </w:r>
      <w:r w:rsidRPr="00086D63">
        <w:rPr>
          <w:rFonts w:ascii="Times New Roman" w:hAnsi="Times New Roman" w:cs="Times New Roman"/>
        </w:rPr>
        <w:t xml:space="preserve">.  </w:t>
      </w:r>
      <w:r w:rsidR="00870F1B">
        <w:rPr>
          <w:rFonts w:ascii="Times New Roman" w:hAnsi="Times New Roman" w:cs="Times New Roman"/>
        </w:rPr>
        <w:t>The MTL can thus be characterised as a missed opportunity by the UK government to expand the academic parameters of the teaching profession, following the Finnish model.  Furthermore, it highlights the lack of alignment between educational theory and education policymaking.</w:t>
      </w:r>
      <w:r w:rsidRPr="00E761C9">
        <w:rPr>
          <w:rFonts w:ascii="Times New Roman" w:hAnsi="Times New Roman" w:cs="Times New Roman"/>
        </w:rPr>
        <w:t xml:space="preserve">  </w:t>
      </w:r>
    </w:p>
    <w:p w14:paraId="5CADFBEA" w14:textId="77777777" w:rsidR="00F03099" w:rsidRPr="00E275BD" w:rsidRDefault="00D36DDE" w:rsidP="00E275BD">
      <w:pPr>
        <w:pStyle w:val="BodyTextIndent2"/>
        <w:ind w:firstLine="0"/>
        <w:rPr>
          <w:b/>
        </w:rPr>
      </w:pPr>
      <w:r w:rsidRPr="00E275BD">
        <w:rPr>
          <w:b/>
        </w:rPr>
        <w:t>Educational Policy-Borrowing: the UK and beyond</w:t>
      </w:r>
    </w:p>
    <w:p w14:paraId="19A630B4" w14:textId="77777777" w:rsidR="00F03099" w:rsidRDefault="00D36DDE" w:rsidP="00E275BD">
      <w:pPr>
        <w:pStyle w:val="BodyTextIndent2"/>
      </w:pPr>
      <w:r w:rsidRPr="00E275BD">
        <w:t>The UK</w:t>
      </w:r>
      <w:r w:rsidR="00055C08" w:rsidRPr="00086D63">
        <w:t xml:space="preserve"> is</w:t>
      </w:r>
      <w:r w:rsidR="00870F1B">
        <w:t>, evidently</w:t>
      </w:r>
      <w:r w:rsidR="00213EE9" w:rsidRPr="00E761C9">
        <w:t>,</w:t>
      </w:r>
      <w:r w:rsidR="000B2288" w:rsidRPr="00E761C9">
        <w:t xml:space="preserve"> </w:t>
      </w:r>
      <w:r w:rsidR="00055C08" w:rsidRPr="00E761C9">
        <w:t xml:space="preserve">not the only country </w:t>
      </w:r>
      <w:r w:rsidR="002C060E" w:rsidRPr="00E761C9">
        <w:t>that</w:t>
      </w:r>
      <w:r w:rsidR="00D15D85" w:rsidRPr="00E761C9">
        <w:t xml:space="preserve"> uses</w:t>
      </w:r>
      <w:r w:rsidR="00055C08" w:rsidRPr="00E761C9">
        <w:t xml:space="preserve"> international achievement studies to guide reform and initiate education policy borrowing.  </w:t>
      </w:r>
      <w:r w:rsidR="00D15D85" w:rsidRPr="00E761C9">
        <w:t xml:space="preserve">The </w:t>
      </w:r>
      <w:r w:rsidR="003D2713" w:rsidRPr="003D2713">
        <w:t xml:space="preserve">Programme for International Student Assessment </w:t>
      </w:r>
      <w:r w:rsidR="003D2713">
        <w:t>(</w:t>
      </w:r>
      <w:r w:rsidR="00CE2406" w:rsidRPr="00E761C9">
        <w:t>PISA</w:t>
      </w:r>
      <w:r w:rsidR="003D2713">
        <w:t>)</w:t>
      </w:r>
      <w:r w:rsidR="00D15D85" w:rsidRPr="00E761C9">
        <w:t xml:space="preserve"> study, along with other large international assessment studies,</w:t>
      </w:r>
      <w:r w:rsidR="00CE2406" w:rsidRPr="00E761C9">
        <w:t xml:space="preserve"> has</w:t>
      </w:r>
      <w:r w:rsidR="00D15D85" w:rsidRPr="00E761C9">
        <w:t>, with</w:t>
      </w:r>
      <w:r w:rsidR="00CE2406" w:rsidRPr="00E761C9">
        <w:t xml:space="preserve"> </w:t>
      </w:r>
      <w:r w:rsidR="00D15D85" w:rsidRPr="00E761C9">
        <w:t xml:space="preserve">increasing frequency, </w:t>
      </w:r>
      <w:r w:rsidR="00CE2406" w:rsidRPr="00E761C9">
        <w:t>been used to drive, inform, and uphold educational reform</w:t>
      </w:r>
      <w:r w:rsidR="003864C5" w:rsidRPr="00E761C9">
        <w:t xml:space="preserve"> around </w:t>
      </w:r>
      <w:r w:rsidR="0075571F" w:rsidRPr="00E761C9">
        <w:t xml:space="preserve">the world.  </w:t>
      </w:r>
      <w:r w:rsidR="00E82FC6" w:rsidRPr="00E761C9">
        <w:t xml:space="preserve">The influence </w:t>
      </w:r>
      <w:r w:rsidR="00D15D85" w:rsidRPr="00E761C9">
        <w:t xml:space="preserve">of such studies </w:t>
      </w:r>
      <w:r w:rsidR="00E82FC6" w:rsidRPr="00E761C9">
        <w:t xml:space="preserve">on </w:t>
      </w:r>
      <w:r w:rsidR="00561431" w:rsidRPr="00E761C9">
        <w:t>education policy,</w:t>
      </w:r>
      <w:r w:rsidR="0040398A" w:rsidRPr="00E761C9">
        <w:t xml:space="preserve"> including</w:t>
      </w:r>
      <w:r w:rsidR="00561431" w:rsidRPr="00E761C9">
        <w:t xml:space="preserve"> teacher </w:t>
      </w:r>
      <w:r w:rsidR="008556C5" w:rsidRPr="00E761C9">
        <w:t>preparation</w:t>
      </w:r>
      <w:r w:rsidR="00561431" w:rsidRPr="00E761C9">
        <w:t xml:space="preserve"> policy</w:t>
      </w:r>
      <w:r w:rsidR="00D15D85" w:rsidRPr="00E761C9">
        <w:t>,</w:t>
      </w:r>
      <w:r w:rsidR="00561431" w:rsidRPr="00E761C9">
        <w:t xml:space="preserve"> has become </w:t>
      </w:r>
      <w:r w:rsidR="00D15D85" w:rsidRPr="00E761C9">
        <w:t xml:space="preserve">ever more </w:t>
      </w:r>
      <w:r w:rsidR="00561431" w:rsidRPr="00E761C9">
        <w:t xml:space="preserve">apparent. </w:t>
      </w:r>
      <w:r w:rsidR="002C67AA" w:rsidRPr="00E761C9">
        <w:t xml:space="preserve"> </w:t>
      </w:r>
      <w:r w:rsidR="00D15D85" w:rsidRPr="00E761C9">
        <w:t xml:space="preserve">As a result, </w:t>
      </w:r>
      <w:r w:rsidR="00CE2406" w:rsidRPr="00E761C9">
        <w:t xml:space="preserve">PISA, the league tables it generates, and the potential policy </w:t>
      </w:r>
      <w:r w:rsidR="00CE2406" w:rsidRPr="00086D63">
        <w:lastRenderedPageBreak/>
        <w:t xml:space="preserve">borrowing </w:t>
      </w:r>
      <w:r w:rsidR="00870F1B">
        <w:t>that ensues can be seen</w:t>
      </w:r>
      <w:r w:rsidR="00D15D85" w:rsidRPr="000B54F7">
        <w:t xml:space="preserve"> as </w:t>
      </w:r>
      <w:r w:rsidR="00CE2406" w:rsidRPr="00E761C9">
        <w:t xml:space="preserve">significantly </w:t>
      </w:r>
      <w:r w:rsidR="00D15D85" w:rsidRPr="00E761C9">
        <w:t xml:space="preserve">contributing </w:t>
      </w:r>
      <w:r w:rsidR="00823144" w:rsidRPr="00E761C9">
        <w:t>to “</w:t>
      </w:r>
      <w:r w:rsidR="00CE2406" w:rsidRPr="00E761C9">
        <w:t>globally in</w:t>
      </w:r>
      <w:r w:rsidR="00823144" w:rsidRPr="00E761C9">
        <w:t>fluential policy agendas”</w:t>
      </w:r>
      <w:r w:rsidR="002C67AA" w:rsidRPr="00E761C9">
        <w:t xml:space="preserve"> (Crossley </w:t>
      </w:r>
      <w:r w:rsidR="000C19C0" w:rsidRPr="00E761C9">
        <w:t>and</w:t>
      </w:r>
      <w:r w:rsidR="001422F7" w:rsidRPr="00E761C9">
        <w:t xml:space="preserve"> </w:t>
      </w:r>
      <w:r w:rsidR="002C67AA" w:rsidRPr="00086D63">
        <w:t>Watson 2009</w:t>
      </w:r>
      <w:r w:rsidR="00E275BD">
        <w:t>,</w:t>
      </w:r>
      <w:r w:rsidR="00870F1B">
        <w:t xml:space="preserve"> </w:t>
      </w:r>
      <w:r w:rsidR="002C67AA" w:rsidRPr="003D2713">
        <w:t>6</w:t>
      </w:r>
      <w:r w:rsidR="002C67AA" w:rsidRPr="00086D63">
        <w:t>43</w:t>
      </w:r>
      <w:r w:rsidR="00870F1B">
        <w:t>).  Dale</w:t>
      </w:r>
      <w:r w:rsidR="00CE2406" w:rsidRPr="00E761C9">
        <w:t xml:space="preserve"> and Robertson (2002) argue that international organisations</w:t>
      </w:r>
      <w:r w:rsidR="00D15D85" w:rsidRPr="00E761C9">
        <w:t>,</w:t>
      </w:r>
      <w:r w:rsidR="00CE2406" w:rsidRPr="00E761C9">
        <w:t xml:space="preserve"> such as the OECD</w:t>
      </w:r>
      <w:r w:rsidR="006C4583" w:rsidRPr="00E761C9">
        <w:t xml:space="preserve">, </w:t>
      </w:r>
      <w:r w:rsidR="00D15D85" w:rsidRPr="00E761C9">
        <w:t>can strongly influence</w:t>
      </w:r>
      <w:r w:rsidR="00CE2406" w:rsidRPr="00E761C9">
        <w:t xml:space="preserve"> leading nations as well as the rest of the world</w:t>
      </w:r>
      <w:r w:rsidR="00D900A3" w:rsidRPr="00E761C9">
        <w:t>,</w:t>
      </w:r>
      <w:r w:rsidR="00387024" w:rsidRPr="00E761C9">
        <w:t xml:space="preserve"> by</w:t>
      </w:r>
      <w:r w:rsidR="00D900A3" w:rsidRPr="00E761C9">
        <w:t xml:space="preserve"> increasingly defining</w:t>
      </w:r>
      <w:r w:rsidR="00CE2406" w:rsidRPr="00E761C9">
        <w:t xml:space="preserve"> educational </w:t>
      </w:r>
      <w:r w:rsidR="00CE2406" w:rsidRPr="00086D63">
        <w:t xml:space="preserve">aims.  </w:t>
      </w:r>
      <w:r w:rsidR="00870F1B">
        <w:t>In this way, education policy borrowing has undergone something of a transformation (Moutsios 2009).  Educational policy makers create policy change and make comparisons in reference to PISA; the search for supposed “best practice” is now set within a transnational context (</w:t>
      </w:r>
      <w:r w:rsidRPr="00E275BD">
        <w:t>Moutsios, 2009, 469</w:t>
      </w:r>
      <w:r w:rsidR="00CE2406" w:rsidRPr="00086D63">
        <w:t>).</w:t>
      </w:r>
      <w:r w:rsidR="00CE2406" w:rsidRPr="00E761C9">
        <w:t xml:space="preserve"> </w:t>
      </w:r>
    </w:p>
    <w:p w14:paraId="17A72410" w14:textId="71A0A6F1" w:rsidR="00910CCE" w:rsidRPr="00E761C9" w:rsidRDefault="00910CCE" w:rsidP="009008BE">
      <w:pPr>
        <w:pStyle w:val="BodyTextIndent2"/>
      </w:pPr>
      <w:r w:rsidRPr="00E761C9">
        <w:t xml:space="preserve">Policy borrowing, or policy transfer, has been a fundamental theme in comparative education (Beech 2006, 2).  The </w:t>
      </w:r>
      <w:r w:rsidR="003C5162" w:rsidRPr="00E761C9">
        <w:t xml:space="preserve">terms </w:t>
      </w:r>
      <w:r w:rsidRPr="00E761C9">
        <w:t xml:space="preserve">used for the process defined as </w:t>
      </w:r>
      <w:r w:rsidR="003C5162" w:rsidRPr="00E761C9">
        <w:t>‘</w:t>
      </w:r>
      <w:r w:rsidRPr="00E761C9">
        <w:t>the movement of educational ideas, institutions or practices across international borders</w:t>
      </w:r>
      <w:r w:rsidR="006E7DAE">
        <w:t>”</w:t>
      </w:r>
      <w:r w:rsidRPr="00E761C9">
        <w:t xml:space="preserve"> (Beech 2006</w:t>
      </w:r>
      <w:r w:rsidR="00F31954">
        <w:t xml:space="preserve">, </w:t>
      </w:r>
      <w:r w:rsidRPr="00E761C9">
        <w:t xml:space="preserve">2) does not have consistency even within the comparative education field.  For example, Crossley and Watson (2009, 643) refer to this process as transfer.  Phillips and Ochs (2003, 451) cite how the words “’copying,’ ‘appropriation,’ ‘assimilation,’ ‘transfer,’ ‘importation,’” have all been used when referring to education policy crossing borders, and how the </w:t>
      </w:r>
      <w:r w:rsidR="003C5162" w:rsidRPr="00E761C9">
        <w:t xml:space="preserve">term </w:t>
      </w:r>
      <w:r w:rsidRPr="00E761C9">
        <w:t>used is often prone to criticism.  As Phillips and Ochs (2003, 451) use “</w:t>
      </w:r>
      <w:r w:rsidR="00294EF8">
        <w:t>‘</w:t>
      </w:r>
      <w:r w:rsidR="00294EF8" w:rsidRPr="00E761C9">
        <w:t xml:space="preserve">borrowing’ </w:t>
      </w:r>
      <w:r w:rsidRPr="00E761C9">
        <w:t xml:space="preserve">to cover the whole range of issues relating to how the foreign examples </w:t>
      </w:r>
      <w:r w:rsidR="003C5162" w:rsidRPr="00E761C9">
        <w:t xml:space="preserve">are used </w:t>
      </w:r>
      <w:r w:rsidRPr="00E761C9">
        <w:t xml:space="preserve">at all stages of the processes of initiating and implementing educational change,” this article also uses “borrowing” as the preferred </w:t>
      </w:r>
      <w:r w:rsidR="003C5162" w:rsidRPr="00E761C9">
        <w:t xml:space="preserve">term </w:t>
      </w:r>
      <w:r w:rsidRPr="00E761C9">
        <w:t xml:space="preserve">to denote the education policy of one country moving into another.  </w:t>
      </w:r>
    </w:p>
    <w:p w14:paraId="021F35E9" w14:textId="77777777" w:rsidR="00910CCE" w:rsidRPr="00E761C9" w:rsidRDefault="00910CCE" w:rsidP="009008BE">
      <w:pPr>
        <w:pStyle w:val="BodyTextIndent2"/>
      </w:pPr>
      <w:r w:rsidRPr="00E761C9">
        <w:t xml:space="preserve">Researchers have theorised about education policy borrowing from a range of different perspectives. However, in essence, the theories behind the models of education policy borrowing or transfer can be seen to follow a similar general structure.  First, a local problem is identified.  Then, foreign solutions are sought.  </w:t>
      </w:r>
      <w:r w:rsidRPr="00E761C9">
        <w:lastRenderedPageBreak/>
        <w:t>Finally, the borrowed policy is adapted and implemented into a new context (Beech 2006</w:t>
      </w:r>
      <w:r w:rsidR="002B017D">
        <w:t xml:space="preserve">, </w:t>
      </w:r>
      <w:r w:rsidRPr="00E761C9">
        <w:t>2).  Phillips and Ochs (2004) describe a cycle of policy borrowing that consists of four stages: cross-national attraction</w:t>
      </w:r>
      <w:r w:rsidRPr="00E761C9">
        <w:rPr>
          <w:b/>
        </w:rPr>
        <w:t xml:space="preserve">, </w:t>
      </w:r>
      <w:r w:rsidRPr="00E761C9">
        <w:t>decision</w:t>
      </w:r>
      <w:r w:rsidRPr="00E761C9">
        <w:rPr>
          <w:b/>
        </w:rPr>
        <w:t xml:space="preserve">, </w:t>
      </w:r>
      <w:r w:rsidRPr="00E761C9">
        <w:t>implementation, and internalisation/indigenisation.</w:t>
      </w:r>
      <w:r w:rsidRPr="00E761C9">
        <w:rPr>
          <w:b/>
        </w:rPr>
        <w:t xml:space="preserve">  </w:t>
      </w:r>
      <w:r w:rsidRPr="00E761C9">
        <w:t xml:space="preserve">However, it is also widely acknowledged that the actual process of educational policy borrowing is complex and does not tend to follow a straightforward pathway.  It has </w:t>
      </w:r>
      <w:r w:rsidRPr="00086D63">
        <w:t>often been observed that the decision phase can succumb to “quick fix” and “phony” solutions (</w:t>
      </w:r>
      <w:r w:rsidR="00D36DDE" w:rsidRPr="00493F28">
        <w:t>Phillips and Ochs 2004, 779)</w:t>
      </w:r>
      <w:r w:rsidRPr="00086D63">
        <w:t>,</w:t>
      </w:r>
      <w:r w:rsidRPr="00E761C9">
        <w:t xml:space="preserve"> </w:t>
      </w:r>
      <w:r w:rsidRPr="00086D63">
        <w:t xml:space="preserve">providing “tempting” </w:t>
      </w:r>
      <w:r w:rsidR="00870F1B">
        <w:t>policy actions (Noah 1984, 550) for “immediate political impact”</w:t>
      </w:r>
      <w:r w:rsidRPr="00086D63">
        <w:t xml:space="preserve"> (Phillips and Ochs 2004, 780).</w:t>
      </w:r>
      <w:r w:rsidRPr="00E761C9">
        <w:t xml:space="preserve">  </w:t>
      </w:r>
    </w:p>
    <w:p w14:paraId="0263D2B0" w14:textId="77777777" w:rsidR="00910CCE" w:rsidRPr="00E761C9" w:rsidRDefault="00910CCE">
      <w:pPr>
        <w:pStyle w:val="BodyTextIndent2"/>
      </w:pPr>
      <w:r w:rsidRPr="00E761C9">
        <w:t>Context plays an important role in policy borrowing</w:t>
      </w:r>
      <w:r w:rsidR="003D2713">
        <w:t>.</w:t>
      </w:r>
      <w:r w:rsidR="00607C52">
        <w:t xml:space="preserve"> </w:t>
      </w:r>
      <w:r w:rsidRPr="00E761C9">
        <w:t>Alexander (2000, 172) stated that education systems are not “hermitically sealed,” but that history and culture nearly always play a role in a country’s education.   The “ecologies of practice” (Kemmis and Heikkinen 2012, 157) analogy of policy borrowing further illustrates this.  It highlights the “</w:t>
      </w:r>
      <w:r w:rsidRPr="00086D63">
        <w:t>interdependence among particular clusters of practice”; therefore, “practices exist in ecological relationships with one another and in whole ecosystems of</w:t>
      </w:r>
      <w:r w:rsidR="00870F1B">
        <w:t xml:space="preserve"> interrelated practices” (</w:t>
      </w:r>
      <w:r w:rsidR="00D36DDE" w:rsidRPr="002B017D">
        <w:t>Kemmis and Heikkinen 2012, 157</w:t>
      </w:r>
      <w:r w:rsidRPr="00086D63">
        <w:t>).  Thus,</w:t>
      </w:r>
      <w:r w:rsidRPr="00E761C9">
        <w:t xml:space="preserve"> certain “ecosystems” provide </w:t>
      </w:r>
      <w:r w:rsidRPr="00086D63">
        <w:t>inhospitable environments for foreign implantations.  Policy implementation, therefore, requires an informed process where a policy is “internalised,” and “indig</w:t>
      </w:r>
      <w:r w:rsidR="00870F1B">
        <w:t xml:space="preserve">enised”, through a process that inevitably “distorts” the original features which were the original attraction (Phillips and Ochs 2004, 779; Ochs and Phillips 2004, </w:t>
      </w:r>
      <w:r w:rsidRPr="00E761C9">
        <w:t xml:space="preserve">16). </w:t>
      </w:r>
    </w:p>
    <w:p w14:paraId="4A964F67" w14:textId="77777777" w:rsidR="00A56240" w:rsidRPr="00E761C9" w:rsidRDefault="00284EEC">
      <w:pPr>
        <w:pStyle w:val="BodyTextIndent2"/>
      </w:pPr>
      <w:r w:rsidRPr="00E761C9">
        <w:t>Applying these theories to the context of this paper, we now apply Phillips and Ochs’ (2004) cycle of policy borrowing and Kemmis and Heikkinen’s (2012) ecology analogy</w:t>
      </w:r>
      <w:r w:rsidR="003C5162" w:rsidRPr="00E761C9">
        <w:t xml:space="preserve"> to the MTL and the </w:t>
      </w:r>
      <w:r w:rsidR="003D2713">
        <w:t xml:space="preserve">Schools </w:t>
      </w:r>
      <w:r w:rsidR="003C5162" w:rsidRPr="00E761C9">
        <w:t>White Paper</w:t>
      </w:r>
      <w:r w:rsidR="003D2713">
        <w:t xml:space="preserve"> (2010)</w:t>
      </w:r>
      <w:r w:rsidRPr="00E761C9">
        <w:t xml:space="preserve">.  </w:t>
      </w:r>
      <w:r w:rsidR="003D2713">
        <w:t xml:space="preserve">As observed earlier in this paper, </w:t>
      </w:r>
      <w:r w:rsidR="00BC50A1" w:rsidRPr="00E761C9">
        <w:t>UK policy makers exhibit</w:t>
      </w:r>
      <w:r w:rsidR="003D2713">
        <w:t>ed</w:t>
      </w:r>
      <w:r w:rsidR="00BC50A1" w:rsidRPr="00E761C9">
        <w:t xml:space="preserve"> clear “cross-national attraction” </w:t>
      </w:r>
      <w:r w:rsidR="000424AF" w:rsidRPr="00E761C9">
        <w:t xml:space="preserve">(Phillips and </w:t>
      </w:r>
      <w:r w:rsidR="000424AF" w:rsidRPr="00E761C9">
        <w:lastRenderedPageBreak/>
        <w:t xml:space="preserve">Ochs 2004, 779) </w:t>
      </w:r>
      <w:r w:rsidR="00BC50A1" w:rsidRPr="00E761C9">
        <w:t>to Finland, and the initiation of</w:t>
      </w:r>
      <w:r w:rsidR="00A054B7" w:rsidRPr="00E761C9">
        <w:t xml:space="preserve"> the MTL and the </w:t>
      </w:r>
      <w:r w:rsidR="00BC50A1" w:rsidRPr="00E761C9">
        <w:t xml:space="preserve">proposal of </w:t>
      </w:r>
      <w:r w:rsidR="00A054B7" w:rsidRPr="00E761C9">
        <w:t xml:space="preserve">University Training Schools </w:t>
      </w:r>
      <w:r w:rsidR="00BC50A1" w:rsidRPr="00E761C9">
        <w:t xml:space="preserve">show strong interest in Finnish teacher education policy and, especially, the results achieved by Finland in various PISA surveys.  This article also argues that the “decision” phase succumbed to “quick fix” policy change, due to the “negative external evaluation” </w:t>
      </w:r>
      <w:r w:rsidR="00492298" w:rsidRPr="00E761C9">
        <w:t xml:space="preserve">(Phillips and Ochs 2004, 779) </w:t>
      </w:r>
      <w:r w:rsidR="00BC50A1" w:rsidRPr="00E761C9">
        <w:t xml:space="preserve">presented by </w:t>
      </w:r>
      <w:r w:rsidR="003D2713">
        <w:t>England’s</w:t>
      </w:r>
      <w:r w:rsidR="0001680F">
        <w:t xml:space="preserve"> comparatively less successful</w:t>
      </w:r>
      <w:r w:rsidR="003D2713">
        <w:t xml:space="preserve"> performance in international surveys</w:t>
      </w:r>
      <w:r w:rsidR="00BC50A1" w:rsidRPr="00E761C9">
        <w:t xml:space="preserve">.  </w:t>
      </w:r>
      <w:r w:rsidR="0001680F">
        <w:t>In terms of policy borrowing analyses, it is important to note that w</w:t>
      </w:r>
      <w:r w:rsidR="0001680F" w:rsidRPr="00E761C9">
        <w:t xml:space="preserve">hile </w:t>
      </w:r>
      <w:r w:rsidR="00BC50A1" w:rsidRPr="00E761C9">
        <w:t>the MTL reached the “implementation” stage, it never completed the full Phillips and Ochs (2004</w:t>
      </w:r>
      <w:r w:rsidR="00492298" w:rsidRPr="00E761C9">
        <w:t>, 779</w:t>
      </w:r>
      <w:r w:rsidR="00BC50A1" w:rsidRPr="00E761C9">
        <w:t>) policy borrowing cycle, as the policy was withdrawn (Chung et al. 2012</w:t>
      </w:r>
      <w:r w:rsidR="0035246A" w:rsidRPr="00E761C9">
        <w:t>, 265</w:t>
      </w:r>
      <w:r w:rsidR="00BC50A1" w:rsidRPr="00E761C9">
        <w:t xml:space="preserve">).  </w:t>
      </w:r>
    </w:p>
    <w:p w14:paraId="03710C5E" w14:textId="77777777" w:rsidR="001E6621" w:rsidRPr="0001680F" w:rsidRDefault="005D4287" w:rsidP="00EB25E5">
      <w:pPr>
        <w:spacing w:line="480" w:lineRule="auto"/>
        <w:ind w:firstLine="720"/>
        <w:rPr>
          <w:rFonts w:ascii="Times New Roman" w:hAnsi="Times New Roman" w:cs="Times New Roman"/>
        </w:rPr>
      </w:pPr>
      <w:r w:rsidRPr="00086D63">
        <w:rPr>
          <w:rFonts w:ascii="Times New Roman" w:hAnsi="Times New Roman" w:cs="Times New Roman"/>
        </w:rPr>
        <w:t>T</w:t>
      </w:r>
      <w:r w:rsidR="00870F1B">
        <w:rPr>
          <w:rFonts w:ascii="Times New Roman" w:hAnsi="Times New Roman" w:cs="Times New Roman"/>
        </w:rPr>
        <w:t xml:space="preserve">he practice of looking across national borders for educational inspiration has existed for some time (Phillips and Schweisfurth 2006). It is, though, the case that </w:t>
      </w:r>
      <w:r w:rsidR="00B46B4D">
        <w:rPr>
          <w:rFonts w:ascii="Times New Roman" w:hAnsi="Times New Roman" w:cs="Times New Roman"/>
        </w:rPr>
        <w:t>international achievement studies, and especially PISA, have increased the impetus for cross-national attraction and education policy borrowing (</w:t>
      </w:r>
      <w:r w:rsidR="00D36DDE" w:rsidRPr="00805B80">
        <w:rPr>
          <w:rFonts w:ascii="Times New Roman" w:hAnsi="Times New Roman" w:cs="Times New Roman"/>
        </w:rPr>
        <w:t>Phillips and Ochs 2004).</w:t>
      </w:r>
      <w:r w:rsidR="001C56B5">
        <w:rPr>
          <w:rFonts w:ascii="Times New Roman" w:hAnsi="Times New Roman" w:cs="Times New Roman"/>
        </w:rPr>
        <w:t xml:space="preserve">  The influence of</w:t>
      </w:r>
      <w:r w:rsidR="00B46B4D">
        <w:rPr>
          <w:rFonts w:ascii="Times New Roman" w:hAnsi="Times New Roman" w:cs="Times New Roman"/>
        </w:rPr>
        <w:t xml:space="preserve"> PISA has increased since </w:t>
      </w:r>
      <w:r w:rsidR="006A52A1">
        <w:rPr>
          <w:rFonts w:ascii="Times New Roman" w:hAnsi="Times New Roman" w:cs="Times New Roman"/>
        </w:rPr>
        <w:t>the first survey took place in 2000</w:t>
      </w:r>
      <w:r w:rsidR="00B46B4D">
        <w:rPr>
          <w:rFonts w:ascii="Times New Roman" w:hAnsi="Times New Roman" w:cs="Times New Roman"/>
        </w:rPr>
        <w:t>, and politicians</w:t>
      </w:r>
      <w:r w:rsidR="00870F1B">
        <w:rPr>
          <w:rFonts w:ascii="Times New Roman" w:hAnsi="Times New Roman" w:cs="Times New Roman"/>
        </w:rPr>
        <w:t xml:space="preserve"> now turn to PISA results in order to fuel political and educational debate, or to reinforce education policy reform (Baird et al. 2011).  It has been observed that responses to the PISA survey add to the “sabre-rattling political rhetoric to drive through educational reforms” (</w:t>
      </w:r>
      <w:r w:rsidR="00D36DDE" w:rsidRPr="00805B80">
        <w:rPr>
          <w:rFonts w:ascii="Times New Roman" w:hAnsi="Times New Roman" w:cs="Times New Roman"/>
        </w:rPr>
        <w:t>Baird et al. 2011, 2</w:t>
      </w:r>
      <w:r w:rsidR="00822D7C" w:rsidRPr="00086D63">
        <w:rPr>
          <w:rFonts w:ascii="Times New Roman" w:hAnsi="Times New Roman" w:cs="Times New Roman"/>
        </w:rPr>
        <w:t>) and the</w:t>
      </w:r>
      <w:r w:rsidR="00870F1B">
        <w:rPr>
          <w:rFonts w:ascii="Times New Roman" w:hAnsi="Times New Roman" w:cs="Times New Roman"/>
        </w:rPr>
        <w:t xml:space="preserve"> fuel the “’edu-political’ chess match” (Rappleye 2006, 238) of politicians.  Surveys such as PISA give policy makers a “powerful ideological tool” which helps justify otherwise controversial education reform (Takayama 2008, 391). </w:t>
      </w:r>
    </w:p>
    <w:p w14:paraId="22F417D7" w14:textId="77777777" w:rsidR="009B5848" w:rsidRPr="0001680F" w:rsidRDefault="00870F1B" w:rsidP="009008BE">
      <w:pPr>
        <w:pStyle w:val="BodyTextIndent2"/>
      </w:pPr>
      <w:r>
        <w:t xml:space="preserve">There are many examples of countries </w:t>
      </w:r>
      <w:r w:rsidR="00243EDD">
        <w:t xml:space="preserve">other than England </w:t>
      </w:r>
      <w:r w:rsidR="00F85936" w:rsidRPr="00086D63">
        <w:t>using</w:t>
      </w:r>
      <w:r>
        <w:t xml:space="preserve"> PISA results to debate and justify educational reform.  For example, the French, German, </w:t>
      </w:r>
      <w:r w:rsidR="00B46B4D">
        <w:t xml:space="preserve">Norwegian, and Japanese governments used PISA data to instigate policy reforms.  </w:t>
      </w:r>
      <w:r w:rsidR="00CC6A90">
        <w:lastRenderedPageBreak/>
        <w:t xml:space="preserve">Over the years, </w:t>
      </w:r>
      <w:r w:rsidR="00B46B4D">
        <w:t xml:space="preserve">France’s reaction to its PISA </w:t>
      </w:r>
      <w:r w:rsidR="00D36DDE" w:rsidRPr="00AE3267">
        <w:t xml:space="preserve">reading </w:t>
      </w:r>
      <w:r w:rsidR="00AE3267" w:rsidRPr="00EF6ACC">
        <w:rPr>
          <w:color w:val="0000FF"/>
        </w:rPr>
        <w:t>literacy</w:t>
      </w:r>
      <w:r w:rsidR="00D36DDE" w:rsidRPr="002F085E">
        <w:rPr>
          <w:color w:val="0070C0"/>
        </w:rPr>
        <w:t xml:space="preserve"> </w:t>
      </w:r>
      <w:r w:rsidR="00D36DDE" w:rsidRPr="00AE3267">
        <w:t xml:space="preserve">results </w:t>
      </w:r>
      <w:r w:rsidR="004B402C">
        <w:t>has</w:t>
      </w:r>
      <w:r w:rsidR="00B46B4D">
        <w:t xml:space="preserve"> influenced</w:t>
      </w:r>
      <w:r w:rsidR="009B5848" w:rsidRPr="00086D63">
        <w:t xml:space="preserve"> </w:t>
      </w:r>
      <w:r>
        <w:t>the political debate about grade repetition among French students (</w:t>
      </w:r>
      <w:r w:rsidR="00D36DDE" w:rsidRPr="00AE3267">
        <w:t>Baird et al. 2011, 18</w:t>
      </w:r>
      <w:r w:rsidR="00F85936" w:rsidRPr="00086D63">
        <w:t>)</w:t>
      </w:r>
      <w:r>
        <w:t xml:space="preserve">.  Furthermore, the French government received criticism for positioning </w:t>
      </w:r>
      <w:r w:rsidR="00CC6A90">
        <w:t>international survey</w:t>
      </w:r>
      <w:r>
        <w:t xml:space="preserve"> results in a negative light to rationalise education policy reform (Baird et al. 2011, 18</w:t>
      </w:r>
      <w:r w:rsidR="009B5848" w:rsidRPr="00086D63">
        <w:t xml:space="preserve">).  Germany's </w:t>
      </w:r>
      <w:r>
        <w:t xml:space="preserve">so-called “PISA-Shock” has been well documented in academic literature (e.g. Ertl 2006; Gruber 2006). The country’s disappointing performance </w:t>
      </w:r>
      <w:r w:rsidR="009B5848" w:rsidRPr="00086D63">
        <w:t>led</w:t>
      </w:r>
      <w:r>
        <w:t xml:space="preserve"> to national education standards, and a standardisation of the curricula (Neumann et al. 2010). </w:t>
      </w:r>
    </w:p>
    <w:p w14:paraId="09435499" w14:textId="77777777" w:rsidR="009B5848" w:rsidRPr="00E761C9" w:rsidRDefault="009B5848" w:rsidP="009008BE">
      <w:pPr>
        <w:pStyle w:val="BodyTextIndent2"/>
      </w:pPr>
      <w:r w:rsidRPr="00E761C9">
        <w:t xml:space="preserve">Norwegian and Japanese policy makers </w:t>
      </w:r>
      <w:r w:rsidR="004C2FA9" w:rsidRPr="00E761C9">
        <w:t xml:space="preserve">have </w:t>
      </w:r>
      <w:r w:rsidRPr="00E761C9">
        <w:t xml:space="preserve">also used PISA as a catalyst for policy reform.  Norway experienced its own </w:t>
      </w:r>
      <w:r w:rsidR="004C2FA9" w:rsidRPr="00E761C9">
        <w:t>“</w:t>
      </w:r>
      <w:r w:rsidRPr="00E761C9">
        <w:t>PISA-Shock</w:t>
      </w:r>
      <w:r w:rsidR="004C2FA9" w:rsidRPr="00E761C9">
        <w:t>”</w:t>
      </w:r>
      <w:r w:rsidRPr="00E761C9">
        <w:t xml:space="preserve"> in response to its poor performance, especially in comparison with the other Nordic countries.  This had a major impact on </w:t>
      </w:r>
      <w:r w:rsidRPr="00086D63">
        <w:t>Norwegian education polic</w:t>
      </w:r>
      <w:r w:rsidR="00870F1B">
        <w:t xml:space="preserve">y making, as it allowed for the “political shaping of policy content,” moulded by the “political spin” of the media (Elstad 2012, 18).  The Norwegian PISA-Shock resulted in the legitimisation of education policy based on accountability, measurement, and targets with reforms for both curriculum and assessment (Baird et al. 2011, 24-25; </w:t>
      </w:r>
      <w:r w:rsidR="00D36DDE" w:rsidRPr="007A0514">
        <w:t>Elstad 2012, 18</w:t>
      </w:r>
      <w:r w:rsidRPr="00086D63">
        <w:t>).  Japan, traditionally</w:t>
      </w:r>
      <w:r w:rsidRPr="00E761C9">
        <w:t xml:space="preserve"> a high-scoring country in cross-national achievement studies, also </w:t>
      </w:r>
      <w:r w:rsidR="00954B45" w:rsidRPr="00E761C9">
        <w:t>succumbed</w:t>
      </w:r>
      <w:r w:rsidRPr="00E761C9">
        <w:t xml:space="preserve"> to PISA pressure on policy reform</w:t>
      </w:r>
      <w:r w:rsidR="00CF30D7" w:rsidRPr="00E761C9">
        <w:t xml:space="preserve">, following </w:t>
      </w:r>
      <w:r w:rsidR="0059418E" w:rsidRPr="00E761C9">
        <w:t xml:space="preserve">its own </w:t>
      </w:r>
      <w:r w:rsidR="001E2881" w:rsidRPr="00E761C9">
        <w:t>“</w:t>
      </w:r>
      <w:r w:rsidR="0059418E" w:rsidRPr="00E761C9">
        <w:t>PISA-Shock</w:t>
      </w:r>
      <w:r w:rsidR="001E2881" w:rsidRPr="00E761C9">
        <w:t>”</w:t>
      </w:r>
      <w:r w:rsidR="00000B8E" w:rsidRPr="00E761C9">
        <w:t xml:space="preserve"> (Takayama</w:t>
      </w:r>
      <w:r w:rsidR="003571B6" w:rsidRPr="00E761C9">
        <w:t xml:space="preserve"> 2009)</w:t>
      </w:r>
      <w:r w:rsidRPr="00E761C9">
        <w:t>.  Takayama (2008) documented the influence of PISA in Japanese e</w:t>
      </w:r>
      <w:r w:rsidR="007A0514">
        <w:t>ducation reform debates.  The</w:t>
      </w:r>
      <w:r w:rsidRPr="00E761C9">
        <w:t xml:space="preserve"> Japanese feared that their once-admired educa</w:t>
      </w:r>
      <w:r w:rsidR="007A0514">
        <w:t xml:space="preserve">tion system had been declining; thus, </w:t>
      </w:r>
      <w:r w:rsidRPr="00086D63">
        <w:t>educational</w:t>
      </w:r>
      <w:r w:rsidR="001704A8">
        <w:t>ists</w:t>
      </w:r>
      <w:r w:rsidRPr="00086D63">
        <w:t xml:space="preserve"> </w:t>
      </w:r>
      <w:r w:rsidRPr="000B54F7">
        <w:t xml:space="preserve">suggested that Japan's educational reforms should align themselves with those praised by </w:t>
      </w:r>
      <w:r w:rsidRPr="00086D63">
        <w:t xml:space="preserve">the OECD.  Takayama </w:t>
      </w:r>
      <w:r w:rsidR="00D36DDE" w:rsidRPr="007A0514">
        <w:t>(2008, 389)</w:t>
      </w:r>
      <w:r w:rsidR="00CC0B66" w:rsidRPr="00086D63">
        <w:t xml:space="preserve"> </w:t>
      </w:r>
      <w:r w:rsidR="00870F1B">
        <w:t>argues that</w:t>
      </w:r>
      <w:r w:rsidRPr="00E761C9">
        <w:t xml:space="preserve"> </w:t>
      </w:r>
      <w:r w:rsidR="005B37C1">
        <w:t>“political necessity”</w:t>
      </w:r>
      <w:r w:rsidR="009008BE" w:rsidRPr="00E761C9">
        <w:t>, rather than careful interpretation of the PISA data,</w:t>
      </w:r>
      <w:r w:rsidRPr="00E761C9">
        <w:t xml:space="preserve"> fuel</w:t>
      </w:r>
      <w:r w:rsidR="00607C52">
        <w:t>l</w:t>
      </w:r>
      <w:r w:rsidRPr="00E761C9">
        <w:t>ed these educational debates</w:t>
      </w:r>
      <w:r w:rsidR="001C1898" w:rsidRPr="00E761C9">
        <w:t>.</w:t>
      </w:r>
      <w:r w:rsidR="00CF30D7" w:rsidRPr="00E761C9">
        <w:t xml:space="preserve"> </w:t>
      </w:r>
      <w:r w:rsidR="001C1898" w:rsidRPr="00E761C9">
        <w:t xml:space="preserve"> </w:t>
      </w:r>
      <w:r w:rsidR="00CF30D7" w:rsidRPr="00E761C9">
        <w:t xml:space="preserve">Further, it is </w:t>
      </w:r>
      <w:r w:rsidR="00CF30D7" w:rsidRPr="00086D63">
        <w:t xml:space="preserve">suggested </w:t>
      </w:r>
      <w:r w:rsidR="00870F1B">
        <w:t xml:space="preserve">that the competition for economic success and global standing in international league tables leads to </w:t>
      </w:r>
      <w:r w:rsidR="001704A8" w:rsidRPr="00086D63">
        <w:t>an</w:t>
      </w:r>
      <w:r w:rsidR="00870F1B">
        <w:t xml:space="preserve"> “international </w:t>
      </w:r>
      <w:r w:rsidR="00870F1B">
        <w:lastRenderedPageBreak/>
        <w:t>educational horserace” (</w:t>
      </w:r>
      <w:r w:rsidR="00D36DDE" w:rsidRPr="007A0514">
        <w:t>Takayama, 2008, 389</w:t>
      </w:r>
      <w:r w:rsidRPr="00086D63">
        <w:t xml:space="preserve">), </w:t>
      </w:r>
      <w:r w:rsidR="00870F1B">
        <w:t>thus increasing the influence of these surveys on education policymaking.</w:t>
      </w:r>
      <w:r w:rsidRPr="00E761C9">
        <w:t xml:space="preserve">  </w:t>
      </w:r>
    </w:p>
    <w:p w14:paraId="77111B9D" w14:textId="77777777" w:rsidR="00546066" w:rsidRPr="00E761C9" w:rsidRDefault="00CC3015">
      <w:pPr>
        <w:pStyle w:val="BodyTextIndent2"/>
      </w:pPr>
      <w:r w:rsidRPr="00E761C9">
        <w:t xml:space="preserve">Many countries have used Finland as </w:t>
      </w:r>
      <w:r w:rsidR="006459C1" w:rsidRPr="00E761C9">
        <w:t>a</w:t>
      </w:r>
      <w:r w:rsidRPr="00E761C9">
        <w:t xml:space="preserve"> model for educational inspiration, and for policy borrowing. </w:t>
      </w:r>
      <w:r w:rsidR="00AD0D6D" w:rsidRPr="00E761C9">
        <w:t xml:space="preserve"> </w:t>
      </w:r>
      <w:r w:rsidR="007E6BFC" w:rsidRPr="00E761C9">
        <w:t>The</w:t>
      </w:r>
      <w:r w:rsidR="00740659" w:rsidRPr="00E761C9">
        <w:t xml:space="preserve"> Finnish education system has been described as representing</w:t>
      </w:r>
      <w:r w:rsidR="000A7C89" w:rsidRPr="00E761C9">
        <w:t xml:space="preserve"> a “hero”</w:t>
      </w:r>
      <w:r w:rsidR="00740659" w:rsidRPr="00E761C9">
        <w:t xml:space="preserve"> image for education policy makers (Takayama 2009, 68).  </w:t>
      </w:r>
      <w:r w:rsidR="00CC7AC7" w:rsidRPr="00E761C9">
        <w:t xml:space="preserve">For example, the </w:t>
      </w:r>
      <w:r w:rsidR="00546066" w:rsidRPr="00E761C9">
        <w:t xml:space="preserve">perceived decline in PISA performance between the 2000 and 2003 surveys led many Japanese </w:t>
      </w:r>
      <w:r w:rsidR="00CC7AC7" w:rsidRPr="00E761C9">
        <w:t>advisors to look</w:t>
      </w:r>
      <w:r w:rsidR="00546066" w:rsidRPr="00E761C9">
        <w:t xml:space="preserve"> to</w:t>
      </w:r>
      <w:r w:rsidR="00CC7AC7" w:rsidRPr="00E761C9">
        <w:t>wards</w:t>
      </w:r>
      <w:r w:rsidR="00546066" w:rsidRPr="00E761C9">
        <w:t xml:space="preserve"> Finland for educational inspiration.  This has led to much Finnish influence in Japanese education.  For example, </w:t>
      </w:r>
      <w:r w:rsidR="006459C1" w:rsidRPr="00E761C9">
        <w:t>a</w:t>
      </w:r>
      <w:r w:rsidR="008626AC" w:rsidRPr="00E761C9">
        <w:t xml:space="preserve"> “</w:t>
      </w:r>
      <w:r w:rsidR="00546066" w:rsidRPr="00E761C9">
        <w:t>Finnish</w:t>
      </w:r>
      <w:r w:rsidR="006459C1" w:rsidRPr="00E761C9">
        <w:t xml:space="preserve"> </w:t>
      </w:r>
      <w:r w:rsidR="0046629A" w:rsidRPr="00E761C9">
        <w:t>Method Promotion As</w:t>
      </w:r>
      <w:r w:rsidR="008626AC" w:rsidRPr="00E761C9">
        <w:t>sociation”</w:t>
      </w:r>
      <w:r w:rsidR="00546066" w:rsidRPr="00E761C9">
        <w:t xml:space="preserve"> took Finnish textbooks and translated them into Japanese </w:t>
      </w:r>
      <w:r w:rsidR="007E75B9" w:rsidRPr="00E761C9">
        <w:t>(Takayama 2009</w:t>
      </w:r>
      <w:r w:rsidR="00546066" w:rsidRPr="00E761C9">
        <w:t>, 51).  F</w:t>
      </w:r>
      <w:r w:rsidR="007E75B9" w:rsidRPr="00E761C9">
        <w:t xml:space="preserve">urthermore, </w:t>
      </w:r>
      <w:r w:rsidR="00CC7AC7" w:rsidRPr="00E761C9">
        <w:t xml:space="preserve">what became known as </w:t>
      </w:r>
      <w:r w:rsidR="008626AC" w:rsidRPr="00E761C9">
        <w:t>the “Finnish method”</w:t>
      </w:r>
      <w:r w:rsidR="00546066" w:rsidRPr="00E761C9">
        <w:t xml:space="preserve"> of </w:t>
      </w:r>
      <w:r w:rsidR="00546066" w:rsidRPr="00086D63">
        <w:t>teaching gained so much attentio</w:t>
      </w:r>
      <w:r w:rsidR="00870F1B">
        <w:t>n and popularity that Japanese authors published books on the matter (</w:t>
      </w:r>
      <w:r w:rsidR="00D36DDE" w:rsidRPr="008C4E7C">
        <w:t>Takayama 2009,</w:t>
      </w:r>
      <w:r w:rsidR="00211D0D" w:rsidRPr="00086D63">
        <w:t xml:space="preserve"> </w:t>
      </w:r>
      <w:r w:rsidR="00870F1B">
        <w:t>52).  The</w:t>
      </w:r>
      <w:r w:rsidR="00546066" w:rsidRPr="00E761C9">
        <w:t xml:space="preserve"> </w:t>
      </w:r>
      <w:r w:rsidR="00546066" w:rsidRPr="00086D63">
        <w:t xml:space="preserve">Finnish teaching methodology gathered so much respect that even the Japanese Ministry of Education promoted Finnish reading strategies in national reading plans.  This </w:t>
      </w:r>
      <w:r w:rsidR="00870F1B">
        <w:t>case of policy borrowing has been termed the “Finlandisation phenomenon” (</w:t>
      </w:r>
      <w:r w:rsidR="00D36DDE" w:rsidRPr="008C4E7C">
        <w:t>Takayama 2009, 52</w:t>
      </w:r>
      <w:r w:rsidR="00546066" w:rsidRPr="00086D63">
        <w:t xml:space="preserve">). </w:t>
      </w:r>
      <w:r w:rsidR="00870F1B">
        <w:t>However, Takayama (2009) argues that</w:t>
      </w:r>
      <w:r w:rsidR="000C43C3" w:rsidRPr="00E761C9">
        <w:t xml:space="preserve"> the Japanese policy makers</w:t>
      </w:r>
      <w:r w:rsidR="00546066" w:rsidRPr="00E761C9">
        <w:t xml:space="preserve"> </w:t>
      </w:r>
      <w:r w:rsidR="000C43C3" w:rsidRPr="00E761C9">
        <w:t>borrowed</w:t>
      </w:r>
      <w:r w:rsidR="00546066" w:rsidRPr="00E761C9">
        <w:t xml:space="preserve"> uncritically.  Methodological weaknesses characterise the da</w:t>
      </w:r>
      <w:r w:rsidR="00F24876" w:rsidRPr="00E761C9">
        <w:t xml:space="preserve">ta </w:t>
      </w:r>
      <w:r w:rsidR="00CC7AC7" w:rsidRPr="00E761C9">
        <w:t xml:space="preserve">that was </w:t>
      </w:r>
      <w:r w:rsidR="00F24876" w:rsidRPr="00E761C9">
        <w:t>collected</w:t>
      </w:r>
      <w:r w:rsidR="00F02C62" w:rsidRPr="00E761C9">
        <w:t xml:space="preserve">. </w:t>
      </w:r>
      <w:r w:rsidR="00F24876" w:rsidRPr="00E761C9">
        <w:t xml:space="preserve"> </w:t>
      </w:r>
      <w:r w:rsidR="00CC7AC7" w:rsidRPr="00E761C9">
        <w:t>A</w:t>
      </w:r>
      <w:r w:rsidR="00546066" w:rsidRPr="00E761C9">
        <w:t xml:space="preserve">n image </w:t>
      </w:r>
      <w:r w:rsidR="00CC7AC7" w:rsidRPr="00E761C9">
        <w:t xml:space="preserve">was constructed </w:t>
      </w:r>
      <w:r w:rsidR="00546066" w:rsidRPr="00E761C9">
        <w:t xml:space="preserve">of Finnish educational success and Japanese educational decline. This uncritical acceptance of Finnish education’s merits </w:t>
      </w:r>
      <w:r w:rsidR="00CC7AC7" w:rsidRPr="00E761C9">
        <w:t>therefore became</w:t>
      </w:r>
      <w:r w:rsidR="00546066" w:rsidRPr="00E761C9">
        <w:t xml:space="preserve"> a basis for Japanese educational reform.  </w:t>
      </w:r>
      <w:r w:rsidR="00A049D7" w:rsidRPr="00E761C9">
        <w:t xml:space="preserve">The Japanese case </w:t>
      </w:r>
      <w:r w:rsidR="00CC7AC7" w:rsidRPr="00E761C9">
        <w:t xml:space="preserve">illustrates </w:t>
      </w:r>
      <w:r w:rsidR="00A049D7" w:rsidRPr="00E761C9">
        <w:t>a pattern by which policy</w:t>
      </w:r>
      <w:r w:rsidR="00372C9D" w:rsidRPr="00E761C9">
        <w:t xml:space="preserve"> </w:t>
      </w:r>
      <w:r w:rsidR="00A049D7" w:rsidRPr="00E761C9">
        <w:t>makers use Finland and PISA to drive through and legitimise their</w:t>
      </w:r>
      <w:r w:rsidR="00DC2117">
        <w:t xml:space="preserve"> </w:t>
      </w:r>
      <w:r w:rsidR="00A049D7" w:rsidRPr="00E761C9">
        <w:t xml:space="preserve">own ideas on education reform.  </w:t>
      </w:r>
    </w:p>
    <w:p w14:paraId="665D526A" w14:textId="77777777" w:rsidR="007E0B8C" w:rsidRPr="00E761C9" w:rsidRDefault="007E0B8C" w:rsidP="007E0B8C">
      <w:pPr>
        <w:spacing w:line="480" w:lineRule="auto"/>
        <w:rPr>
          <w:rFonts w:ascii="Times New Roman" w:hAnsi="Times New Roman" w:cs="Times New Roman"/>
          <w:b/>
        </w:rPr>
      </w:pPr>
      <w:r w:rsidRPr="00E761C9">
        <w:rPr>
          <w:rFonts w:ascii="Times New Roman" w:hAnsi="Times New Roman" w:cs="Times New Roman"/>
          <w:b/>
        </w:rPr>
        <w:t>Discussion and Conclusion</w:t>
      </w:r>
    </w:p>
    <w:p w14:paraId="252F9A6E" w14:textId="77777777" w:rsidR="002F2C0A" w:rsidRPr="00E761C9" w:rsidRDefault="00C05C59" w:rsidP="0086747F">
      <w:pPr>
        <w:pStyle w:val="Standard"/>
        <w:spacing w:line="480" w:lineRule="auto"/>
        <w:ind w:firstLine="720"/>
        <w:rPr>
          <w:rFonts w:cs="Times New Roman"/>
          <w:color w:val="333333"/>
          <w:shd w:val="clear" w:color="auto" w:fill="FFFFFF"/>
        </w:rPr>
      </w:pPr>
      <w:r w:rsidRPr="00E761C9">
        <w:rPr>
          <w:rFonts w:cs="Times New Roman"/>
        </w:rPr>
        <w:t>The e</w:t>
      </w:r>
      <w:r w:rsidR="00B53930" w:rsidRPr="00E761C9">
        <w:rPr>
          <w:rFonts w:cs="Times New Roman"/>
        </w:rPr>
        <w:t>ducation</w:t>
      </w:r>
      <w:r w:rsidRPr="00E761C9">
        <w:rPr>
          <w:rFonts w:cs="Times New Roman"/>
        </w:rPr>
        <w:t xml:space="preserve"> systems and teacher preparation methods in Finland and England </w:t>
      </w:r>
      <w:r w:rsidR="00623686" w:rsidRPr="00E761C9">
        <w:rPr>
          <w:rFonts w:cs="Times New Roman"/>
        </w:rPr>
        <w:t xml:space="preserve">illustrate </w:t>
      </w:r>
      <w:r w:rsidRPr="00E761C9">
        <w:rPr>
          <w:rFonts w:cs="Times New Roman"/>
        </w:rPr>
        <w:t>a wide</w:t>
      </w:r>
      <w:r w:rsidR="00B53930" w:rsidRPr="00E761C9">
        <w:rPr>
          <w:rFonts w:cs="Times New Roman"/>
        </w:rPr>
        <w:t xml:space="preserve"> attitudinal difference towards </w:t>
      </w:r>
      <w:r w:rsidR="001E168C" w:rsidRPr="00E761C9">
        <w:rPr>
          <w:rFonts w:cs="Times New Roman"/>
        </w:rPr>
        <w:t xml:space="preserve">education in the two countries.  </w:t>
      </w:r>
      <w:r w:rsidR="00427FA8" w:rsidRPr="00E761C9">
        <w:rPr>
          <w:rFonts w:cs="Times New Roman"/>
        </w:rPr>
        <w:lastRenderedPageBreak/>
        <w:t>Finnish researchers (e.g. Maa</w:t>
      </w:r>
      <w:r w:rsidR="007F311C" w:rsidRPr="00E761C9">
        <w:rPr>
          <w:rFonts w:cs="Times New Roman"/>
        </w:rPr>
        <w:t xml:space="preserve">ranen 2009) would argue that </w:t>
      </w:r>
      <w:r w:rsidR="00D90768" w:rsidRPr="00E761C9">
        <w:rPr>
          <w:rFonts w:cs="Times New Roman"/>
        </w:rPr>
        <w:t>the strong research and academic element of teacher education in Finland sup</w:t>
      </w:r>
      <w:r w:rsidR="00830953" w:rsidRPr="00E761C9">
        <w:rPr>
          <w:rFonts w:cs="Times New Roman"/>
        </w:rPr>
        <w:t>ports teachers’ professionalism</w:t>
      </w:r>
      <w:r w:rsidR="00D90768" w:rsidRPr="00E761C9">
        <w:rPr>
          <w:rFonts w:cs="Times New Roman"/>
        </w:rPr>
        <w:t xml:space="preserve"> by helping individuals adjust their teaching, allowing for more knowledge and reflection, building self-confidence and cooperation with colleagues, and finally, </w:t>
      </w:r>
      <w:r w:rsidR="00D90768" w:rsidRPr="00086D63">
        <w:rPr>
          <w:rFonts w:cs="Times New Roman"/>
        </w:rPr>
        <w:t>developing research skills and criticality.  Whil</w:t>
      </w:r>
      <w:r w:rsidR="00623686" w:rsidRPr="00086D63">
        <w:rPr>
          <w:rFonts w:cs="Times New Roman"/>
        </w:rPr>
        <w:t>st</w:t>
      </w:r>
      <w:r w:rsidR="00870F1B">
        <w:rPr>
          <w:rFonts w:cs="Times New Roman"/>
        </w:rPr>
        <w:t xml:space="preserve"> some Finnish teacher education students found the 25,000 word dissertation too strenuous and difficult (</w:t>
      </w:r>
      <w:r w:rsidR="00D36DDE" w:rsidRPr="009A754A">
        <w:rPr>
          <w:rFonts w:cs="Times New Roman"/>
        </w:rPr>
        <w:t>Maaranen 2009,</w:t>
      </w:r>
      <w:r w:rsidR="008846DA" w:rsidRPr="00086D63">
        <w:rPr>
          <w:rFonts w:cs="Times New Roman"/>
        </w:rPr>
        <w:t xml:space="preserve"> </w:t>
      </w:r>
      <w:r w:rsidR="00D36DDE" w:rsidRPr="009A754A">
        <w:rPr>
          <w:rFonts w:cs="Times New Roman"/>
        </w:rPr>
        <w:t>234</w:t>
      </w:r>
      <w:r w:rsidR="00D90768" w:rsidRPr="00086D63">
        <w:rPr>
          <w:rFonts w:cs="Times New Roman"/>
        </w:rPr>
        <w:t>)</w:t>
      </w:r>
      <w:r w:rsidR="000423E1" w:rsidRPr="00086D63">
        <w:rPr>
          <w:rFonts w:cs="Times New Roman"/>
        </w:rPr>
        <w:t xml:space="preserve">, this example of the academic focus of </w:t>
      </w:r>
      <w:r w:rsidR="00870F1B">
        <w:rPr>
          <w:rFonts w:cs="Times New Roman"/>
        </w:rPr>
        <w:t>teacher education highlights the difference between the Finnish</w:t>
      </w:r>
      <w:r w:rsidR="00D90768" w:rsidRPr="00E761C9">
        <w:rPr>
          <w:rFonts w:cs="Times New Roman"/>
        </w:rPr>
        <w:t xml:space="preserve"> and English attitudes towards </w:t>
      </w:r>
      <w:r w:rsidR="00653300" w:rsidRPr="00E761C9">
        <w:rPr>
          <w:rFonts w:cs="Times New Roman"/>
        </w:rPr>
        <w:t>teaching</w:t>
      </w:r>
      <w:r w:rsidR="00D90768" w:rsidRPr="00E761C9">
        <w:rPr>
          <w:rFonts w:cs="Times New Roman"/>
        </w:rPr>
        <w:t xml:space="preserve">. </w:t>
      </w:r>
      <w:r w:rsidR="000423E1" w:rsidRPr="00E761C9">
        <w:rPr>
          <w:rFonts w:cs="Times New Roman"/>
        </w:rPr>
        <w:t xml:space="preserve"> The MA dissertation and its</w:t>
      </w:r>
      <w:r w:rsidR="00D90768" w:rsidRPr="00E761C9">
        <w:rPr>
          <w:rFonts w:cs="Times New Roman"/>
        </w:rPr>
        <w:t xml:space="preserve"> potential </w:t>
      </w:r>
      <w:r w:rsidR="000423E1" w:rsidRPr="00E761C9">
        <w:rPr>
          <w:rFonts w:cs="Times New Roman"/>
        </w:rPr>
        <w:t xml:space="preserve">for professional development </w:t>
      </w:r>
      <w:r w:rsidR="00D90768" w:rsidRPr="00E761C9">
        <w:rPr>
          <w:rFonts w:cs="Times New Roman"/>
        </w:rPr>
        <w:t xml:space="preserve">illustrate the importance of research, scholarship, and the academic ascent that has taken place in the Finnish teaching profession.  </w:t>
      </w:r>
    </w:p>
    <w:p w14:paraId="2E443359" w14:textId="77777777" w:rsidR="00DF4045" w:rsidRPr="00086D63" w:rsidRDefault="00C36D42" w:rsidP="00AA0D22">
      <w:pPr>
        <w:pStyle w:val="CommentText"/>
        <w:spacing w:line="480" w:lineRule="auto"/>
        <w:ind w:firstLine="720"/>
        <w:rPr>
          <w:rFonts w:cs="Times New Roman"/>
          <w:sz w:val="24"/>
          <w:szCs w:val="24"/>
        </w:rPr>
      </w:pPr>
      <w:r>
        <w:rPr>
          <w:rFonts w:cs="Times New Roman"/>
          <w:sz w:val="24"/>
          <w:szCs w:val="24"/>
        </w:rPr>
        <w:t>In the UK, t</w:t>
      </w:r>
      <w:r w:rsidRPr="00E761C9">
        <w:rPr>
          <w:rFonts w:cs="Times New Roman"/>
          <w:sz w:val="24"/>
          <w:szCs w:val="24"/>
        </w:rPr>
        <w:t xml:space="preserve">he </w:t>
      </w:r>
      <w:r w:rsidR="00A8487D" w:rsidRPr="00E761C9">
        <w:rPr>
          <w:rFonts w:cs="Times New Roman"/>
          <w:sz w:val="24"/>
          <w:szCs w:val="24"/>
        </w:rPr>
        <w:t xml:space="preserve">British Educational Research Association (BERA) and The Royal Society for the Encouragement of the Arts, Manufacturing and Commerce (RSA) published a report of their inquiry into the role of research in teacher </w:t>
      </w:r>
      <w:r w:rsidR="009C2D4A" w:rsidRPr="00E761C9">
        <w:rPr>
          <w:rFonts w:cs="Times New Roman"/>
          <w:sz w:val="24"/>
          <w:szCs w:val="24"/>
        </w:rPr>
        <w:t>preparation</w:t>
      </w:r>
      <w:r w:rsidR="00A8487D" w:rsidRPr="00E761C9">
        <w:rPr>
          <w:rFonts w:cs="Times New Roman"/>
          <w:sz w:val="24"/>
          <w:szCs w:val="24"/>
        </w:rPr>
        <w:t xml:space="preserve">.  It stresses the importance of </w:t>
      </w:r>
      <w:r w:rsidR="00E46FA1" w:rsidRPr="00E761C9">
        <w:rPr>
          <w:rFonts w:cs="Times New Roman"/>
          <w:sz w:val="24"/>
          <w:szCs w:val="24"/>
        </w:rPr>
        <w:t>“</w:t>
      </w:r>
      <w:r w:rsidR="00A8487D" w:rsidRPr="00E761C9">
        <w:rPr>
          <w:rFonts w:cs="Times New Roman"/>
          <w:color w:val="000000"/>
          <w:sz w:val="24"/>
          <w:szCs w:val="24"/>
        </w:rPr>
        <w:t>self-improving education systems in which all teachers become research literate and many have frequent opportunities for eng</w:t>
      </w:r>
      <w:r w:rsidR="00E46FA1" w:rsidRPr="00E761C9">
        <w:rPr>
          <w:rFonts w:cs="Times New Roman"/>
          <w:color w:val="000000"/>
          <w:sz w:val="24"/>
          <w:szCs w:val="24"/>
        </w:rPr>
        <w:t>agement in research and enquiry”</w:t>
      </w:r>
      <w:r w:rsidR="00A8487D" w:rsidRPr="00E761C9">
        <w:rPr>
          <w:rFonts w:cs="Times New Roman"/>
          <w:color w:val="000000"/>
          <w:sz w:val="24"/>
          <w:szCs w:val="24"/>
        </w:rPr>
        <w:t xml:space="preserve"> </w:t>
      </w:r>
      <w:r w:rsidR="00A8487D" w:rsidRPr="00E761C9">
        <w:rPr>
          <w:rFonts w:cs="Times New Roman"/>
          <w:sz w:val="24"/>
          <w:szCs w:val="24"/>
        </w:rPr>
        <w:t xml:space="preserve">(BERA-RSA 2014, 4).  </w:t>
      </w:r>
      <w:r>
        <w:rPr>
          <w:rFonts w:cs="Times New Roman"/>
          <w:sz w:val="24"/>
          <w:szCs w:val="24"/>
        </w:rPr>
        <w:t>It is argued that t</w:t>
      </w:r>
      <w:r w:rsidRPr="00E761C9">
        <w:rPr>
          <w:rFonts w:cs="Times New Roman"/>
          <w:sz w:val="24"/>
          <w:szCs w:val="24"/>
        </w:rPr>
        <w:t xml:space="preserve">his </w:t>
      </w:r>
      <w:r w:rsidR="0067769F" w:rsidRPr="00E761C9">
        <w:rPr>
          <w:rFonts w:cs="Times New Roman"/>
          <w:sz w:val="24"/>
          <w:szCs w:val="24"/>
        </w:rPr>
        <w:t>supports the Finnish methods of teacher education</w:t>
      </w:r>
      <w:r w:rsidR="008878E4" w:rsidRPr="00E761C9">
        <w:rPr>
          <w:rFonts w:cs="Times New Roman"/>
          <w:sz w:val="24"/>
          <w:szCs w:val="24"/>
        </w:rPr>
        <w:t>, whilst countering the direction of travel represented by the</w:t>
      </w:r>
      <w:r w:rsidR="0067769F" w:rsidRPr="00E761C9">
        <w:rPr>
          <w:rFonts w:cs="Times New Roman"/>
          <w:sz w:val="24"/>
          <w:szCs w:val="24"/>
        </w:rPr>
        <w:t xml:space="preserve"> 2010 </w:t>
      </w:r>
      <w:r>
        <w:rPr>
          <w:rFonts w:cs="Times New Roman"/>
          <w:sz w:val="24"/>
          <w:szCs w:val="24"/>
        </w:rPr>
        <w:t xml:space="preserve">Schools </w:t>
      </w:r>
      <w:r w:rsidR="0067769F" w:rsidRPr="00E761C9">
        <w:rPr>
          <w:rFonts w:cs="Times New Roman"/>
          <w:sz w:val="24"/>
          <w:szCs w:val="24"/>
        </w:rPr>
        <w:t xml:space="preserve">White </w:t>
      </w:r>
      <w:r w:rsidR="0067769F" w:rsidRPr="00086D63">
        <w:rPr>
          <w:rFonts w:cs="Times New Roman"/>
          <w:sz w:val="24"/>
          <w:szCs w:val="24"/>
        </w:rPr>
        <w:t xml:space="preserve">Paper and the MTL.  </w:t>
      </w:r>
    </w:p>
    <w:p w14:paraId="09729874" w14:textId="77777777" w:rsidR="00DE3877" w:rsidRPr="00E761C9" w:rsidRDefault="00870F1B" w:rsidP="00AA0D22">
      <w:pPr>
        <w:pStyle w:val="CommentText"/>
        <w:spacing w:line="480" w:lineRule="auto"/>
        <w:ind w:firstLine="720"/>
        <w:rPr>
          <w:rFonts w:cs="Times New Roman"/>
          <w:color w:val="0000FF"/>
          <w:sz w:val="24"/>
          <w:szCs w:val="24"/>
        </w:rPr>
      </w:pPr>
      <w:r>
        <w:rPr>
          <w:rFonts w:cs="Times New Roman"/>
          <w:sz w:val="24"/>
          <w:szCs w:val="24"/>
        </w:rPr>
        <w:t>Comparativists</w:t>
      </w:r>
      <w:r w:rsidR="00086D63">
        <w:rPr>
          <w:rFonts w:cs="Times New Roman"/>
          <w:sz w:val="24"/>
          <w:szCs w:val="24"/>
        </w:rPr>
        <w:t xml:space="preserve"> </w:t>
      </w:r>
      <w:r>
        <w:rPr>
          <w:rFonts w:cs="Times New Roman"/>
          <w:sz w:val="24"/>
          <w:szCs w:val="24"/>
        </w:rPr>
        <w:t>have warned repeatedly of the difficulty in policy transfer.  Not all policy borrowing ventures result in succe</w:t>
      </w:r>
      <w:r w:rsidR="00D36DDE" w:rsidRPr="009A754A">
        <w:rPr>
          <w:rFonts w:cs="Times New Roman"/>
          <w:sz w:val="24"/>
          <w:szCs w:val="24"/>
        </w:rPr>
        <w:t xml:space="preserve">ssful implementation and indigenisation of the transferred </w:t>
      </w:r>
      <w:r w:rsidR="00E36D2D" w:rsidRPr="00086D63">
        <w:rPr>
          <w:rFonts w:cs="Times New Roman"/>
          <w:sz w:val="24"/>
          <w:szCs w:val="24"/>
        </w:rPr>
        <w:t xml:space="preserve">policy. </w:t>
      </w:r>
      <w:r w:rsidR="009E24AC" w:rsidRPr="00086D63">
        <w:rPr>
          <w:rFonts w:cs="Times New Roman"/>
          <w:sz w:val="24"/>
          <w:szCs w:val="24"/>
        </w:rPr>
        <w:t xml:space="preserve"> </w:t>
      </w:r>
      <w:r w:rsidR="00D36DDE" w:rsidRPr="009A754A">
        <w:rPr>
          <w:rFonts w:cs="Times New Roman"/>
          <w:sz w:val="24"/>
          <w:szCs w:val="24"/>
        </w:rPr>
        <w:t>Dolowitz and Marsh (2000, 17) cite three reasons for potential policy failure: uninformed, incomplete, or inappropriate transfer.</w:t>
      </w:r>
      <w:r w:rsidR="009E24AC" w:rsidRPr="00086D63">
        <w:rPr>
          <w:rFonts w:cs="Times New Roman"/>
          <w:sz w:val="24"/>
          <w:szCs w:val="24"/>
        </w:rPr>
        <w:t xml:space="preserve"> </w:t>
      </w:r>
      <w:r w:rsidR="00D36DDE" w:rsidRPr="009A754A">
        <w:rPr>
          <w:rFonts w:cs="Times New Roman"/>
          <w:sz w:val="24"/>
          <w:szCs w:val="24"/>
        </w:rPr>
        <w:t xml:space="preserve">Uninformed transfer occurs when there is insufficient information about the borrowed policy.  Incomplete transfer happens when critical factors of the policy are not </w:t>
      </w:r>
      <w:r w:rsidR="00D36DDE" w:rsidRPr="009A754A">
        <w:rPr>
          <w:rFonts w:cs="Times New Roman"/>
          <w:sz w:val="24"/>
          <w:szCs w:val="24"/>
        </w:rPr>
        <w:lastRenderedPageBreak/>
        <w:t>included.  Finally, inappropriate transfer transpires when inadequate attention was paid to the context and ideology of both the borrowing and lending contexts.</w:t>
      </w:r>
      <w:r w:rsidR="009E24AC" w:rsidRPr="00E761C9">
        <w:rPr>
          <w:rFonts w:cs="Times New Roman"/>
          <w:color w:val="0000FF"/>
          <w:sz w:val="24"/>
          <w:szCs w:val="24"/>
        </w:rPr>
        <w:t xml:space="preserve"> </w:t>
      </w:r>
      <w:r w:rsidR="00E36D2D" w:rsidRPr="00E761C9">
        <w:rPr>
          <w:rFonts w:cs="Times New Roman"/>
          <w:color w:val="0000FF"/>
          <w:sz w:val="24"/>
          <w:szCs w:val="24"/>
        </w:rPr>
        <w:t xml:space="preserve"> </w:t>
      </w:r>
      <w:r w:rsidR="00E36D2D" w:rsidRPr="00E761C9">
        <w:rPr>
          <w:rFonts w:cs="Times New Roman"/>
          <w:sz w:val="24"/>
          <w:szCs w:val="24"/>
        </w:rPr>
        <w:t xml:space="preserve">In the </w:t>
      </w:r>
      <w:r w:rsidR="004030F8" w:rsidRPr="00086D63">
        <w:rPr>
          <w:rFonts w:cs="Times New Roman"/>
          <w:sz w:val="24"/>
          <w:szCs w:val="24"/>
        </w:rPr>
        <w:t>case</w:t>
      </w:r>
      <w:r w:rsidR="00E36D2D" w:rsidRPr="00086D63">
        <w:rPr>
          <w:rFonts w:cs="Times New Roman"/>
          <w:sz w:val="24"/>
          <w:szCs w:val="24"/>
        </w:rPr>
        <w:t xml:space="preserve"> of</w:t>
      </w:r>
      <w:r>
        <w:rPr>
          <w:rFonts w:cs="Times New Roman"/>
          <w:sz w:val="24"/>
          <w:szCs w:val="24"/>
        </w:rPr>
        <w:t xml:space="preserve"> both</w:t>
      </w:r>
      <w:r w:rsidR="00E36D2D" w:rsidRPr="00086D63">
        <w:rPr>
          <w:rFonts w:cs="Times New Roman"/>
          <w:sz w:val="24"/>
          <w:szCs w:val="24"/>
        </w:rPr>
        <w:t xml:space="preserve"> the </w:t>
      </w:r>
      <w:r w:rsidR="00970394" w:rsidRPr="00086D63">
        <w:rPr>
          <w:rFonts w:cs="Times New Roman"/>
          <w:sz w:val="24"/>
          <w:szCs w:val="24"/>
        </w:rPr>
        <w:t>University</w:t>
      </w:r>
      <w:r w:rsidR="00970394" w:rsidRPr="00E761C9">
        <w:rPr>
          <w:rFonts w:cs="Times New Roman"/>
          <w:sz w:val="24"/>
          <w:szCs w:val="24"/>
        </w:rPr>
        <w:t xml:space="preserve"> Training Schools in the 2010 </w:t>
      </w:r>
      <w:r w:rsidR="00C36D42">
        <w:rPr>
          <w:rFonts w:cs="Times New Roman"/>
          <w:sz w:val="24"/>
          <w:szCs w:val="24"/>
        </w:rPr>
        <w:t xml:space="preserve">Schools </w:t>
      </w:r>
      <w:r w:rsidR="00E36D2D" w:rsidRPr="00E761C9">
        <w:rPr>
          <w:rFonts w:cs="Times New Roman"/>
          <w:sz w:val="24"/>
          <w:szCs w:val="24"/>
        </w:rPr>
        <w:t>White Paper and the MTL</w:t>
      </w:r>
      <w:r w:rsidR="004030F8" w:rsidRPr="00E761C9">
        <w:rPr>
          <w:rFonts w:cs="Times New Roman"/>
          <w:sz w:val="24"/>
          <w:szCs w:val="24"/>
        </w:rPr>
        <w:t xml:space="preserve">, </w:t>
      </w:r>
      <w:r w:rsidR="003F7188">
        <w:rPr>
          <w:rFonts w:cs="Times New Roman"/>
          <w:sz w:val="24"/>
          <w:szCs w:val="24"/>
        </w:rPr>
        <w:t xml:space="preserve">using </w:t>
      </w:r>
      <w:r w:rsidR="004030F8" w:rsidRPr="00E761C9">
        <w:rPr>
          <w:rFonts w:cs="Times New Roman"/>
          <w:sz w:val="24"/>
          <w:szCs w:val="24"/>
        </w:rPr>
        <w:t xml:space="preserve">Dolowitz </w:t>
      </w:r>
      <w:r w:rsidR="004030F8" w:rsidRPr="00086D63">
        <w:rPr>
          <w:rFonts w:cs="Times New Roman"/>
          <w:sz w:val="24"/>
          <w:szCs w:val="24"/>
        </w:rPr>
        <w:t>and Marsh</w:t>
      </w:r>
      <w:r w:rsidR="003F7188" w:rsidRPr="00086D63">
        <w:rPr>
          <w:rFonts w:cs="Times New Roman"/>
          <w:sz w:val="24"/>
          <w:szCs w:val="24"/>
        </w:rPr>
        <w:t>’s</w:t>
      </w:r>
      <w:r w:rsidR="004030F8" w:rsidRPr="00086D63">
        <w:rPr>
          <w:rFonts w:cs="Times New Roman"/>
          <w:sz w:val="24"/>
          <w:szCs w:val="24"/>
        </w:rPr>
        <w:t xml:space="preserve"> (2000</w:t>
      </w:r>
      <w:r w:rsidR="008E45DA" w:rsidRPr="00086D63">
        <w:rPr>
          <w:rFonts w:cs="Times New Roman"/>
          <w:sz w:val="24"/>
          <w:szCs w:val="24"/>
        </w:rPr>
        <w:t>, 17)</w:t>
      </w:r>
      <w:r w:rsidR="004030F8" w:rsidRPr="00086D63">
        <w:rPr>
          <w:rFonts w:cs="Times New Roman"/>
          <w:sz w:val="24"/>
          <w:szCs w:val="24"/>
        </w:rPr>
        <w:t xml:space="preserve"> </w:t>
      </w:r>
      <w:r w:rsidR="003F7188" w:rsidRPr="00086D63">
        <w:rPr>
          <w:rFonts w:cs="Times New Roman"/>
          <w:sz w:val="24"/>
          <w:szCs w:val="24"/>
        </w:rPr>
        <w:t>categorisation</w:t>
      </w:r>
      <w:r w:rsidR="003F7188">
        <w:rPr>
          <w:rFonts w:cs="Times New Roman"/>
          <w:sz w:val="24"/>
          <w:szCs w:val="24"/>
        </w:rPr>
        <w:t xml:space="preserve">, I </w:t>
      </w:r>
      <w:r w:rsidR="00D36DDE" w:rsidRPr="009A754A">
        <w:rPr>
          <w:rFonts w:cs="Times New Roman"/>
          <w:sz w:val="24"/>
          <w:szCs w:val="24"/>
        </w:rPr>
        <w:t>argue that both of these borrowed policies are</w:t>
      </w:r>
      <w:r w:rsidR="003F7188" w:rsidRPr="00086D63">
        <w:rPr>
          <w:rFonts w:cs="Times New Roman"/>
          <w:sz w:val="24"/>
          <w:szCs w:val="24"/>
        </w:rPr>
        <w:t xml:space="preserve"> </w:t>
      </w:r>
      <w:r w:rsidR="004030F8" w:rsidRPr="00086D63">
        <w:rPr>
          <w:rFonts w:cs="Times New Roman"/>
          <w:sz w:val="24"/>
          <w:szCs w:val="24"/>
        </w:rPr>
        <w:t>policy failure</w:t>
      </w:r>
      <w:r w:rsidR="00C36D42">
        <w:rPr>
          <w:rFonts w:cs="Times New Roman"/>
          <w:sz w:val="24"/>
          <w:szCs w:val="24"/>
        </w:rPr>
        <w:t>,</w:t>
      </w:r>
      <w:r w:rsidR="002177DA">
        <w:rPr>
          <w:rFonts w:cs="Times New Roman"/>
          <w:sz w:val="24"/>
          <w:szCs w:val="24"/>
        </w:rPr>
        <w:t xml:space="preserve"> </w:t>
      </w:r>
      <w:r w:rsidR="00D36DDE" w:rsidRPr="009A754A">
        <w:rPr>
          <w:rFonts w:cs="Times New Roman"/>
          <w:sz w:val="24"/>
          <w:szCs w:val="24"/>
        </w:rPr>
        <w:t>as both policy borrowing attempts would fall under incomplete and inappropriate transfer</w:t>
      </w:r>
      <w:r w:rsidR="00C36D42">
        <w:rPr>
          <w:rFonts w:cs="Times New Roman"/>
          <w:sz w:val="24"/>
          <w:szCs w:val="24"/>
        </w:rPr>
        <w:t xml:space="preserve">. </w:t>
      </w:r>
      <w:r w:rsidR="00D36DDE" w:rsidRPr="009A754A">
        <w:rPr>
          <w:rFonts w:cs="Times New Roman"/>
          <w:sz w:val="24"/>
          <w:szCs w:val="24"/>
        </w:rPr>
        <w:t>Both of the policies succumbed to inappropriate transfer as well, for UK policy makers did not consider the disparate “ecosystems” (Kemmis and Heikkinen 2012, 157) of England and Finland when initiating the borrowing of Finnish teacher education policy.</w:t>
      </w:r>
      <w:r w:rsidR="00A9453E" w:rsidRPr="00E761C9">
        <w:rPr>
          <w:rFonts w:cs="Times New Roman"/>
          <w:color w:val="0000FF"/>
          <w:sz w:val="24"/>
          <w:szCs w:val="24"/>
        </w:rPr>
        <w:t xml:space="preserve">  </w:t>
      </w:r>
    </w:p>
    <w:p w14:paraId="0C4F59AF" w14:textId="77777777" w:rsidR="00F03099" w:rsidRDefault="00C37C31" w:rsidP="002177DA">
      <w:pPr>
        <w:pStyle w:val="BodyTextIndent2"/>
      </w:pPr>
      <w:r w:rsidRPr="00E761C9">
        <w:t>Success</w:t>
      </w:r>
      <w:r w:rsidR="00D818EC" w:rsidRPr="00E761C9">
        <w:t xml:space="preserve">ful policy borrowing requires commitment and vision.  Ochs </w:t>
      </w:r>
      <w:r w:rsidR="009E6E01" w:rsidRPr="00E761C9">
        <w:t xml:space="preserve">(2006) documented successful policy transfer from Switzerland </w:t>
      </w:r>
      <w:r w:rsidR="00DC7F37" w:rsidRPr="00E761C9">
        <w:t xml:space="preserve">and Germany </w:t>
      </w:r>
      <w:r w:rsidR="009E6E01" w:rsidRPr="00E761C9">
        <w:t xml:space="preserve">to the </w:t>
      </w:r>
      <w:r w:rsidR="008C7A53" w:rsidRPr="00E761C9">
        <w:t xml:space="preserve">London </w:t>
      </w:r>
      <w:r w:rsidR="009E6E01" w:rsidRPr="00E761C9">
        <w:t>borough of Barking and Dagenham in England, by following these steps:</w:t>
      </w:r>
      <w:r w:rsidR="00086D63">
        <w:t xml:space="preserve"> (1) </w:t>
      </w:r>
      <w:r w:rsidR="00DC7F37" w:rsidRPr="00E761C9">
        <w:t>A strong commitment to improving the school system</w:t>
      </w:r>
      <w:r w:rsidR="00086D63">
        <w:t xml:space="preserve">; (2) </w:t>
      </w:r>
      <w:r w:rsidR="00DC7F37" w:rsidRPr="00E761C9">
        <w:t>Strong key partnerships to provide support in the process</w:t>
      </w:r>
      <w:r w:rsidR="00086D63">
        <w:t xml:space="preserve">; (3) </w:t>
      </w:r>
      <w:r w:rsidR="00DC7F37" w:rsidRPr="00E761C9">
        <w:t>Awareness of the challenges at hand when implementing a foreign system into one’s own</w:t>
      </w:r>
      <w:r w:rsidR="00086D63">
        <w:t xml:space="preserve">; (4) </w:t>
      </w:r>
      <w:r w:rsidR="00DC7F37" w:rsidRPr="00E761C9">
        <w:t>Recognising that the process would require continuous commitment and repetition</w:t>
      </w:r>
      <w:r w:rsidR="00086D63">
        <w:t xml:space="preserve"> and (5) </w:t>
      </w:r>
      <w:r w:rsidR="00DC7F37" w:rsidRPr="00E761C9">
        <w:t xml:space="preserve">Considering the contexts of both countries throughout the policy borrowing stages (Ochs 2006, 616).  </w:t>
      </w:r>
    </w:p>
    <w:p w14:paraId="5B30433F" w14:textId="77777777" w:rsidR="008878E4" w:rsidRDefault="00DC7F37" w:rsidP="002177DA">
      <w:pPr>
        <w:spacing w:line="480" w:lineRule="auto"/>
        <w:ind w:firstLine="720"/>
        <w:rPr>
          <w:rFonts w:ascii="Times New Roman" w:hAnsi="Times New Roman" w:cs="Times New Roman"/>
        </w:rPr>
      </w:pPr>
      <w:r w:rsidRPr="00E761C9">
        <w:rPr>
          <w:rFonts w:ascii="Times New Roman" w:hAnsi="Times New Roman" w:cs="Times New Roman"/>
        </w:rPr>
        <w:t xml:space="preserve">This article has </w:t>
      </w:r>
      <w:r w:rsidR="00B05609" w:rsidRPr="00E761C9">
        <w:rPr>
          <w:rFonts w:ascii="Times New Roman" w:hAnsi="Times New Roman" w:cs="Times New Roman"/>
        </w:rPr>
        <w:t>suggest</w:t>
      </w:r>
      <w:r w:rsidRPr="00E761C9">
        <w:rPr>
          <w:rFonts w:ascii="Times New Roman" w:hAnsi="Times New Roman" w:cs="Times New Roman"/>
        </w:rPr>
        <w:t>ed that the Finnish policies were borrowed uncritically, incompletely, and inappropriately, and thus, did not follow the steps outlined by Ochs</w:t>
      </w:r>
      <w:r w:rsidR="00330125">
        <w:rPr>
          <w:rFonts w:ascii="Times New Roman" w:hAnsi="Times New Roman" w:cs="Times New Roman"/>
        </w:rPr>
        <w:t xml:space="preserve"> (2006)</w:t>
      </w:r>
      <w:r w:rsidRPr="00E761C9">
        <w:rPr>
          <w:rFonts w:ascii="Times New Roman" w:hAnsi="Times New Roman" w:cs="Times New Roman"/>
        </w:rPr>
        <w:t>.  Policy borrowing</w:t>
      </w:r>
      <w:r w:rsidR="00493726" w:rsidRPr="00E761C9">
        <w:rPr>
          <w:rFonts w:ascii="Times New Roman" w:hAnsi="Times New Roman" w:cs="Times New Roman"/>
        </w:rPr>
        <w:t xml:space="preserve"> from any context proves to be a difficult process. </w:t>
      </w:r>
      <w:r w:rsidR="00D26031" w:rsidRPr="00E761C9">
        <w:rPr>
          <w:rFonts w:ascii="Times New Roman" w:hAnsi="Times New Roman" w:cs="Times New Roman"/>
        </w:rPr>
        <w:t xml:space="preserve"> </w:t>
      </w:r>
      <w:r w:rsidR="003143E8" w:rsidRPr="00E761C9">
        <w:rPr>
          <w:rFonts w:ascii="Times New Roman" w:hAnsi="Times New Roman" w:cs="Times New Roman"/>
        </w:rPr>
        <w:t xml:space="preserve">As both the MTL and the 2010 </w:t>
      </w:r>
      <w:r w:rsidR="00012F65">
        <w:rPr>
          <w:rFonts w:ascii="Times New Roman" w:hAnsi="Times New Roman" w:cs="Times New Roman"/>
        </w:rPr>
        <w:t xml:space="preserve">Schools </w:t>
      </w:r>
      <w:r w:rsidR="003143E8" w:rsidRPr="00E761C9">
        <w:rPr>
          <w:rFonts w:ascii="Times New Roman" w:hAnsi="Times New Roman" w:cs="Times New Roman"/>
        </w:rPr>
        <w:t xml:space="preserve">White Paper reforms are relatively recent, it is </w:t>
      </w:r>
      <w:r w:rsidR="008878E4" w:rsidRPr="00E761C9">
        <w:rPr>
          <w:rFonts w:ascii="Times New Roman" w:hAnsi="Times New Roman" w:cs="Times New Roman"/>
        </w:rPr>
        <w:t xml:space="preserve">too soon </w:t>
      </w:r>
      <w:r w:rsidR="003143E8" w:rsidRPr="00E761C9">
        <w:rPr>
          <w:rFonts w:ascii="Times New Roman" w:hAnsi="Times New Roman" w:cs="Times New Roman"/>
        </w:rPr>
        <w:t>to assess</w:t>
      </w:r>
      <w:r w:rsidR="008878E4" w:rsidRPr="00E761C9">
        <w:rPr>
          <w:rFonts w:ascii="Times New Roman" w:hAnsi="Times New Roman" w:cs="Times New Roman"/>
        </w:rPr>
        <w:t xml:space="preserve">, categorically, their future success or otherwise in the English educational context. However, what this analysis suggests is that they represent significant examples of policy borrowing with insufficient regard for the wider </w:t>
      </w:r>
      <w:r w:rsidR="008878E4" w:rsidRPr="00E761C9">
        <w:rPr>
          <w:rFonts w:ascii="Times New Roman" w:hAnsi="Times New Roman" w:cs="Times New Roman"/>
        </w:rPr>
        <w:lastRenderedPageBreak/>
        <w:t>context</w:t>
      </w:r>
      <w:r w:rsidR="00012F65">
        <w:rPr>
          <w:rFonts w:ascii="Times New Roman" w:hAnsi="Times New Roman" w:cs="Times New Roman"/>
        </w:rPr>
        <w:t>: a phenomenon that is also apparent in other educational policy-borrowing settings across the globe.</w:t>
      </w:r>
    </w:p>
    <w:p w14:paraId="6590BC53" w14:textId="77777777" w:rsidR="00086D63" w:rsidRPr="00E761C9" w:rsidRDefault="00086D63" w:rsidP="00086D63">
      <w:pPr>
        <w:spacing w:line="480" w:lineRule="auto"/>
        <w:rPr>
          <w:rFonts w:ascii="Times New Roman" w:hAnsi="Times New Roman" w:cs="Times New Roman"/>
        </w:rPr>
      </w:pPr>
    </w:p>
    <w:p w14:paraId="7C95A054" w14:textId="77777777" w:rsidR="00EB17DD" w:rsidRPr="00E761C9" w:rsidRDefault="006444E4" w:rsidP="00C84FA1">
      <w:pPr>
        <w:rPr>
          <w:rFonts w:ascii="Times New Roman" w:hAnsi="Times New Roman" w:cs="Times New Roman"/>
          <w:b/>
          <w:u w:val="single"/>
        </w:rPr>
      </w:pPr>
      <w:r w:rsidRPr="00E761C9">
        <w:rPr>
          <w:rFonts w:ascii="Times New Roman" w:hAnsi="Times New Roman" w:cs="Times New Roman"/>
          <w:b/>
          <w:u w:val="single"/>
        </w:rPr>
        <w:t>References</w:t>
      </w:r>
    </w:p>
    <w:p w14:paraId="1334B11A" w14:textId="77777777" w:rsidR="006444E4" w:rsidRPr="00E761C9" w:rsidRDefault="006444E4" w:rsidP="00C84FA1">
      <w:pPr>
        <w:rPr>
          <w:rFonts w:ascii="Times New Roman" w:hAnsi="Times New Roman" w:cs="Times New Roman"/>
          <w:b/>
          <w:u w:val="single"/>
        </w:rPr>
      </w:pPr>
    </w:p>
    <w:p w14:paraId="677AEC37" w14:textId="77777777" w:rsidR="009070E8" w:rsidRPr="00E761C9" w:rsidRDefault="009070E8" w:rsidP="00C72C62">
      <w:pPr>
        <w:rPr>
          <w:rFonts w:ascii="Times New Roman" w:eastAsia="Times New Roman" w:hAnsi="Times New Roman" w:cs="Times New Roman"/>
        </w:rPr>
      </w:pPr>
      <w:r w:rsidRPr="00E761C9">
        <w:rPr>
          <w:rFonts w:ascii="Times New Roman" w:eastAsia="Times New Roman" w:hAnsi="Times New Roman" w:cs="Times New Roman"/>
        </w:rPr>
        <w:t xml:space="preserve">Alexander, </w:t>
      </w:r>
      <w:r w:rsidR="00325E1C" w:rsidRPr="00E761C9">
        <w:rPr>
          <w:rFonts w:ascii="Times New Roman" w:eastAsia="Times New Roman" w:hAnsi="Times New Roman" w:cs="Times New Roman"/>
        </w:rPr>
        <w:t xml:space="preserve">R. </w:t>
      </w:r>
      <w:r w:rsidRPr="00E761C9">
        <w:rPr>
          <w:rFonts w:ascii="Times New Roman" w:eastAsia="Times New Roman" w:hAnsi="Times New Roman" w:cs="Times New Roman"/>
        </w:rPr>
        <w:t>2000</w:t>
      </w:r>
      <w:r w:rsidR="00457059" w:rsidRPr="00E761C9">
        <w:rPr>
          <w:rFonts w:ascii="Times New Roman" w:eastAsia="Times New Roman" w:hAnsi="Times New Roman" w:cs="Times New Roman"/>
        </w:rPr>
        <w:t xml:space="preserve">. </w:t>
      </w:r>
      <w:r w:rsidR="00457059" w:rsidRPr="00E761C9">
        <w:rPr>
          <w:rFonts w:ascii="Times New Roman" w:eastAsia="Times New Roman" w:hAnsi="Times New Roman" w:cs="Times New Roman"/>
          <w:i/>
        </w:rPr>
        <w:t xml:space="preserve">Culture and Pedagogy: International Comparisons in Primary Education. </w:t>
      </w:r>
      <w:r w:rsidR="00457059" w:rsidRPr="00E761C9">
        <w:rPr>
          <w:rFonts w:ascii="Times New Roman" w:eastAsia="Times New Roman" w:hAnsi="Times New Roman" w:cs="Times New Roman"/>
        </w:rPr>
        <w:t xml:space="preserve">Oxford: Blackwell. </w:t>
      </w:r>
      <w:r w:rsidRPr="00E761C9">
        <w:rPr>
          <w:rFonts w:ascii="Times New Roman" w:eastAsia="Times New Roman" w:hAnsi="Times New Roman" w:cs="Times New Roman"/>
        </w:rPr>
        <w:t xml:space="preserve"> </w:t>
      </w:r>
    </w:p>
    <w:p w14:paraId="71C4D58A" w14:textId="77777777" w:rsidR="00C72C62" w:rsidRPr="00E761C9" w:rsidRDefault="00C72C62" w:rsidP="00106CA1">
      <w:pPr>
        <w:rPr>
          <w:rFonts w:ascii="Times New Roman" w:hAnsi="Times New Roman" w:cs="Times New Roman"/>
        </w:rPr>
      </w:pPr>
    </w:p>
    <w:p w14:paraId="27410DFD" w14:textId="77777777" w:rsidR="00106CA1" w:rsidRPr="00E761C9" w:rsidRDefault="00106CA1" w:rsidP="00106CA1">
      <w:pPr>
        <w:rPr>
          <w:rFonts w:ascii="Times New Roman" w:hAnsi="Times New Roman" w:cs="Times New Roman"/>
        </w:rPr>
      </w:pPr>
      <w:r w:rsidRPr="00E761C9">
        <w:rPr>
          <w:rFonts w:ascii="Times New Roman" w:hAnsi="Times New Roman" w:cs="Times New Roman"/>
        </w:rPr>
        <w:t xml:space="preserve">Baird, J., </w:t>
      </w:r>
      <w:r w:rsidR="00B8145F" w:rsidRPr="00E761C9">
        <w:rPr>
          <w:rFonts w:ascii="Times New Roman" w:hAnsi="Times New Roman" w:cs="Times New Roman"/>
        </w:rPr>
        <w:t>T. Isaacs</w:t>
      </w:r>
      <w:r w:rsidRPr="00E761C9">
        <w:rPr>
          <w:rFonts w:ascii="Times New Roman" w:hAnsi="Times New Roman" w:cs="Times New Roman"/>
        </w:rPr>
        <w:t xml:space="preserve">, </w:t>
      </w:r>
      <w:r w:rsidR="00B8145F" w:rsidRPr="00E761C9">
        <w:rPr>
          <w:rFonts w:ascii="Times New Roman" w:hAnsi="Times New Roman" w:cs="Times New Roman"/>
        </w:rPr>
        <w:t>S. Johnson</w:t>
      </w:r>
      <w:r w:rsidRPr="00E761C9">
        <w:rPr>
          <w:rFonts w:ascii="Times New Roman" w:hAnsi="Times New Roman" w:cs="Times New Roman"/>
        </w:rPr>
        <w:t xml:space="preserve">, </w:t>
      </w:r>
      <w:r w:rsidR="00B8145F" w:rsidRPr="00E761C9">
        <w:rPr>
          <w:rFonts w:ascii="Times New Roman" w:hAnsi="Times New Roman" w:cs="Times New Roman"/>
        </w:rPr>
        <w:t>G. Stobart,</w:t>
      </w:r>
      <w:r w:rsidRPr="00E761C9">
        <w:rPr>
          <w:rFonts w:ascii="Times New Roman" w:hAnsi="Times New Roman" w:cs="Times New Roman"/>
        </w:rPr>
        <w:t xml:space="preserve"> </w:t>
      </w:r>
      <w:r w:rsidR="00B8145F" w:rsidRPr="00E761C9">
        <w:rPr>
          <w:rFonts w:ascii="Times New Roman" w:hAnsi="Times New Roman" w:cs="Times New Roman"/>
        </w:rPr>
        <w:t>G. Yu</w:t>
      </w:r>
      <w:r w:rsidRPr="00E761C9">
        <w:rPr>
          <w:rFonts w:ascii="Times New Roman" w:hAnsi="Times New Roman" w:cs="Times New Roman"/>
        </w:rPr>
        <w:t xml:space="preserve">, </w:t>
      </w:r>
      <w:r w:rsidR="00B8145F" w:rsidRPr="00E761C9">
        <w:rPr>
          <w:rFonts w:ascii="Times New Roman" w:hAnsi="Times New Roman" w:cs="Times New Roman"/>
        </w:rPr>
        <w:t>T. Sprague and P. Daugherty. 2011</w:t>
      </w:r>
      <w:r w:rsidRPr="00E761C9">
        <w:rPr>
          <w:rFonts w:ascii="Times New Roman" w:hAnsi="Times New Roman" w:cs="Times New Roman"/>
        </w:rPr>
        <w:t xml:space="preserve">. </w:t>
      </w:r>
      <w:r w:rsidRPr="00E761C9">
        <w:rPr>
          <w:rFonts w:ascii="Times New Roman" w:hAnsi="Times New Roman" w:cs="Times New Roman"/>
          <w:i/>
        </w:rPr>
        <w:t>Policy Effects of PISA</w:t>
      </w:r>
      <w:r w:rsidRPr="00E761C9">
        <w:rPr>
          <w:rFonts w:ascii="Times New Roman" w:hAnsi="Times New Roman" w:cs="Times New Roman"/>
        </w:rPr>
        <w:t xml:space="preserve">. Oxford: Oxford University Centre for Educational Assessment. </w:t>
      </w:r>
      <w:hyperlink r:id="rId12" w:history="1">
        <w:r w:rsidRPr="00E761C9">
          <w:rPr>
            <w:rStyle w:val="Hyperlink"/>
            <w:rFonts w:ascii="Times New Roman" w:hAnsi="Times New Roman" w:cs="Times New Roman"/>
          </w:rPr>
          <w:t>http://oucea.education.ox.ac.uk/wordpress/wp-content/uploads/2011/10/Policy-Effects-of-PISA-OUCEA.pdf</w:t>
        </w:r>
      </w:hyperlink>
      <w:r w:rsidRPr="00E761C9">
        <w:rPr>
          <w:rFonts w:ascii="Times New Roman" w:hAnsi="Times New Roman" w:cs="Times New Roman"/>
        </w:rPr>
        <w:t xml:space="preserve">  </w:t>
      </w:r>
    </w:p>
    <w:p w14:paraId="0E75833D" w14:textId="77777777" w:rsidR="00F61419" w:rsidRPr="00E761C9" w:rsidRDefault="00F61419" w:rsidP="00142286">
      <w:pPr>
        <w:rPr>
          <w:rFonts w:ascii="Times New Roman" w:hAnsi="Times New Roman" w:cs="Times New Roman"/>
        </w:rPr>
      </w:pPr>
    </w:p>
    <w:p w14:paraId="4D387E85" w14:textId="77777777" w:rsidR="009F40BF" w:rsidRPr="00E761C9" w:rsidRDefault="009F40BF" w:rsidP="00142286">
      <w:pPr>
        <w:rPr>
          <w:rFonts w:ascii="Times New Roman" w:hAnsi="Times New Roman" w:cs="Times New Roman"/>
        </w:rPr>
      </w:pPr>
      <w:r w:rsidRPr="00E761C9">
        <w:rPr>
          <w:rFonts w:ascii="Times New Roman" w:hAnsi="Times New Roman" w:cs="Times New Roman"/>
        </w:rPr>
        <w:t>Ba</w:t>
      </w:r>
      <w:r w:rsidR="00DF1C67" w:rsidRPr="00E761C9">
        <w:rPr>
          <w:rFonts w:ascii="Times New Roman" w:hAnsi="Times New Roman" w:cs="Times New Roman"/>
        </w:rPr>
        <w:t>rber, M. and Mourshed, M. 2007</w:t>
      </w:r>
      <w:r w:rsidRPr="00E761C9">
        <w:rPr>
          <w:rFonts w:ascii="Times New Roman" w:hAnsi="Times New Roman" w:cs="Times New Roman"/>
        </w:rPr>
        <w:t xml:space="preserve">. </w:t>
      </w:r>
      <w:r w:rsidRPr="00E761C9">
        <w:rPr>
          <w:rFonts w:ascii="Times New Roman" w:hAnsi="Times New Roman" w:cs="Times New Roman"/>
          <w:i/>
        </w:rPr>
        <w:t xml:space="preserve">How the World’s Best-Performing School Systems Come Out on Top. </w:t>
      </w:r>
      <w:r w:rsidR="00904356" w:rsidRPr="00E761C9">
        <w:rPr>
          <w:rFonts w:ascii="Times New Roman" w:hAnsi="Times New Roman" w:cs="Times New Roman"/>
        </w:rPr>
        <w:t xml:space="preserve">McKinsey and Co. </w:t>
      </w:r>
      <w:hyperlink r:id="rId13" w:history="1">
        <w:r w:rsidR="00904356" w:rsidRPr="00E761C9">
          <w:rPr>
            <w:rStyle w:val="Hyperlink"/>
            <w:rFonts w:ascii="Times New Roman" w:hAnsi="Times New Roman" w:cs="Times New Roman"/>
          </w:rPr>
          <w:t>http://mckinseyonsociety.com/downloads/reports/Education/Worlds_School_Systems_Final.pdf</w:t>
        </w:r>
      </w:hyperlink>
      <w:r w:rsidR="00904356" w:rsidRPr="00E761C9">
        <w:rPr>
          <w:rFonts w:ascii="Times New Roman" w:hAnsi="Times New Roman" w:cs="Times New Roman"/>
        </w:rPr>
        <w:t xml:space="preserve"> </w:t>
      </w:r>
    </w:p>
    <w:p w14:paraId="2DBE72AD" w14:textId="77777777" w:rsidR="000B0EF3" w:rsidRPr="00E761C9" w:rsidRDefault="000B0EF3" w:rsidP="00142286">
      <w:pPr>
        <w:rPr>
          <w:rFonts w:ascii="Times New Roman" w:hAnsi="Times New Roman" w:cs="Times New Roman"/>
        </w:rPr>
      </w:pPr>
    </w:p>
    <w:p w14:paraId="7E4227C4" w14:textId="77777777" w:rsidR="00142286" w:rsidRPr="00E761C9" w:rsidRDefault="00300C9F" w:rsidP="00142286">
      <w:pPr>
        <w:rPr>
          <w:rFonts w:ascii="Times New Roman" w:hAnsi="Times New Roman" w:cs="Times New Roman"/>
        </w:rPr>
      </w:pPr>
      <w:r w:rsidRPr="00E761C9">
        <w:rPr>
          <w:rFonts w:ascii="Times New Roman" w:hAnsi="Times New Roman" w:cs="Times New Roman"/>
        </w:rPr>
        <w:t>Beech, J. 2006</w:t>
      </w:r>
      <w:r w:rsidR="00142286" w:rsidRPr="00E761C9">
        <w:rPr>
          <w:rFonts w:ascii="Times New Roman" w:hAnsi="Times New Roman" w:cs="Times New Roman"/>
        </w:rPr>
        <w:t xml:space="preserve">. </w:t>
      </w:r>
      <w:r w:rsidRPr="00E761C9">
        <w:rPr>
          <w:rFonts w:ascii="Times New Roman" w:hAnsi="Times New Roman" w:cs="Times New Roman"/>
        </w:rPr>
        <w:t>“</w:t>
      </w:r>
      <w:r w:rsidR="00142286" w:rsidRPr="00E761C9">
        <w:rPr>
          <w:rFonts w:ascii="Times New Roman" w:hAnsi="Times New Roman" w:cs="Times New Roman"/>
        </w:rPr>
        <w:t>The Theme of Educational Transfer in Comparative Education: A View Over Time</w:t>
      </w:r>
      <w:r w:rsidR="00B44E24" w:rsidRPr="00E761C9">
        <w:rPr>
          <w:rFonts w:ascii="Times New Roman" w:hAnsi="Times New Roman" w:cs="Times New Roman"/>
        </w:rPr>
        <w:t xml:space="preserve">.” </w:t>
      </w:r>
      <w:r w:rsidR="00142286" w:rsidRPr="00E761C9">
        <w:rPr>
          <w:rFonts w:ascii="Times New Roman" w:hAnsi="Times New Roman" w:cs="Times New Roman"/>
          <w:i/>
        </w:rPr>
        <w:t>Research in Comparative and International Education</w:t>
      </w:r>
      <w:r w:rsidR="00B44E24" w:rsidRPr="00E761C9">
        <w:rPr>
          <w:rFonts w:ascii="Times New Roman" w:hAnsi="Times New Roman" w:cs="Times New Roman"/>
        </w:rPr>
        <w:t>, 1(1):</w:t>
      </w:r>
      <w:r w:rsidR="00142286" w:rsidRPr="00E761C9">
        <w:rPr>
          <w:rFonts w:ascii="Times New Roman" w:hAnsi="Times New Roman" w:cs="Times New Roman"/>
        </w:rPr>
        <w:t xml:space="preserve"> 2-13.  </w:t>
      </w:r>
    </w:p>
    <w:p w14:paraId="4AFC9100" w14:textId="77777777" w:rsidR="00106CA1" w:rsidRPr="00E761C9" w:rsidRDefault="00106CA1" w:rsidP="00106CA1">
      <w:pPr>
        <w:rPr>
          <w:rFonts w:ascii="Times New Roman" w:hAnsi="Times New Roman" w:cs="Times New Roman"/>
        </w:rPr>
      </w:pPr>
    </w:p>
    <w:p w14:paraId="56537E25" w14:textId="77777777" w:rsidR="00A51F46" w:rsidRPr="00E761C9" w:rsidRDefault="00A51F46" w:rsidP="00A51F46">
      <w:pPr>
        <w:rPr>
          <w:rFonts w:ascii="Times New Roman" w:hAnsi="Times New Roman" w:cs="Times New Roman"/>
        </w:rPr>
      </w:pPr>
      <w:r w:rsidRPr="00E761C9">
        <w:rPr>
          <w:rFonts w:ascii="Times New Roman" w:hAnsi="Times New Roman" w:cs="Times New Roman"/>
        </w:rPr>
        <w:t>Begrem, T., Björkqvist, O., Hansén, S., Car</w:t>
      </w:r>
      <w:r w:rsidR="00DF1C67" w:rsidRPr="00E761C9">
        <w:rPr>
          <w:rFonts w:ascii="Times New Roman" w:hAnsi="Times New Roman" w:cs="Times New Roman"/>
        </w:rPr>
        <w:t>lgren, I., &amp; Hauge, T. E. 1997</w:t>
      </w:r>
      <w:r w:rsidRPr="00E761C9">
        <w:rPr>
          <w:rFonts w:ascii="Times New Roman" w:hAnsi="Times New Roman" w:cs="Times New Roman"/>
        </w:rPr>
        <w:t xml:space="preserve">.  </w:t>
      </w:r>
      <w:r w:rsidR="003B2263" w:rsidRPr="00E761C9">
        <w:rPr>
          <w:rFonts w:ascii="Times New Roman" w:hAnsi="Times New Roman" w:cs="Times New Roman"/>
        </w:rPr>
        <w:t>“</w:t>
      </w:r>
      <w:r w:rsidRPr="00E761C9">
        <w:rPr>
          <w:rFonts w:ascii="Times New Roman" w:hAnsi="Times New Roman" w:cs="Times New Roman"/>
        </w:rPr>
        <w:t>Research on Teachers and Teacher Education in Scandinavia: A Retrospective Review.</w:t>
      </w:r>
      <w:r w:rsidR="003B2263" w:rsidRPr="00E761C9">
        <w:rPr>
          <w:rFonts w:ascii="Times New Roman" w:hAnsi="Times New Roman" w:cs="Times New Roman"/>
        </w:rPr>
        <w:t xml:space="preserve">” </w:t>
      </w:r>
      <w:r w:rsidRPr="00E761C9">
        <w:rPr>
          <w:rFonts w:ascii="Times New Roman" w:hAnsi="Times New Roman" w:cs="Times New Roman"/>
          <w:i/>
        </w:rPr>
        <w:t xml:space="preserve">Scandinavian Journal of Educational Research, </w:t>
      </w:r>
      <w:r w:rsidR="00C85AD0" w:rsidRPr="00E761C9">
        <w:rPr>
          <w:rFonts w:ascii="Times New Roman" w:hAnsi="Times New Roman" w:cs="Times New Roman"/>
        </w:rPr>
        <w:t xml:space="preserve">41(3-4): </w:t>
      </w:r>
      <w:r w:rsidRPr="00E761C9">
        <w:rPr>
          <w:rFonts w:ascii="Times New Roman" w:hAnsi="Times New Roman" w:cs="Times New Roman"/>
        </w:rPr>
        <w:t xml:space="preserve">433-458.  </w:t>
      </w:r>
    </w:p>
    <w:p w14:paraId="5C1B46C7" w14:textId="77777777" w:rsidR="00A51F46" w:rsidRPr="00E761C9" w:rsidRDefault="00A51F46" w:rsidP="00106CA1">
      <w:pPr>
        <w:rPr>
          <w:rFonts w:ascii="Times New Roman" w:hAnsi="Times New Roman" w:cs="Times New Roman"/>
        </w:rPr>
      </w:pPr>
    </w:p>
    <w:p w14:paraId="1D772B5E" w14:textId="77777777" w:rsidR="00FC6223" w:rsidRPr="00E761C9" w:rsidRDefault="00FC6223" w:rsidP="00FC6223">
      <w:pPr>
        <w:pStyle w:val="Pa01"/>
        <w:rPr>
          <w:rFonts w:ascii="Times New Roman" w:hAnsi="Times New Roman" w:cs="Times New Roman"/>
        </w:rPr>
      </w:pPr>
      <w:r w:rsidRPr="00E761C9">
        <w:rPr>
          <w:rFonts w:ascii="Times New Roman" w:hAnsi="Times New Roman" w:cs="Times New Roman"/>
        </w:rPr>
        <w:t>BERA-RSA</w:t>
      </w:r>
      <w:r w:rsidR="00A94D74" w:rsidRPr="00E761C9">
        <w:rPr>
          <w:rFonts w:ascii="Times New Roman" w:hAnsi="Times New Roman" w:cs="Times New Roman"/>
        </w:rPr>
        <w:t>. 2014.</w:t>
      </w:r>
      <w:r w:rsidRPr="00E761C9">
        <w:rPr>
          <w:rFonts w:ascii="Times New Roman" w:hAnsi="Times New Roman" w:cs="Times New Roman"/>
        </w:rPr>
        <w:t xml:space="preserve"> </w:t>
      </w:r>
      <w:r w:rsidRPr="00E761C9">
        <w:rPr>
          <w:rStyle w:val="A41"/>
          <w:rFonts w:ascii="Times New Roman" w:hAnsi="Times New Roman" w:cs="Times New Roman"/>
          <w:b w:val="0"/>
          <w:i/>
          <w:sz w:val="24"/>
          <w:szCs w:val="24"/>
        </w:rPr>
        <w:t xml:space="preserve">Research and the teaching profession: </w:t>
      </w:r>
      <w:r w:rsidRPr="00E761C9">
        <w:rPr>
          <w:rStyle w:val="A5"/>
          <w:rFonts w:ascii="Times New Roman" w:hAnsi="Times New Roman" w:cs="Times New Roman"/>
          <w:i/>
          <w:sz w:val="24"/>
          <w:szCs w:val="24"/>
        </w:rPr>
        <w:t>Building the capacity for a self-improving education system</w:t>
      </w:r>
      <w:r w:rsidRPr="00E761C9">
        <w:rPr>
          <w:rStyle w:val="A5"/>
          <w:rFonts w:ascii="Times New Roman" w:hAnsi="Times New Roman" w:cs="Times New Roman"/>
          <w:sz w:val="24"/>
          <w:szCs w:val="24"/>
        </w:rPr>
        <w:t>. London: BERA (British Educational Research Association)</w:t>
      </w:r>
    </w:p>
    <w:p w14:paraId="7FC77E46" w14:textId="77777777" w:rsidR="000C7B35" w:rsidRPr="00E761C9" w:rsidRDefault="000C7B35" w:rsidP="00106CA1">
      <w:pPr>
        <w:rPr>
          <w:rFonts w:ascii="Times New Roman" w:hAnsi="Times New Roman" w:cs="Times New Roman"/>
        </w:rPr>
      </w:pPr>
    </w:p>
    <w:p w14:paraId="23444E6C" w14:textId="77777777" w:rsidR="00DA1A00" w:rsidRPr="00E761C9" w:rsidRDefault="00C85AD0" w:rsidP="00DA1A00">
      <w:pPr>
        <w:rPr>
          <w:rFonts w:ascii="Times New Roman" w:hAnsi="Times New Roman" w:cs="Times New Roman"/>
        </w:rPr>
      </w:pPr>
      <w:r w:rsidRPr="00E761C9">
        <w:rPr>
          <w:rFonts w:ascii="Times New Roman" w:hAnsi="Times New Roman" w:cs="Times New Roman"/>
        </w:rPr>
        <w:t>Bereday, G. Z. F. 1964</w:t>
      </w:r>
      <w:r w:rsidR="00DA1A00" w:rsidRPr="00E761C9">
        <w:rPr>
          <w:rFonts w:ascii="Times New Roman" w:hAnsi="Times New Roman" w:cs="Times New Roman"/>
        </w:rPr>
        <w:t xml:space="preserve">. </w:t>
      </w:r>
      <w:r w:rsidR="00DA1A00" w:rsidRPr="00E761C9">
        <w:rPr>
          <w:rFonts w:ascii="Times New Roman" w:hAnsi="Times New Roman" w:cs="Times New Roman"/>
          <w:i/>
        </w:rPr>
        <w:t xml:space="preserve">Comparative Method in Education. </w:t>
      </w:r>
      <w:r w:rsidR="00DA1A00" w:rsidRPr="00E761C9">
        <w:rPr>
          <w:rFonts w:ascii="Times New Roman" w:hAnsi="Times New Roman" w:cs="Times New Roman"/>
        </w:rPr>
        <w:t xml:space="preserve">New York: Holt, Reinehart and Winston, Inc. </w:t>
      </w:r>
    </w:p>
    <w:p w14:paraId="0E815CFB" w14:textId="77777777" w:rsidR="00DA1A00" w:rsidRPr="00E761C9" w:rsidRDefault="00DA1A00" w:rsidP="00DA1A00"/>
    <w:p w14:paraId="13D8B133" w14:textId="77777777" w:rsidR="0086321E" w:rsidRPr="00330125" w:rsidRDefault="00D36DDE" w:rsidP="0086321E">
      <w:pPr>
        <w:rPr>
          <w:rFonts w:ascii="Times New Roman" w:eastAsia="Times New Roman" w:hAnsi="Times New Roman" w:cs="Times New Roman"/>
        </w:rPr>
      </w:pPr>
      <w:r w:rsidRPr="00330125">
        <w:rPr>
          <w:rFonts w:ascii="Times New Roman" w:eastAsia="Times New Roman" w:hAnsi="Times New Roman" w:cs="Times New Roman"/>
        </w:rPr>
        <w:t xml:space="preserve">Chung, J. 2009. </w:t>
      </w:r>
      <w:r w:rsidRPr="00330125">
        <w:rPr>
          <w:rFonts w:ascii="Times New Roman" w:eastAsia="Times New Roman" w:hAnsi="Times New Roman" w:cs="Times New Roman"/>
          <w:i/>
        </w:rPr>
        <w:t>An Investigation of Reasons for Finland’s Success in PISA</w:t>
      </w:r>
      <w:r w:rsidRPr="00330125">
        <w:rPr>
          <w:rFonts w:ascii="Times New Roman" w:eastAsia="Times New Roman" w:hAnsi="Times New Roman" w:cs="Times New Roman"/>
        </w:rPr>
        <w:t>. Doctoral Dissertation, University of Oxford.</w:t>
      </w:r>
    </w:p>
    <w:p w14:paraId="7B12A4DA" w14:textId="77777777" w:rsidR="001D40C1" w:rsidRPr="00330125" w:rsidRDefault="001D40C1" w:rsidP="0086321E">
      <w:pPr>
        <w:rPr>
          <w:rFonts w:ascii="Times New Roman" w:eastAsia="Times New Roman" w:hAnsi="Times New Roman" w:cs="Times New Roman"/>
        </w:rPr>
      </w:pPr>
    </w:p>
    <w:p w14:paraId="154B294C" w14:textId="77777777" w:rsidR="001D40C1" w:rsidRPr="00E761C9" w:rsidRDefault="001D40C1" w:rsidP="0086321E">
      <w:pPr>
        <w:rPr>
          <w:rFonts w:ascii="Times New Roman" w:hAnsi="Times New Roman" w:cs="Times New Roman"/>
        </w:rPr>
      </w:pPr>
      <w:r w:rsidRPr="000B54F7">
        <w:rPr>
          <w:rFonts w:ascii="Times New Roman" w:hAnsi="Times New Roman" w:cs="Times New Roman"/>
        </w:rPr>
        <w:t>C</w:t>
      </w:r>
      <w:r w:rsidR="00C85AD0" w:rsidRPr="00E761C9">
        <w:rPr>
          <w:rFonts w:ascii="Times New Roman" w:hAnsi="Times New Roman" w:cs="Times New Roman"/>
        </w:rPr>
        <w:t xml:space="preserve">hung, J., Atkin, </w:t>
      </w:r>
      <w:r w:rsidR="00DA0095" w:rsidRPr="00E761C9">
        <w:rPr>
          <w:rFonts w:ascii="Times New Roman" w:hAnsi="Times New Roman" w:cs="Times New Roman"/>
        </w:rPr>
        <w:t>C., and</w:t>
      </w:r>
      <w:r w:rsidR="00C85AD0" w:rsidRPr="00E761C9">
        <w:rPr>
          <w:rFonts w:ascii="Times New Roman" w:hAnsi="Times New Roman" w:cs="Times New Roman"/>
        </w:rPr>
        <w:t xml:space="preserve"> Moore J. 2012</w:t>
      </w:r>
      <w:r w:rsidRPr="00E761C9">
        <w:rPr>
          <w:rFonts w:ascii="Times New Roman" w:hAnsi="Times New Roman" w:cs="Times New Roman"/>
        </w:rPr>
        <w:t>. “The Rise and Fall of the MTL: An Example o</w:t>
      </w:r>
      <w:r w:rsidR="00C85AD0" w:rsidRPr="00E761C9">
        <w:rPr>
          <w:rFonts w:ascii="Times New Roman" w:hAnsi="Times New Roman" w:cs="Times New Roman"/>
        </w:rPr>
        <w:t>f European Policy Borrowing”.</w:t>
      </w:r>
      <w:r w:rsidRPr="00E761C9">
        <w:rPr>
          <w:rFonts w:ascii="Times New Roman" w:hAnsi="Times New Roman" w:cs="Times New Roman"/>
        </w:rPr>
        <w:t xml:space="preserve"> </w:t>
      </w:r>
      <w:r w:rsidRPr="00E761C9">
        <w:rPr>
          <w:rFonts w:ascii="Times New Roman" w:hAnsi="Times New Roman" w:cs="Times New Roman"/>
          <w:i/>
        </w:rPr>
        <w:t>European Journal of Teacher Education</w:t>
      </w:r>
      <w:r w:rsidR="00C85AD0" w:rsidRPr="00E761C9">
        <w:rPr>
          <w:rFonts w:ascii="Times New Roman" w:hAnsi="Times New Roman" w:cs="Times New Roman"/>
        </w:rPr>
        <w:t>. 35( 3):</w:t>
      </w:r>
      <w:r w:rsidRPr="00E761C9">
        <w:rPr>
          <w:rFonts w:ascii="Times New Roman" w:hAnsi="Times New Roman" w:cs="Times New Roman"/>
        </w:rPr>
        <w:t xml:space="preserve"> 259-274.</w:t>
      </w:r>
    </w:p>
    <w:p w14:paraId="7F7C03E0" w14:textId="77777777" w:rsidR="008860FB" w:rsidRPr="00E761C9" w:rsidRDefault="008860FB" w:rsidP="0086321E">
      <w:pPr>
        <w:rPr>
          <w:rFonts w:ascii="Times New Roman" w:hAnsi="Times New Roman" w:cs="Times New Roman"/>
        </w:rPr>
      </w:pPr>
    </w:p>
    <w:p w14:paraId="53AD9C37" w14:textId="77777777" w:rsidR="008860FB" w:rsidRPr="00E761C9" w:rsidRDefault="008860FB" w:rsidP="0086321E">
      <w:pPr>
        <w:rPr>
          <w:rFonts w:ascii="Times New Roman" w:hAnsi="Times New Roman" w:cs="Times New Roman"/>
        </w:rPr>
      </w:pPr>
      <w:r w:rsidRPr="00E761C9">
        <w:rPr>
          <w:rFonts w:ascii="Times New Roman" w:hAnsi="Times New Roman" w:cs="Times New Roman"/>
        </w:rPr>
        <w:t xml:space="preserve">Cohen, </w:t>
      </w:r>
      <w:r w:rsidR="00DA0095" w:rsidRPr="00E761C9">
        <w:rPr>
          <w:rFonts w:ascii="Times New Roman" w:hAnsi="Times New Roman" w:cs="Times New Roman"/>
        </w:rPr>
        <w:t xml:space="preserve">L., </w:t>
      </w:r>
      <w:r w:rsidRPr="00E761C9">
        <w:rPr>
          <w:rFonts w:ascii="Times New Roman" w:hAnsi="Times New Roman" w:cs="Times New Roman"/>
        </w:rPr>
        <w:t xml:space="preserve">Manion, </w:t>
      </w:r>
      <w:r w:rsidR="00DA0095" w:rsidRPr="00E761C9">
        <w:rPr>
          <w:rFonts w:ascii="Times New Roman" w:hAnsi="Times New Roman" w:cs="Times New Roman"/>
        </w:rPr>
        <w:t xml:space="preserve">L., </w:t>
      </w:r>
      <w:r w:rsidRPr="00E761C9">
        <w:rPr>
          <w:rFonts w:ascii="Times New Roman" w:hAnsi="Times New Roman" w:cs="Times New Roman"/>
        </w:rPr>
        <w:t>and Morrison</w:t>
      </w:r>
      <w:r w:rsidR="00DA0095" w:rsidRPr="00E761C9">
        <w:rPr>
          <w:rFonts w:ascii="Times New Roman" w:hAnsi="Times New Roman" w:cs="Times New Roman"/>
        </w:rPr>
        <w:t>, K.</w:t>
      </w:r>
      <w:r w:rsidRPr="00E761C9">
        <w:rPr>
          <w:rFonts w:ascii="Times New Roman" w:hAnsi="Times New Roman" w:cs="Times New Roman"/>
        </w:rPr>
        <w:t xml:space="preserve"> (2007). </w:t>
      </w:r>
      <w:r w:rsidR="00DA0095" w:rsidRPr="00E761C9">
        <w:rPr>
          <w:rFonts w:ascii="Times New Roman" w:hAnsi="Times New Roman" w:cs="Times New Roman"/>
          <w:i/>
        </w:rPr>
        <w:t>Research Methods in Education</w:t>
      </w:r>
      <w:r w:rsidR="00DA0095" w:rsidRPr="00E761C9">
        <w:rPr>
          <w:rFonts w:ascii="Times New Roman" w:hAnsi="Times New Roman" w:cs="Times New Roman"/>
        </w:rPr>
        <w:t xml:space="preserve">. London: Routledge Falmer. </w:t>
      </w:r>
    </w:p>
    <w:p w14:paraId="464EBCED" w14:textId="77777777" w:rsidR="006F6CC5" w:rsidRPr="00330125" w:rsidRDefault="006F6CC5" w:rsidP="0086321E">
      <w:pPr>
        <w:rPr>
          <w:rFonts w:ascii="Times New Roman" w:eastAsia="Times New Roman" w:hAnsi="Times New Roman" w:cs="Times New Roman"/>
        </w:rPr>
      </w:pPr>
    </w:p>
    <w:p w14:paraId="55B2ACDC" w14:textId="77777777" w:rsidR="001226E2" w:rsidRPr="00330125" w:rsidRDefault="00D36DDE" w:rsidP="0086321E">
      <w:pPr>
        <w:rPr>
          <w:rFonts w:ascii="Times New Roman" w:eastAsia="Times New Roman" w:hAnsi="Times New Roman" w:cs="Times New Roman"/>
        </w:rPr>
      </w:pPr>
      <w:r w:rsidRPr="00330125">
        <w:rPr>
          <w:rFonts w:ascii="Times New Roman" w:eastAsia="Times New Roman" w:hAnsi="Times New Roman" w:cs="Times New Roman"/>
        </w:rPr>
        <w:t xml:space="preserve">Council for Subject Associations (CSA). (2010).  ”MTL Not to be Supported by the Coalition Government.” 8 December 2010. </w:t>
      </w:r>
      <w:hyperlink r:id="rId14" w:history="1">
        <w:r w:rsidRPr="00330125">
          <w:rPr>
            <w:rStyle w:val="Hyperlink"/>
            <w:rFonts w:ascii="Times New Roman" w:eastAsia="Times New Roman" w:hAnsi="Times New Roman" w:cs="Times New Roman"/>
          </w:rPr>
          <w:t>http://www.subjectassociation.org.uk/newsitem.aspx?id=286</w:t>
        </w:r>
      </w:hyperlink>
    </w:p>
    <w:p w14:paraId="429E48D1" w14:textId="77777777" w:rsidR="00CF3950" w:rsidRPr="00330125" w:rsidRDefault="00CF3950" w:rsidP="0086321E">
      <w:pPr>
        <w:rPr>
          <w:rFonts w:ascii="Times New Roman" w:eastAsia="Times New Roman" w:hAnsi="Times New Roman" w:cs="Times New Roman"/>
        </w:rPr>
      </w:pPr>
    </w:p>
    <w:p w14:paraId="4D5C4C0C" w14:textId="77777777" w:rsidR="0064544C" w:rsidRPr="00E761C9" w:rsidRDefault="0064544C" w:rsidP="0064544C">
      <w:pPr>
        <w:rPr>
          <w:rFonts w:ascii="Times New Roman" w:hAnsi="Times New Roman" w:cs="Times New Roman"/>
        </w:rPr>
      </w:pPr>
      <w:r w:rsidRPr="000B54F7">
        <w:rPr>
          <w:rFonts w:ascii="Times New Roman" w:hAnsi="Times New Roman" w:cs="Times New Roman"/>
        </w:rPr>
        <w:lastRenderedPageBreak/>
        <w:t xml:space="preserve">Crossley, M. </w:t>
      </w:r>
      <w:r w:rsidR="007A13D8" w:rsidRPr="00E761C9">
        <w:rPr>
          <w:rFonts w:ascii="Times New Roman" w:hAnsi="Times New Roman" w:cs="Times New Roman"/>
        </w:rPr>
        <w:t>and K. Watson. 2003</w:t>
      </w:r>
      <w:r w:rsidRPr="00E761C9">
        <w:rPr>
          <w:rFonts w:ascii="Times New Roman" w:hAnsi="Times New Roman" w:cs="Times New Roman"/>
        </w:rPr>
        <w:t xml:space="preserve">. </w:t>
      </w:r>
      <w:r w:rsidRPr="00E761C9">
        <w:rPr>
          <w:rFonts w:ascii="Times New Roman" w:hAnsi="Times New Roman" w:cs="Times New Roman"/>
          <w:i/>
          <w:iCs/>
        </w:rPr>
        <w:t xml:space="preserve">Comparative and International Research in Education: Globalisation, Context and Difference. </w:t>
      </w:r>
      <w:r w:rsidRPr="00E761C9">
        <w:rPr>
          <w:rFonts w:ascii="Times New Roman" w:hAnsi="Times New Roman" w:cs="Times New Roman"/>
        </w:rPr>
        <w:t>Lon</w:t>
      </w:r>
      <w:r w:rsidR="00E161EA" w:rsidRPr="00E761C9">
        <w:rPr>
          <w:rFonts w:ascii="Times New Roman" w:hAnsi="Times New Roman" w:cs="Times New Roman"/>
        </w:rPr>
        <w:t>don</w:t>
      </w:r>
      <w:r w:rsidR="00127BE7" w:rsidRPr="00E761C9">
        <w:rPr>
          <w:rFonts w:ascii="Times New Roman" w:hAnsi="Times New Roman" w:cs="Times New Roman"/>
        </w:rPr>
        <w:t>: Routledge Falm</w:t>
      </w:r>
      <w:r w:rsidRPr="00E761C9">
        <w:rPr>
          <w:rFonts w:ascii="Times New Roman" w:hAnsi="Times New Roman" w:cs="Times New Roman"/>
        </w:rPr>
        <w:t>er.</w:t>
      </w:r>
    </w:p>
    <w:p w14:paraId="68DE4532" w14:textId="77777777" w:rsidR="00D74EA3" w:rsidRPr="00330125" w:rsidRDefault="00D74EA3" w:rsidP="0086321E">
      <w:pPr>
        <w:rPr>
          <w:rFonts w:ascii="Times New Roman" w:eastAsia="Times New Roman" w:hAnsi="Times New Roman" w:cs="Times New Roman"/>
        </w:rPr>
      </w:pPr>
    </w:p>
    <w:p w14:paraId="32116B07" w14:textId="77777777" w:rsidR="00CF3950" w:rsidRPr="00330125" w:rsidRDefault="00D36DDE" w:rsidP="00CF3950">
      <w:pPr>
        <w:rPr>
          <w:rFonts w:ascii="Times New Roman" w:eastAsia="Times New Roman" w:hAnsi="Times New Roman" w:cs="Times New Roman"/>
        </w:rPr>
      </w:pPr>
      <w:r w:rsidRPr="00330125">
        <w:rPr>
          <w:rFonts w:ascii="Times New Roman" w:eastAsia="Times New Roman" w:hAnsi="Times New Roman" w:cs="Times New Roman"/>
        </w:rPr>
        <w:t xml:space="preserve">Crossley, M. and K. Watson. 2009.  ”Comparative and International Education: Policy Transfer, Context Sensitivity and Professional Development.” </w:t>
      </w:r>
      <w:r w:rsidRPr="00330125">
        <w:rPr>
          <w:rFonts w:ascii="Times New Roman" w:eastAsia="Times New Roman" w:hAnsi="Times New Roman" w:cs="Times New Roman"/>
          <w:i/>
        </w:rPr>
        <w:t xml:space="preserve">Oxford Review of Education, </w:t>
      </w:r>
      <w:r w:rsidRPr="00330125">
        <w:rPr>
          <w:rFonts w:ascii="Times New Roman" w:eastAsia="Times New Roman" w:hAnsi="Times New Roman" w:cs="Times New Roman"/>
        </w:rPr>
        <w:t xml:space="preserve">35(5): 633-649. </w:t>
      </w:r>
    </w:p>
    <w:p w14:paraId="6143B98B" w14:textId="77777777" w:rsidR="00F51476" w:rsidRPr="000B54F7" w:rsidRDefault="00F51476" w:rsidP="00F51476">
      <w:pPr>
        <w:rPr>
          <w:rFonts w:ascii="Times New Roman" w:hAnsi="Times New Roman" w:cs="Times New Roman"/>
        </w:rPr>
      </w:pPr>
    </w:p>
    <w:p w14:paraId="7E31E6B4" w14:textId="77777777" w:rsidR="005D3052" w:rsidRPr="00E761C9" w:rsidRDefault="000E1701" w:rsidP="005D3052">
      <w:pPr>
        <w:rPr>
          <w:rFonts w:ascii="Times New Roman" w:hAnsi="Times New Roman" w:cs="Times New Roman"/>
        </w:rPr>
      </w:pPr>
      <w:r w:rsidRPr="00E761C9">
        <w:rPr>
          <w:rFonts w:ascii="Times New Roman" w:hAnsi="Times New Roman" w:cs="Times New Roman"/>
        </w:rPr>
        <w:t>Dale, R. and S.L. Robertson. 2002</w:t>
      </w:r>
      <w:r w:rsidR="005D3052" w:rsidRPr="00E761C9">
        <w:rPr>
          <w:rFonts w:ascii="Times New Roman" w:hAnsi="Times New Roman" w:cs="Times New Roman"/>
        </w:rPr>
        <w:t xml:space="preserve">. </w:t>
      </w:r>
      <w:r w:rsidRPr="00E761C9">
        <w:rPr>
          <w:rFonts w:ascii="Times New Roman" w:hAnsi="Times New Roman" w:cs="Times New Roman"/>
        </w:rPr>
        <w:t>“</w:t>
      </w:r>
      <w:r w:rsidR="005D3052" w:rsidRPr="00E761C9">
        <w:rPr>
          <w:rFonts w:ascii="Times New Roman" w:hAnsi="Times New Roman" w:cs="Times New Roman"/>
        </w:rPr>
        <w:t>The Varying Effects of Regional Organizations as Subjects of Glo</w:t>
      </w:r>
      <w:r w:rsidRPr="00E761C9">
        <w:rPr>
          <w:rFonts w:ascii="Times New Roman" w:hAnsi="Times New Roman" w:cs="Times New Roman"/>
        </w:rPr>
        <w:t>balization of Education.”</w:t>
      </w:r>
      <w:r w:rsidR="005D3052" w:rsidRPr="00E761C9">
        <w:rPr>
          <w:rFonts w:ascii="Times New Roman" w:hAnsi="Times New Roman" w:cs="Times New Roman"/>
        </w:rPr>
        <w:t xml:space="preserve"> </w:t>
      </w:r>
      <w:r w:rsidR="005D3052" w:rsidRPr="00E761C9">
        <w:rPr>
          <w:rFonts w:ascii="Times New Roman" w:hAnsi="Times New Roman" w:cs="Times New Roman"/>
          <w:i/>
        </w:rPr>
        <w:t>Comparative Education Review</w:t>
      </w:r>
      <w:r w:rsidRPr="00E761C9">
        <w:rPr>
          <w:rFonts w:ascii="Times New Roman" w:hAnsi="Times New Roman" w:cs="Times New Roman"/>
        </w:rPr>
        <w:t xml:space="preserve">, 46(1): </w:t>
      </w:r>
      <w:r w:rsidR="005D3052" w:rsidRPr="00E761C9">
        <w:rPr>
          <w:rFonts w:ascii="Times New Roman" w:hAnsi="Times New Roman" w:cs="Times New Roman"/>
        </w:rPr>
        <w:t>10-36.</w:t>
      </w:r>
    </w:p>
    <w:p w14:paraId="5B6C8618" w14:textId="77777777" w:rsidR="002D0144" w:rsidRPr="00330125" w:rsidRDefault="002D0144" w:rsidP="0086321E">
      <w:pPr>
        <w:rPr>
          <w:rFonts w:ascii="Times New Roman" w:eastAsia="Times New Roman" w:hAnsi="Times New Roman" w:cs="Times New Roman"/>
        </w:rPr>
      </w:pPr>
    </w:p>
    <w:p w14:paraId="5B623C1A" w14:textId="54BCB30C" w:rsidR="00E27E32" w:rsidRPr="00547D79" w:rsidRDefault="00E27E32" w:rsidP="00E27E32">
      <w:pPr>
        <w:rPr>
          <w:rFonts w:ascii="Times New Roman" w:hAnsi="Times New Roman"/>
          <w:color w:val="0000FF"/>
        </w:rPr>
      </w:pPr>
      <w:r w:rsidRPr="00547D79">
        <w:rPr>
          <w:rFonts w:ascii="Times New Roman" w:hAnsi="Times New Roman"/>
          <w:color w:val="0000FF"/>
        </w:rPr>
        <w:t xml:space="preserve">DCSF (Department for Children, Schools and Families). 2007. </w:t>
      </w:r>
      <w:r w:rsidRPr="00547D79">
        <w:rPr>
          <w:rFonts w:ascii="Times New Roman" w:hAnsi="Times New Roman"/>
          <w:i/>
          <w:color w:val="0000FF"/>
        </w:rPr>
        <w:t>The Children’s Plan: Building Brighter Futures</w:t>
      </w:r>
      <w:r w:rsidRPr="00547D79">
        <w:rPr>
          <w:rFonts w:ascii="Times New Roman" w:hAnsi="Times New Roman"/>
          <w:color w:val="0000FF"/>
        </w:rPr>
        <w:t>. London, TSO.</w:t>
      </w:r>
    </w:p>
    <w:p w14:paraId="662DACAC" w14:textId="77777777" w:rsidR="00E27E32" w:rsidRPr="00547D79" w:rsidRDefault="00E27E32" w:rsidP="00E27E32">
      <w:pPr>
        <w:rPr>
          <w:rFonts w:ascii="Times New Roman" w:hAnsi="Times New Roman"/>
          <w:color w:val="0000FF"/>
        </w:rPr>
      </w:pPr>
    </w:p>
    <w:p w14:paraId="62A88F67" w14:textId="2792D792" w:rsidR="00E27E32" w:rsidRPr="00547D79" w:rsidRDefault="00E27E32" w:rsidP="00E27E32">
      <w:pPr>
        <w:rPr>
          <w:rFonts w:ascii="Times New Roman" w:hAnsi="Times New Roman"/>
          <w:color w:val="0000FF"/>
        </w:rPr>
      </w:pPr>
      <w:r w:rsidRPr="00547D79">
        <w:rPr>
          <w:rFonts w:ascii="Times New Roman" w:hAnsi="Times New Roman"/>
          <w:color w:val="0000FF"/>
        </w:rPr>
        <w:t xml:space="preserve">DCSF (Department for Children, Schools and Families). 2008. </w:t>
      </w:r>
      <w:r w:rsidRPr="00547D79">
        <w:rPr>
          <w:rFonts w:ascii="Times New Roman" w:hAnsi="Times New Roman"/>
          <w:i/>
          <w:color w:val="0000FF"/>
        </w:rPr>
        <w:t xml:space="preserve">Being the Best for Our Children: Releasing Talent for Teaching and Learning. </w:t>
      </w:r>
      <w:r w:rsidRPr="00547D79">
        <w:rPr>
          <w:rFonts w:ascii="Times New Roman" w:hAnsi="Times New Roman"/>
          <w:color w:val="0000FF"/>
        </w:rPr>
        <w:t>London, TSO.</w:t>
      </w:r>
    </w:p>
    <w:p w14:paraId="560FF917" w14:textId="77777777" w:rsidR="00E27E32" w:rsidRDefault="00E27E32" w:rsidP="00E27E32">
      <w:pPr>
        <w:rPr>
          <w:rFonts w:ascii="Times New Roman" w:hAnsi="Times New Roman"/>
        </w:rPr>
      </w:pPr>
    </w:p>
    <w:p w14:paraId="6D61268D" w14:textId="77777777" w:rsidR="002D0144" w:rsidRDefault="00D36DDE" w:rsidP="0086321E">
      <w:pPr>
        <w:rPr>
          <w:rFonts w:ascii="Times New Roman" w:eastAsia="Times New Roman" w:hAnsi="Times New Roman" w:cs="Times New Roman"/>
        </w:rPr>
      </w:pPr>
      <w:r w:rsidRPr="00330125">
        <w:rPr>
          <w:rFonts w:ascii="Times New Roman" w:eastAsia="Times New Roman" w:hAnsi="Times New Roman" w:cs="Times New Roman"/>
        </w:rPr>
        <w:t xml:space="preserve">DfE (Department for Education). 2010. </w:t>
      </w:r>
      <w:r w:rsidRPr="00330125">
        <w:rPr>
          <w:rFonts w:ascii="Times New Roman" w:eastAsia="Times New Roman" w:hAnsi="Times New Roman" w:cs="Times New Roman"/>
          <w:i/>
        </w:rPr>
        <w:t>The Importance of Teaching: The Schools White Paper 2010</w:t>
      </w:r>
      <w:r w:rsidRPr="00330125">
        <w:rPr>
          <w:rFonts w:ascii="Times New Roman" w:eastAsia="Times New Roman" w:hAnsi="Times New Roman" w:cs="Times New Roman"/>
        </w:rPr>
        <w:t xml:space="preserve">. Crown Copyright. </w:t>
      </w:r>
    </w:p>
    <w:p w14:paraId="1EDB9C09" w14:textId="77777777" w:rsidR="002A75B4" w:rsidRDefault="002A75B4" w:rsidP="0086321E">
      <w:pPr>
        <w:rPr>
          <w:rFonts w:ascii="Times New Roman" w:eastAsia="Times New Roman" w:hAnsi="Times New Roman" w:cs="Times New Roman"/>
        </w:rPr>
      </w:pPr>
    </w:p>
    <w:p w14:paraId="69FDBA2B" w14:textId="202A79C3" w:rsidR="002A75B4" w:rsidRPr="00547D79" w:rsidRDefault="002A75B4" w:rsidP="0086321E">
      <w:pPr>
        <w:rPr>
          <w:rFonts w:ascii="Times New Roman" w:hAnsi="Times New Roman"/>
          <w:color w:val="0000FF"/>
        </w:rPr>
      </w:pPr>
      <w:r w:rsidRPr="00547D79">
        <w:rPr>
          <w:rFonts w:ascii="Times New Roman" w:hAnsi="Times New Roman"/>
          <w:color w:val="0000FF"/>
        </w:rPr>
        <w:t xml:space="preserve">DfE (Department for Education). 2011. </w:t>
      </w:r>
      <w:r w:rsidRPr="00547D79">
        <w:rPr>
          <w:rFonts w:ascii="Times New Roman" w:hAnsi="Times New Roman"/>
          <w:i/>
          <w:color w:val="0000FF"/>
        </w:rPr>
        <w:t xml:space="preserve">Training our Next Generation of Outstanding Teachers: Implementation Plan. </w:t>
      </w:r>
      <w:r w:rsidRPr="00547D79">
        <w:rPr>
          <w:rFonts w:ascii="Times New Roman" w:hAnsi="Times New Roman"/>
          <w:color w:val="0000FF"/>
        </w:rPr>
        <w:t xml:space="preserve">London, TSO. </w:t>
      </w:r>
    </w:p>
    <w:p w14:paraId="4310D546" w14:textId="77777777" w:rsidR="005708BF" w:rsidRPr="00330125" w:rsidRDefault="005708BF" w:rsidP="0086321E">
      <w:pPr>
        <w:rPr>
          <w:rFonts w:ascii="Times New Roman" w:eastAsia="Times New Roman" w:hAnsi="Times New Roman" w:cs="Times New Roman"/>
        </w:rPr>
      </w:pPr>
    </w:p>
    <w:p w14:paraId="77D2C78D" w14:textId="77777777" w:rsidR="005708BF" w:rsidRPr="00330125" w:rsidRDefault="00D36DDE" w:rsidP="0086321E">
      <w:pPr>
        <w:rPr>
          <w:rFonts w:ascii="Times New Roman" w:eastAsia="Times New Roman" w:hAnsi="Times New Roman" w:cs="Times New Roman"/>
        </w:rPr>
      </w:pPr>
      <w:r w:rsidRPr="00330125">
        <w:rPr>
          <w:rFonts w:ascii="Times New Roman" w:eastAsia="Times New Roman" w:hAnsi="Times New Roman" w:cs="Times New Roman"/>
        </w:rPr>
        <w:t xml:space="preserve">Dolowitz, D.P. and D. Marsh. 2000. ”Learning from Abroad: The Role of Policy Transfer in Contemporary Policy-Making.” </w:t>
      </w:r>
      <w:r w:rsidRPr="00330125">
        <w:rPr>
          <w:rFonts w:ascii="Times New Roman" w:eastAsia="Times New Roman" w:hAnsi="Times New Roman" w:cs="Times New Roman"/>
          <w:i/>
        </w:rPr>
        <w:t xml:space="preserve">International Journal of Policy and Administration, </w:t>
      </w:r>
      <w:r w:rsidRPr="00330125">
        <w:rPr>
          <w:rFonts w:ascii="Times New Roman" w:eastAsia="Times New Roman" w:hAnsi="Times New Roman" w:cs="Times New Roman"/>
        </w:rPr>
        <w:t xml:space="preserve">31(1): 5-24. </w:t>
      </w:r>
    </w:p>
    <w:p w14:paraId="6C3E665A" w14:textId="77777777" w:rsidR="00F7597B" w:rsidRPr="00330125" w:rsidRDefault="00F7597B" w:rsidP="0086321E">
      <w:pPr>
        <w:rPr>
          <w:rFonts w:ascii="Times New Roman" w:eastAsia="Times New Roman" w:hAnsi="Times New Roman" w:cs="Times New Roman"/>
        </w:rPr>
      </w:pPr>
    </w:p>
    <w:p w14:paraId="30E98DE5" w14:textId="77777777" w:rsidR="00F7597B" w:rsidRPr="00E761C9" w:rsidRDefault="00177350" w:rsidP="00F7597B">
      <w:pPr>
        <w:rPr>
          <w:rFonts w:ascii="Times New Roman" w:hAnsi="Times New Roman" w:cs="Times New Roman"/>
        </w:rPr>
      </w:pPr>
      <w:r w:rsidRPr="000B54F7">
        <w:rPr>
          <w:rFonts w:ascii="Times New Roman" w:hAnsi="Times New Roman" w:cs="Times New Roman"/>
        </w:rPr>
        <w:t>Elstad, E. 2012</w:t>
      </w:r>
      <w:r w:rsidR="00F7597B" w:rsidRPr="00E761C9">
        <w:rPr>
          <w:rFonts w:ascii="Times New Roman" w:hAnsi="Times New Roman" w:cs="Times New Roman"/>
        </w:rPr>
        <w:t xml:space="preserve">. </w:t>
      </w:r>
      <w:r w:rsidRPr="00E761C9">
        <w:rPr>
          <w:rFonts w:ascii="Times New Roman" w:hAnsi="Times New Roman" w:cs="Times New Roman"/>
        </w:rPr>
        <w:t>“</w:t>
      </w:r>
      <w:r w:rsidR="00F7597B" w:rsidRPr="00E761C9">
        <w:rPr>
          <w:rFonts w:ascii="Times New Roman" w:hAnsi="Times New Roman" w:cs="Times New Roman"/>
        </w:rPr>
        <w:t>PISA Debates and Blame Management Among the Norwegian Educational Authorities: Press Coverage and Debate Intensity in the Newspapers.</w:t>
      </w:r>
      <w:r w:rsidRPr="00E761C9">
        <w:rPr>
          <w:rFonts w:ascii="Times New Roman" w:hAnsi="Times New Roman" w:cs="Times New Roman"/>
        </w:rPr>
        <w:t>”</w:t>
      </w:r>
      <w:r w:rsidR="00F7597B" w:rsidRPr="00E761C9">
        <w:rPr>
          <w:rFonts w:ascii="Times New Roman" w:hAnsi="Times New Roman" w:cs="Times New Roman"/>
        </w:rPr>
        <w:t xml:space="preserve"> </w:t>
      </w:r>
      <w:r w:rsidR="00F7597B" w:rsidRPr="00E761C9">
        <w:rPr>
          <w:rFonts w:ascii="Times New Roman" w:hAnsi="Times New Roman" w:cs="Times New Roman"/>
          <w:i/>
        </w:rPr>
        <w:t>Problems of Education in the 21</w:t>
      </w:r>
      <w:r w:rsidR="00F7597B" w:rsidRPr="00E761C9">
        <w:rPr>
          <w:rFonts w:ascii="Times New Roman" w:hAnsi="Times New Roman" w:cs="Times New Roman"/>
          <w:i/>
          <w:vertAlign w:val="superscript"/>
        </w:rPr>
        <w:t>st</w:t>
      </w:r>
      <w:r w:rsidR="00F7597B" w:rsidRPr="00E761C9">
        <w:rPr>
          <w:rFonts w:ascii="Times New Roman" w:hAnsi="Times New Roman" w:cs="Times New Roman"/>
          <w:i/>
        </w:rPr>
        <w:t xml:space="preserve"> Century, </w:t>
      </w:r>
      <w:r w:rsidRPr="00E761C9">
        <w:rPr>
          <w:rFonts w:ascii="Times New Roman" w:hAnsi="Times New Roman" w:cs="Times New Roman"/>
        </w:rPr>
        <w:t>48:</w:t>
      </w:r>
      <w:r w:rsidR="00F7597B" w:rsidRPr="00E761C9">
        <w:rPr>
          <w:rFonts w:ascii="Times New Roman" w:hAnsi="Times New Roman" w:cs="Times New Roman"/>
        </w:rPr>
        <w:t xml:space="preserve"> 10-22. </w:t>
      </w:r>
    </w:p>
    <w:p w14:paraId="0AF56622" w14:textId="77777777" w:rsidR="00F32583" w:rsidRPr="00330125" w:rsidRDefault="00F32583" w:rsidP="0086321E">
      <w:pPr>
        <w:rPr>
          <w:rFonts w:ascii="Times New Roman" w:eastAsia="Times New Roman" w:hAnsi="Times New Roman" w:cs="Times New Roman"/>
        </w:rPr>
      </w:pPr>
    </w:p>
    <w:p w14:paraId="035BD4F6" w14:textId="77777777" w:rsidR="00101E9F" w:rsidRPr="00330125" w:rsidRDefault="00D36DDE" w:rsidP="00101E9F">
      <w:pPr>
        <w:rPr>
          <w:rFonts w:ascii="Times New Roman" w:eastAsia="Times New Roman" w:hAnsi="Times New Roman" w:cs="Times New Roman"/>
        </w:rPr>
      </w:pPr>
      <w:r w:rsidRPr="00330125">
        <w:rPr>
          <w:rFonts w:ascii="Times New Roman" w:eastAsia="Times New Roman" w:hAnsi="Times New Roman" w:cs="Times New Roman"/>
        </w:rPr>
        <w:t xml:space="preserve">Ertl, H. 2006.  Educational Standards and the Changing Discourse  on Education: The Reception and Consequences of the PISA Study in Germany.  In </w:t>
      </w:r>
      <w:r w:rsidRPr="00330125">
        <w:rPr>
          <w:rFonts w:ascii="Times New Roman" w:eastAsia="Times New Roman" w:hAnsi="Times New Roman" w:cs="Times New Roman"/>
          <w:i/>
        </w:rPr>
        <w:t xml:space="preserve">Oxford Review of Education, </w:t>
      </w:r>
      <w:r w:rsidRPr="00330125">
        <w:rPr>
          <w:rFonts w:ascii="Times New Roman" w:eastAsia="Times New Roman" w:hAnsi="Times New Roman" w:cs="Times New Roman"/>
        </w:rPr>
        <w:t xml:space="preserve">32(5): 619-634.  </w:t>
      </w:r>
    </w:p>
    <w:p w14:paraId="75059417" w14:textId="77777777" w:rsidR="00775685" w:rsidRPr="00330125" w:rsidRDefault="00775685" w:rsidP="0086321E">
      <w:pPr>
        <w:rPr>
          <w:rFonts w:ascii="Times New Roman" w:eastAsia="Times New Roman" w:hAnsi="Times New Roman" w:cs="Times New Roman"/>
        </w:rPr>
      </w:pPr>
    </w:p>
    <w:p w14:paraId="720F356E" w14:textId="77777777" w:rsidR="0020623D" w:rsidRPr="00E761C9" w:rsidRDefault="0020623D" w:rsidP="0020623D">
      <w:pPr>
        <w:rPr>
          <w:rFonts w:ascii="Times New Roman" w:hAnsi="Times New Roman" w:cs="Times New Roman"/>
        </w:rPr>
      </w:pPr>
      <w:r w:rsidRPr="000B54F7">
        <w:rPr>
          <w:rFonts w:ascii="Times New Roman" w:hAnsi="Times New Roman" w:cs="Times New Roman"/>
        </w:rPr>
        <w:t xml:space="preserve">Frankham, J. and </w:t>
      </w:r>
      <w:r w:rsidR="007E66BF" w:rsidRPr="00E761C9">
        <w:rPr>
          <w:rFonts w:ascii="Times New Roman" w:hAnsi="Times New Roman" w:cs="Times New Roman"/>
        </w:rPr>
        <w:t>S. Hiett. 2011</w:t>
      </w:r>
      <w:r w:rsidRPr="00E761C9">
        <w:rPr>
          <w:rFonts w:ascii="Times New Roman" w:hAnsi="Times New Roman" w:cs="Times New Roman"/>
        </w:rPr>
        <w:t xml:space="preserve">. </w:t>
      </w:r>
      <w:r w:rsidR="007E66BF" w:rsidRPr="00E761C9">
        <w:rPr>
          <w:rFonts w:ascii="Times New Roman" w:hAnsi="Times New Roman" w:cs="Times New Roman"/>
        </w:rPr>
        <w:t>“</w:t>
      </w:r>
      <w:r w:rsidRPr="00E761C9">
        <w:rPr>
          <w:rFonts w:ascii="Times New Roman" w:hAnsi="Times New Roman" w:cs="Times New Roman"/>
        </w:rPr>
        <w:t>The Master’s in Teaching and Learning: expanding utilitarianism in the continuing professional development of teachers in England.</w:t>
      </w:r>
      <w:r w:rsidR="007E66BF" w:rsidRPr="00E761C9">
        <w:rPr>
          <w:rFonts w:ascii="Times New Roman" w:hAnsi="Times New Roman" w:cs="Times New Roman"/>
        </w:rPr>
        <w:t xml:space="preserve"> </w:t>
      </w:r>
      <w:r w:rsidRPr="00E761C9">
        <w:rPr>
          <w:rFonts w:ascii="Times New Roman" w:hAnsi="Times New Roman" w:cs="Times New Roman"/>
        </w:rPr>
        <w:t xml:space="preserve"> </w:t>
      </w:r>
      <w:r w:rsidRPr="00E761C9">
        <w:rPr>
          <w:rFonts w:ascii="Times New Roman" w:hAnsi="Times New Roman" w:cs="Times New Roman"/>
          <w:i/>
        </w:rPr>
        <w:t>Journal of Education Policy</w:t>
      </w:r>
      <w:r w:rsidR="007E66BF" w:rsidRPr="00E761C9">
        <w:rPr>
          <w:rFonts w:ascii="Times New Roman" w:hAnsi="Times New Roman" w:cs="Times New Roman"/>
        </w:rPr>
        <w:t xml:space="preserve">, 26 (6): </w:t>
      </w:r>
      <w:r w:rsidRPr="00E761C9">
        <w:rPr>
          <w:rFonts w:ascii="Times New Roman" w:hAnsi="Times New Roman" w:cs="Times New Roman"/>
        </w:rPr>
        <w:t>803-818.</w:t>
      </w:r>
    </w:p>
    <w:p w14:paraId="4C81BF8F" w14:textId="77777777" w:rsidR="0020623D" w:rsidRPr="00330125" w:rsidRDefault="0020623D" w:rsidP="0086321E">
      <w:pPr>
        <w:rPr>
          <w:rFonts w:ascii="Times New Roman" w:eastAsia="Times New Roman" w:hAnsi="Times New Roman" w:cs="Times New Roman"/>
        </w:rPr>
      </w:pPr>
    </w:p>
    <w:p w14:paraId="289EC1DE" w14:textId="77777777" w:rsidR="00FF2985" w:rsidRPr="00330125" w:rsidRDefault="00D36DDE" w:rsidP="00101E9F">
      <w:pPr>
        <w:rPr>
          <w:rFonts w:ascii="Times New Roman" w:eastAsia="Times New Roman" w:hAnsi="Times New Roman" w:cs="Times New Roman"/>
        </w:rPr>
      </w:pPr>
      <w:r w:rsidRPr="00330125">
        <w:rPr>
          <w:rFonts w:ascii="Times New Roman" w:eastAsia="Times New Roman" w:hAnsi="Times New Roman" w:cs="Times New Roman"/>
        </w:rPr>
        <w:t xml:space="preserve">Furlong, J. (2008). ”Making Teaching a 21st Century Profession: Tony Blair’s Big Prize.” </w:t>
      </w:r>
      <w:r w:rsidRPr="00330125">
        <w:rPr>
          <w:rFonts w:ascii="Times New Roman" w:eastAsia="Times New Roman" w:hAnsi="Times New Roman" w:cs="Times New Roman"/>
          <w:i/>
        </w:rPr>
        <w:t>Oxford Review of Education,</w:t>
      </w:r>
      <w:r w:rsidRPr="00330125">
        <w:rPr>
          <w:rFonts w:ascii="Times New Roman" w:eastAsia="Times New Roman" w:hAnsi="Times New Roman" w:cs="Times New Roman"/>
        </w:rPr>
        <w:t xml:space="preserve"> 34(6): 727-739.  </w:t>
      </w:r>
    </w:p>
    <w:p w14:paraId="6D803138" w14:textId="77777777" w:rsidR="00FF2985" w:rsidRPr="00330125" w:rsidRDefault="00FF2985" w:rsidP="00101E9F">
      <w:pPr>
        <w:rPr>
          <w:rFonts w:ascii="Times New Roman" w:eastAsia="Times New Roman" w:hAnsi="Times New Roman" w:cs="Times New Roman"/>
        </w:rPr>
      </w:pPr>
    </w:p>
    <w:p w14:paraId="69ED2DCC" w14:textId="77777777" w:rsidR="00101E9F" w:rsidRPr="00330125" w:rsidRDefault="00D36DDE" w:rsidP="00101E9F">
      <w:pPr>
        <w:rPr>
          <w:rFonts w:ascii="Times New Roman" w:eastAsia="Times New Roman" w:hAnsi="Times New Roman" w:cs="Times New Roman"/>
        </w:rPr>
      </w:pPr>
      <w:r w:rsidRPr="00330125">
        <w:rPr>
          <w:rFonts w:ascii="Times New Roman" w:eastAsia="Times New Roman" w:hAnsi="Times New Roman" w:cs="Times New Roman"/>
        </w:rPr>
        <w:t xml:space="preserve">Gruber, K.H. 2006.  ”The Impact of PISA on the German Education System.”  In Ertl, H. (Ed.) </w:t>
      </w:r>
      <w:r w:rsidRPr="00330125">
        <w:rPr>
          <w:rFonts w:ascii="Times New Roman" w:eastAsia="Times New Roman" w:hAnsi="Times New Roman" w:cs="Times New Roman"/>
          <w:i/>
        </w:rPr>
        <w:t xml:space="preserve">Cross-National Attraction in Education: Accounts from England and Germany, </w:t>
      </w:r>
      <w:r w:rsidRPr="00330125">
        <w:rPr>
          <w:rFonts w:ascii="Times New Roman" w:eastAsia="Times New Roman" w:hAnsi="Times New Roman" w:cs="Times New Roman"/>
        </w:rPr>
        <w:t xml:space="preserve">195-208, Oxford: Symposium Books. </w:t>
      </w:r>
    </w:p>
    <w:p w14:paraId="4B02E012" w14:textId="77777777" w:rsidR="00CC3BF4" w:rsidRPr="00330125" w:rsidRDefault="00CC3BF4" w:rsidP="0086321E">
      <w:pPr>
        <w:rPr>
          <w:rFonts w:ascii="Times New Roman" w:eastAsia="Times New Roman" w:hAnsi="Times New Roman" w:cs="Times New Roman"/>
        </w:rPr>
      </w:pPr>
    </w:p>
    <w:p w14:paraId="485B0122" w14:textId="77777777" w:rsidR="00DA1A00" w:rsidRPr="00E761C9" w:rsidRDefault="00DA1A00" w:rsidP="00DA1A00">
      <w:pPr>
        <w:rPr>
          <w:rFonts w:ascii="Times New Roman" w:hAnsi="Times New Roman" w:cs="Times New Roman"/>
        </w:rPr>
      </w:pPr>
      <w:r w:rsidRPr="000B54F7">
        <w:rPr>
          <w:rFonts w:ascii="Times New Roman" w:hAnsi="Times New Roman" w:cs="Times New Roman"/>
        </w:rPr>
        <w:t xml:space="preserve">Higginson, J.H. (1979). </w:t>
      </w:r>
      <w:r w:rsidRPr="00E761C9">
        <w:rPr>
          <w:rFonts w:ascii="Times New Roman" w:hAnsi="Times New Roman" w:cs="Times New Roman"/>
          <w:i/>
        </w:rPr>
        <w:t xml:space="preserve">Selections from Michael Sadler, </w:t>
      </w:r>
      <w:r w:rsidRPr="00E761C9">
        <w:rPr>
          <w:rFonts w:ascii="Times New Roman" w:hAnsi="Times New Roman" w:cs="Times New Roman"/>
        </w:rPr>
        <w:t>Liverpool: Dejall &amp; Meyorre.</w:t>
      </w:r>
    </w:p>
    <w:p w14:paraId="66475316" w14:textId="77777777" w:rsidR="00DA1A00" w:rsidRPr="00330125" w:rsidRDefault="00DA1A00" w:rsidP="0086321E">
      <w:pPr>
        <w:rPr>
          <w:rFonts w:ascii="Times New Roman" w:eastAsia="Times New Roman" w:hAnsi="Times New Roman" w:cs="Times New Roman"/>
        </w:rPr>
      </w:pPr>
    </w:p>
    <w:p w14:paraId="594B55BF" w14:textId="77777777" w:rsidR="00EA494C" w:rsidRPr="00E761C9" w:rsidRDefault="00065173" w:rsidP="00EA494C">
      <w:pPr>
        <w:rPr>
          <w:rFonts w:ascii="Times New Roman" w:hAnsi="Times New Roman" w:cs="Times New Roman"/>
        </w:rPr>
      </w:pPr>
      <w:r w:rsidRPr="000B54F7">
        <w:rPr>
          <w:rFonts w:ascii="Times New Roman" w:hAnsi="Times New Roman" w:cs="Times New Roman"/>
        </w:rPr>
        <w:lastRenderedPageBreak/>
        <w:t>Kemmis, S. and H.L.T. Heikkinen. 2012</w:t>
      </w:r>
      <w:r w:rsidR="00EA494C" w:rsidRPr="00E761C9">
        <w:rPr>
          <w:rFonts w:ascii="Times New Roman" w:hAnsi="Times New Roman" w:cs="Times New Roman"/>
        </w:rPr>
        <w:t xml:space="preserve">. </w:t>
      </w:r>
      <w:r w:rsidRPr="00E761C9">
        <w:rPr>
          <w:rFonts w:ascii="Times New Roman" w:hAnsi="Times New Roman" w:cs="Times New Roman"/>
        </w:rPr>
        <w:t>“</w:t>
      </w:r>
      <w:r w:rsidR="00EA494C" w:rsidRPr="00E761C9">
        <w:rPr>
          <w:rFonts w:ascii="Times New Roman" w:hAnsi="Times New Roman" w:cs="Times New Roman"/>
        </w:rPr>
        <w:t>Future Perspectives: Peer-Group Mentoring and International Practices for Teacher Development.</w:t>
      </w:r>
      <w:r w:rsidRPr="00E761C9">
        <w:rPr>
          <w:rFonts w:ascii="Times New Roman" w:hAnsi="Times New Roman" w:cs="Times New Roman"/>
        </w:rPr>
        <w:t>”</w:t>
      </w:r>
      <w:r w:rsidR="00EA494C" w:rsidRPr="00E761C9">
        <w:rPr>
          <w:rFonts w:ascii="Times New Roman" w:hAnsi="Times New Roman" w:cs="Times New Roman"/>
        </w:rPr>
        <w:t xml:space="preserve"> In H.L.T. Heikkinen, H. Jokinen and P. Tynjälä. </w:t>
      </w:r>
      <w:r w:rsidRPr="00E761C9">
        <w:rPr>
          <w:rFonts w:ascii="Times New Roman" w:hAnsi="Times New Roman" w:cs="Times New Roman"/>
        </w:rPr>
        <w:t>(</w:t>
      </w:r>
      <w:r w:rsidR="00EA494C" w:rsidRPr="00E761C9">
        <w:rPr>
          <w:rFonts w:ascii="Times New Roman" w:hAnsi="Times New Roman" w:cs="Times New Roman"/>
        </w:rPr>
        <w:t>Eds.</w:t>
      </w:r>
      <w:r w:rsidRPr="00E761C9">
        <w:rPr>
          <w:rFonts w:ascii="Times New Roman" w:hAnsi="Times New Roman" w:cs="Times New Roman"/>
        </w:rPr>
        <w:t>)</w:t>
      </w:r>
      <w:r w:rsidR="00EA494C" w:rsidRPr="00E761C9">
        <w:rPr>
          <w:rFonts w:ascii="Times New Roman" w:hAnsi="Times New Roman" w:cs="Times New Roman"/>
        </w:rPr>
        <w:t xml:space="preserve"> </w:t>
      </w:r>
      <w:r w:rsidR="00EA494C" w:rsidRPr="00E761C9">
        <w:rPr>
          <w:rFonts w:ascii="Times New Roman" w:hAnsi="Times New Roman" w:cs="Times New Roman"/>
          <w:i/>
        </w:rPr>
        <w:t>Peer-Group Mentoring for Teacher Development</w:t>
      </w:r>
      <w:r w:rsidRPr="00E761C9">
        <w:rPr>
          <w:rFonts w:ascii="Times New Roman" w:hAnsi="Times New Roman" w:cs="Times New Roman"/>
        </w:rPr>
        <w:t xml:space="preserve">, </w:t>
      </w:r>
      <w:r w:rsidR="00EA494C" w:rsidRPr="00E761C9">
        <w:rPr>
          <w:rFonts w:ascii="Times New Roman" w:hAnsi="Times New Roman" w:cs="Times New Roman"/>
        </w:rPr>
        <w:t xml:space="preserve">144-170. London: Routledge. </w:t>
      </w:r>
    </w:p>
    <w:p w14:paraId="3A2569A9" w14:textId="77777777" w:rsidR="00EA494C" w:rsidRPr="00E761C9" w:rsidRDefault="00EA494C" w:rsidP="00EA494C">
      <w:pPr>
        <w:rPr>
          <w:rFonts w:ascii="Times New Roman" w:hAnsi="Times New Roman" w:cs="Times New Roman"/>
        </w:rPr>
      </w:pPr>
    </w:p>
    <w:p w14:paraId="48535A1A" w14:textId="77777777" w:rsidR="00271230" w:rsidRPr="00E761C9" w:rsidRDefault="005B78B7" w:rsidP="00EA494C">
      <w:pPr>
        <w:rPr>
          <w:rFonts w:ascii="Times New Roman" w:hAnsi="Times New Roman" w:cs="Times New Roman"/>
        </w:rPr>
      </w:pPr>
      <w:r w:rsidRPr="00E761C9">
        <w:rPr>
          <w:rFonts w:ascii="Times New Roman" w:hAnsi="Times New Roman" w:cs="Times New Roman"/>
        </w:rPr>
        <w:t xml:space="preserve">King, S. </w:t>
      </w:r>
      <w:r w:rsidR="00271230" w:rsidRPr="00E761C9">
        <w:rPr>
          <w:rFonts w:ascii="Times New Roman" w:hAnsi="Times New Roman" w:cs="Times New Roman"/>
        </w:rPr>
        <w:t>2</w:t>
      </w:r>
      <w:r w:rsidRPr="00E761C9">
        <w:rPr>
          <w:rFonts w:ascii="Times New Roman" w:hAnsi="Times New Roman" w:cs="Times New Roman"/>
        </w:rPr>
        <w:t>004</w:t>
      </w:r>
      <w:r w:rsidR="00271230" w:rsidRPr="00E761C9">
        <w:rPr>
          <w:rFonts w:ascii="Times New Roman" w:hAnsi="Times New Roman" w:cs="Times New Roman"/>
        </w:rPr>
        <w:t xml:space="preserve">. “Emerging Models of Teacher Training in England.” </w:t>
      </w:r>
      <w:r w:rsidR="00271230" w:rsidRPr="00E761C9">
        <w:rPr>
          <w:rFonts w:ascii="Times New Roman" w:hAnsi="Times New Roman" w:cs="Times New Roman"/>
          <w:i/>
        </w:rPr>
        <w:t xml:space="preserve">International Research in Geographical and Environmental Education, </w:t>
      </w:r>
      <w:r w:rsidRPr="00E761C9">
        <w:rPr>
          <w:rFonts w:ascii="Times New Roman" w:hAnsi="Times New Roman" w:cs="Times New Roman"/>
        </w:rPr>
        <w:t xml:space="preserve">13(2): </w:t>
      </w:r>
      <w:r w:rsidR="00271230" w:rsidRPr="00E761C9">
        <w:rPr>
          <w:rFonts w:ascii="Times New Roman" w:hAnsi="Times New Roman" w:cs="Times New Roman"/>
        </w:rPr>
        <w:t>197-204.</w:t>
      </w:r>
    </w:p>
    <w:p w14:paraId="40B46BE4" w14:textId="77777777" w:rsidR="00271230" w:rsidRPr="00E761C9" w:rsidRDefault="00271230" w:rsidP="00EA494C">
      <w:pPr>
        <w:rPr>
          <w:rFonts w:ascii="Times New Roman" w:hAnsi="Times New Roman" w:cs="Times New Roman"/>
        </w:rPr>
      </w:pPr>
    </w:p>
    <w:p w14:paraId="649BD880" w14:textId="77777777" w:rsidR="00A51F46" w:rsidRPr="00E761C9" w:rsidRDefault="005B78B7" w:rsidP="00A51F46">
      <w:pPr>
        <w:rPr>
          <w:rFonts w:ascii="Times New Roman" w:hAnsi="Times New Roman" w:cs="Times New Roman"/>
        </w:rPr>
      </w:pPr>
      <w:r w:rsidRPr="00E761C9">
        <w:rPr>
          <w:rFonts w:ascii="Times New Roman" w:hAnsi="Times New Roman" w:cs="Times New Roman"/>
        </w:rPr>
        <w:t>Kivinen, O. &amp; Rinne, R. 1994</w:t>
      </w:r>
      <w:r w:rsidR="00A51F46" w:rsidRPr="00E761C9">
        <w:rPr>
          <w:rFonts w:ascii="Times New Roman" w:hAnsi="Times New Roman" w:cs="Times New Roman"/>
        </w:rPr>
        <w:t xml:space="preserve">.  </w:t>
      </w:r>
      <w:r w:rsidRPr="00E761C9">
        <w:rPr>
          <w:rFonts w:ascii="Times New Roman" w:hAnsi="Times New Roman" w:cs="Times New Roman"/>
        </w:rPr>
        <w:t>“</w:t>
      </w:r>
      <w:r w:rsidR="00A51F46" w:rsidRPr="00E761C9">
        <w:rPr>
          <w:rFonts w:ascii="Times New Roman" w:hAnsi="Times New Roman" w:cs="Times New Roman"/>
        </w:rPr>
        <w:t>The Thirst for Learning, or Protecting One’s Niche?  The Shaping of Teacher Training in Finland during the 19</w:t>
      </w:r>
      <w:r w:rsidR="00A51F46" w:rsidRPr="00E761C9">
        <w:rPr>
          <w:rFonts w:ascii="Times New Roman" w:hAnsi="Times New Roman" w:cs="Times New Roman"/>
          <w:vertAlign w:val="superscript"/>
        </w:rPr>
        <w:t>th</w:t>
      </w:r>
      <w:r w:rsidR="00A51F46" w:rsidRPr="00E761C9">
        <w:rPr>
          <w:rFonts w:ascii="Times New Roman" w:hAnsi="Times New Roman" w:cs="Times New Roman"/>
        </w:rPr>
        <w:t xml:space="preserve"> and 20</w:t>
      </w:r>
      <w:r w:rsidR="00A51F46" w:rsidRPr="00E761C9">
        <w:rPr>
          <w:rFonts w:ascii="Times New Roman" w:hAnsi="Times New Roman" w:cs="Times New Roman"/>
          <w:vertAlign w:val="superscript"/>
        </w:rPr>
        <w:t>th</w:t>
      </w:r>
      <w:r w:rsidRPr="00E761C9">
        <w:rPr>
          <w:rFonts w:ascii="Times New Roman" w:hAnsi="Times New Roman" w:cs="Times New Roman"/>
        </w:rPr>
        <w:t xml:space="preserve"> Centuries.” </w:t>
      </w:r>
      <w:r w:rsidR="00A51F46" w:rsidRPr="00E761C9">
        <w:rPr>
          <w:rFonts w:ascii="Times New Roman" w:hAnsi="Times New Roman" w:cs="Times New Roman"/>
          <w:i/>
        </w:rPr>
        <w:t xml:space="preserve">British Journal of Sociology of Education, </w:t>
      </w:r>
      <w:r w:rsidRPr="00E761C9">
        <w:rPr>
          <w:rFonts w:ascii="Times New Roman" w:hAnsi="Times New Roman" w:cs="Times New Roman"/>
        </w:rPr>
        <w:t>15(4):</w:t>
      </w:r>
      <w:r w:rsidR="00A51F46" w:rsidRPr="00E761C9">
        <w:rPr>
          <w:rFonts w:ascii="Times New Roman" w:hAnsi="Times New Roman" w:cs="Times New Roman"/>
        </w:rPr>
        <w:t xml:space="preserve"> 515-527.  </w:t>
      </w:r>
    </w:p>
    <w:p w14:paraId="49CD9C10" w14:textId="77777777" w:rsidR="00A51F46" w:rsidRPr="00E761C9" w:rsidRDefault="00A51F46" w:rsidP="00EA494C">
      <w:pPr>
        <w:rPr>
          <w:rFonts w:ascii="Times New Roman" w:hAnsi="Times New Roman" w:cs="Times New Roman"/>
        </w:rPr>
      </w:pPr>
    </w:p>
    <w:p w14:paraId="6FE8EB6D" w14:textId="77777777" w:rsidR="00CD424A" w:rsidRPr="00E761C9" w:rsidRDefault="003940BD" w:rsidP="00CD424A">
      <w:pPr>
        <w:rPr>
          <w:rFonts w:ascii="Times New Roman" w:hAnsi="Times New Roman" w:cs="Times New Roman"/>
        </w:rPr>
      </w:pPr>
      <w:r w:rsidRPr="00E761C9">
        <w:rPr>
          <w:rFonts w:ascii="Times New Roman" w:hAnsi="Times New Roman" w:cs="Times New Roman"/>
        </w:rPr>
        <w:t>Maaranen, K. 2009</w:t>
      </w:r>
      <w:r w:rsidR="00CD424A" w:rsidRPr="00E761C9">
        <w:rPr>
          <w:rFonts w:ascii="Times New Roman" w:hAnsi="Times New Roman" w:cs="Times New Roman"/>
        </w:rPr>
        <w:t xml:space="preserve">. </w:t>
      </w:r>
      <w:r w:rsidRPr="00E761C9">
        <w:rPr>
          <w:rFonts w:ascii="Times New Roman" w:hAnsi="Times New Roman" w:cs="Times New Roman"/>
        </w:rPr>
        <w:t>“</w:t>
      </w:r>
      <w:r w:rsidR="00CD424A" w:rsidRPr="00E761C9">
        <w:rPr>
          <w:rFonts w:ascii="Times New Roman" w:hAnsi="Times New Roman" w:cs="Times New Roman"/>
        </w:rPr>
        <w:t>Practitioner research as part of professional development in initial teacher education.</w:t>
      </w:r>
      <w:r w:rsidRPr="00E761C9">
        <w:rPr>
          <w:rFonts w:ascii="Times New Roman" w:hAnsi="Times New Roman" w:cs="Times New Roman"/>
        </w:rPr>
        <w:t>”</w:t>
      </w:r>
      <w:r w:rsidR="00CD424A" w:rsidRPr="00E761C9">
        <w:rPr>
          <w:rFonts w:ascii="Times New Roman" w:hAnsi="Times New Roman" w:cs="Times New Roman"/>
        </w:rPr>
        <w:t xml:space="preserve">  </w:t>
      </w:r>
      <w:r w:rsidR="00CD424A" w:rsidRPr="00E761C9">
        <w:rPr>
          <w:rFonts w:ascii="Times New Roman" w:hAnsi="Times New Roman" w:cs="Times New Roman"/>
          <w:i/>
        </w:rPr>
        <w:t>Teacher Development</w:t>
      </w:r>
      <w:r w:rsidRPr="00E761C9">
        <w:rPr>
          <w:rFonts w:ascii="Times New Roman" w:hAnsi="Times New Roman" w:cs="Times New Roman"/>
        </w:rPr>
        <w:t xml:space="preserve">, 13(3): </w:t>
      </w:r>
      <w:r w:rsidR="00CD424A" w:rsidRPr="00E761C9">
        <w:rPr>
          <w:rFonts w:ascii="Times New Roman" w:hAnsi="Times New Roman" w:cs="Times New Roman"/>
        </w:rPr>
        <w:t>219-237.</w:t>
      </w:r>
    </w:p>
    <w:p w14:paraId="559C97BA" w14:textId="77777777" w:rsidR="00CD424A" w:rsidRPr="00E761C9" w:rsidRDefault="00CD424A" w:rsidP="00EA494C">
      <w:pPr>
        <w:rPr>
          <w:rFonts w:ascii="Times New Roman" w:hAnsi="Times New Roman" w:cs="Times New Roman"/>
        </w:rPr>
      </w:pPr>
    </w:p>
    <w:p w14:paraId="7375A065" w14:textId="77777777" w:rsidR="00BE0D1F" w:rsidRPr="00E761C9" w:rsidRDefault="00BE0D1F" w:rsidP="00EA494C">
      <w:pPr>
        <w:rPr>
          <w:rFonts w:ascii="Times New Roman" w:hAnsi="Times New Roman" w:cs="Times New Roman"/>
        </w:rPr>
      </w:pPr>
      <w:r w:rsidRPr="00E761C9">
        <w:rPr>
          <w:rFonts w:ascii="Times New Roman" w:hAnsi="Times New Roman" w:cs="Times New Roman"/>
        </w:rPr>
        <w:t>McCulloch</w:t>
      </w:r>
      <w:r w:rsidR="00C64974" w:rsidRPr="00E761C9">
        <w:rPr>
          <w:rFonts w:ascii="Times New Roman" w:hAnsi="Times New Roman" w:cs="Times New Roman"/>
        </w:rPr>
        <w:t xml:space="preserve">, G. </w:t>
      </w:r>
      <w:r w:rsidRPr="00E761C9">
        <w:rPr>
          <w:rFonts w:ascii="Times New Roman" w:hAnsi="Times New Roman" w:cs="Times New Roman"/>
        </w:rPr>
        <w:t>201</w:t>
      </w:r>
      <w:r w:rsidR="00C64974" w:rsidRPr="00E761C9">
        <w:rPr>
          <w:rFonts w:ascii="Times New Roman" w:hAnsi="Times New Roman" w:cs="Times New Roman"/>
        </w:rPr>
        <w:t xml:space="preserve">1. </w:t>
      </w:r>
      <w:r w:rsidR="00DD5562" w:rsidRPr="00E761C9">
        <w:rPr>
          <w:rFonts w:ascii="Times New Roman" w:hAnsi="Times New Roman" w:cs="Times New Roman"/>
        </w:rPr>
        <w:t>“Historical and Documentary Research in Education.” In L. Cohen, L. Manion, and K. Morrison (Eds.). Research Methods in Education. 7</w:t>
      </w:r>
      <w:r w:rsidR="00DD5562" w:rsidRPr="00E761C9">
        <w:rPr>
          <w:rFonts w:ascii="Times New Roman" w:hAnsi="Times New Roman" w:cs="Times New Roman"/>
          <w:vertAlign w:val="superscript"/>
        </w:rPr>
        <w:t>th</w:t>
      </w:r>
      <w:r w:rsidR="00DD5562" w:rsidRPr="00E761C9">
        <w:rPr>
          <w:rFonts w:ascii="Times New Roman" w:hAnsi="Times New Roman" w:cs="Times New Roman"/>
        </w:rPr>
        <w:t xml:space="preserve"> Edition. London: Routledge. </w:t>
      </w:r>
    </w:p>
    <w:p w14:paraId="02973D21" w14:textId="77777777" w:rsidR="00BE0D1F" w:rsidRPr="00E761C9" w:rsidRDefault="00BE0D1F" w:rsidP="00EA494C">
      <w:pPr>
        <w:rPr>
          <w:rFonts w:ascii="Times New Roman" w:hAnsi="Times New Roman" w:cs="Times New Roman"/>
        </w:rPr>
      </w:pPr>
    </w:p>
    <w:p w14:paraId="7F10C6F8" w14:textId="77777777" w:rsidR="008565B6" w:rsidRPr="00E761C9" w:rsidRDefault="00582F09" w:rsidP="00EA494C">
      <w:pPr>
        <w:rPr>
          <w:rFonts w:ascii="Times New Roman" w:hAnsi="Times New Roman" w:cs="Times New Roman"/>
        </w:rPr>
      </w:pPr>
      <w:r w:rsidRPr="00E761C9">
        <w:rPr>
          <w:rFonts w:ascii="Times New Roman" w:hAnsi="Times New Roman" w:cs="Times New Roman"/>
        </w:rPr>
        <w:t>McKinsey, 2007</w:t>
      </w:r>
      <w:r w:rsidR="00923795" w:rsidRPr="00E761C9">
        <w:rPr>
          <w:rFonts w:ascii="Times New Roman" w:hAnsi="Times New Roman" w:cs="Times New Roman"/>
        </w:rPr>
        <w:t xml:space="preserve">. How the World’s Best Performing Schools Come Out on Top. </w:t>
      </w:r>
      <w:hyperlink r:id="rId15" w:history="1">
        <w:r w:rsidR="004A1C7F" w:rsidRPr="00E761C9">
          <w:rPr>
            <w:rStyle w:val="Hyperlink"/>
            <w:rFonts w:ascii="Times New Roman" w:hAnsi="Times New Roman" w:cs="Times New Roman"/>
          </w:rPr>
          <w:t>http://mckinseyonsociety.com/how-the-worlds-best-performing-schools-come-out-on-top/</w:t>
        </w:r>
      </w:hyperlink>
      <w:r w:rsidR="004A1C7F" w:rsidRPr="00E761C9">
        <w:rPr>
          <w:rFonts w:ascii="Times New Roman" w:hAnsi="Times New Roman" w:cs="Times New Roman"/>
        </w:rPr>
        <w:t xml:space="preserve"> </w:t>
      </w:r>
    </w:p>
    <w:p w14:paraId="41AE09D6" w14:textId="77777777" w:rsidR="00582F09" w:rsidRPr="00E761C9" w:rsidRDefault="00582F09" w:rsidP="00EA494C">
      <w:pPr>
        <w:rPr>
          <w:rFonts w:ascii="Times New Roman" w:hAnsi="Times New Roman" w:cs="Times New Roman"/>
        </w:rPr>
      </w:pPr>
    </w:p>
    <w:p w14:paraId="4CBC3D52" w14:textId="77777777" w:rsidR="00694D21" w:rsidRPr="00E761C9" w:rsidRDefault="005B78B7" w:rsidP="00EA494C">
      <w:pPr>
        <w:rPr>
          <w:rFonts w:ascii="Times New Roman" w:hAnsi="Times New Roman" w:cs="Times New Roman"/>
        </w:rPr>
      </w:pPr>
      <w:r w:rsidRPr="00E761C9">
        <w:rPr>
          <w:rFonts w:ascii="Times New Roman" w:hAnsi="Times New Roman" w:cs="Times New Roman"/>
        </w:rPr>
        <w:t>Mogalakwe, M. 2006</w:t>
      </w:r>
      <w:r w:rsidR="00694D21" w:rsidRPr="00E761C9">
        <w:rPr>
          <w:rFonts w:ascii="Times New Roman" w:hAnsi="Times New Roman" w:cs="Times New Roman"/>
        </w:rPr>
        <w:t xml:space="preserve">. “The Use of Documentary Research Methods in Social Research.” </w:t>
      </w:r>
      <w:r w:rsidR="00694D21" w:rsidRPr="00E761C9">
        <w:rPr>
          <w:rFonts w:ascii="Times New Roman" w:hAnsi="Times New Roman" w:cs="Times New Roman"/>
          <w:i/>
        </w:rPr>
        <w:t xml:space="preserve">African Sociological Review, </w:t>
      </w:r>
      <w:r w:rsidRPr="00E761C9">
        <w:rPr>
          <w:rFonts w:ascii="Times New Roman" w:hAnsi="Times New Roman" w:cs="Times New Roman"/>
        </w:rPr>
        <w:t>10(1):</w:t>
      </w:r>
      <w:r w:rsidR="00694D21" w:rsidRPr="00E761C9">
        <w:rPr>
          <w:rFonts w:ascii="Times New Roman" w:hAnsi="Times New Roman" w:cs="Times New Roman"/>
        </w:rPr>
        <w:t xml:space="preserve"> 221-230.  </w:t>
      </w:r>
    </w:p>
    <w:p w14:paraId="6C893FD0" w14:textId="77777777" w:rsidR="00694D21" w:rsidRPr="00E761C9" w:rsidRDefault="00694D21" w:rsidP="00EA494C">
      <w:pPr>
        <w:rPr>
          <w:rFonts w:ascii="Times New Roman" w:hAnsi="Times New Roman" w:cs="Times New Roman"/>
        </w:rPr>
      </w:pPr>
    </w:p>
    <w:p w14:paraId="68620446" w14:textId="77777777" w:rsidR="00EA494C" w:rsidRPr="00E761C9" w:rsidRDefault="003F0BB7" w:rsidP="00EA494C">
      <w:pPr>
        <w:rPr>
          <w:rFonts w:ascii="Times New Roman" w:hAnsi="Times New Roman" w:cs="Times New Roman"/>
        </w:rPr>
      </w:pPr>
      <w:r w:rsidRPr="00E761C9">
        <w:rPr>
          <w:rFonts w:ascii="Times New Roman" w:hAnsi="Times New Roman" w:cs="Times New Roman"/>
        </w:rPr>
        <w:t>Morris, P. 2012</w:t>
      </w:r>
      <w:r w:rsidR="00EA494C" w:rsidRPr="00E761C9">
        <w:rPr>
          <w:rFonts w:ascii="Times New Roman" w:hAnsi="Times New Roman" w:cs="Times New Roman"/>
        </w:rPr>
        <w:t xml:space="preserve">. </w:t>
      </w:r>
      <w:r w:rsidRPr="00E761C9">
        <w:rPr>
          <w:rFonts w:ascii="Times New Roman" w:hAnsi="Times New Roman" w:cs="Times New Roman"/>
        </w:rPr>
        <w:t>“</w:t>
      </w:r>
      <w:r w:rsidR="00EA494C" w:rsidRPr="00E761C9">
        <w:rPr>
          <w:rStyle w:val="singlehighlightclass"/>
          <w:rFonts w:ascii="Times New Roman" w:hAnsi="Times New Roman" w:cs="Times New Roman"/>
        </w:rPr>
        <w:t>Pick</w:t>
      </w:r>
      <w:r w:rsidR="00EA494C" w:rsidRPr="00E761C9">
        <w:rPr>
          <w:rFonts w:ascii="Times New Roman" w:hAnsi="Times New Roman" w:cs="Times New Roman"/>
        </w:rPr>
        <w:t xml:space="preserve"> ’</w:t>
      </w:r>
      <w:r w:rsidR="00EA494C" w:rsidRPr="00E761C9">
        <w:rPr>
          <w:rStyle w:val="singlehighlightclass"/>
          <w:rFonts w:ascii="Times New Roman" w:hAnsi="Times New Roman" w:cs="Times New Roman"/>
        </w:rPr>
        <w:t>n</w:t>
      </w:r>
      <w:r w:rsidR="00EA494C" w:rsidRPr="00E761C9">
        <w:rPr>
          <w:rFonts w:ascii="Times New Roman" w:hAnsi="Times New Roman" w:cs="Times New Roman"/>
        </w:rPr>
        <w:t xml:space="preserve">’ </w:t>
      </w:r>
      <w:r w:rsidR="00EA494C" w:rsidRPr="00E761C9">
        <w:rPr>
          <w:rStyle w:val="singlehighlightclass"/>
          <w:rFonts w:ascii="Times New Roman" w:hAnsi="Times New Roman" w:cs="Times New Roman"/>
        </w:rPr>
        <w:t>Mix</w:t>
      </w:r>
      <w:r w:rsidR="00EA494C" w:rsidRPr="00E761C9">
        <w:rPr>
          <w:rFonts w:ascii="Times New Roman" w:hAnsi="Times New Roman" w:cs="Times New Roman"/>
        </w:rPr>
        <w:t>, Select and Project; Policy Borrowing and the Quest for ‘World Class’ Schooling: An Analysis of the 2010 Schools White Paper.</w:t>
      </w:r>
      <w:r w:rsidRPr="00E761C9">
        <w:rPr>
          <w:rFonts w:ascii="Times New Roman" w:hAnsi="Times New Roman" w:cs="Times New Roman"/>
        </w:rPr>
        <w:t>”</w:t>
      </w:r>
      <w:r w:rsidR="00EA494C" w:rsidRPr="00E761C9">
        <w:rPr>
          <w:rFonts w:ascii="Times New Roman" w:hAnsi="Times New Roman" w:cs="Times New Roman"/>
        </w:rPr>
        <w:t xml:space="preserve"> </w:t>
      </w:r>
      <w:r w:rsidR="00EA494C" w:rsidRPr="00E761C9">
        <w:rPr>
          <w:rFonts w:ascii="Times New Roman" w:hAnsi="Times New Roman" w:cs="Times New Roman"/>
          <w:i/>
        </w:rPr>
        <w:t>Journal of Education Policy</w:t>
      </w:r>
      <w:r w:rsidRPr="00E761C9">
        <w:rPr>
          <w:rFonts w:ascii="Times New Roman" w:hAnsi="Times New Roman" w:cs="Times New Roman"/>
        </w:rPr>
        <w:t xml:space="preserve">, 27(1): </w:t>
      </w:r>
      <w:r w:rsidR="00EA494C" w:rsidRPr="00E761C9">
        <w:rPr>
          <w:rFonts w:ascii="Times New Roman" w:hAnsi="Times New Roman" w:cs="Times New Roman"/>
        </w:rPr>
        <w:t xml:space="preserve">89-107. </w:t>
      </w:r>
    </w:p>
    <w:p w14:paraId="134AD90F" w14:textId="77777777" w:rsidR="00EA494C" w:rsidRPr="00E761C9" w:rsidRDefault="00EA494C" w:rsidP="00EA494C">
      <w:pPr>
        <w:rPr>
          <w:rFonts w:ascii="Times New Roman" w:hAnsi="Times New Roman" w:cs="Times New Roman"/>
        </w:rPr>
      </w:pPr>
    </w:p>
    <w:p w14:paraId="3975CFF1" w14:textId="77777777" w:rsidR="002731E4" w:rsidRPr="00E761C9" w:rsidRDefault="00C8580A" w:rsidP="002731E4">
      <w:pPr>
        <w:rPr>
          <w:rFonts w:ascii="Times New Roman" w:hAnsi="Times New Roman" w:cs="Times New Roman"/>
        </w:rPr>
      </w:pPr>
      <w:r w:rsidRPr="00E761C9">
        <w:rPr>
          <w:rFonts w:ascii="Times New Roman" w:hAnsi="Times New Roman" w:cs="Times New Roman"/>
        </w:rPr>
        <w:t>Moutsios, S. 2009</w:t>
      </w:r>
      <w:r w:rsidR="002731E4" w:rsidRPr="00E761C9">
        <w:rPr>
          <w:rFonts w:ascii="Times New Roman" w:hAnsi="Times New Roman" w:cs="Times New Roman"/>
        </w:rPr>
        <w:t xml:space="preserve">. “International organisations and </w:t>
      </w:r>
      <w:r w:rsidRPr="00E761C9">
        <w:rPr>
          <w:rFonts w:ascii="Times New Roman" w:hAnsi="Times New Roman" w:cs="Times New Roman"/>
        </w:rPr>
        <w:t xml:space="preserve">transnational education policy.” </w:t>
      </w:r>
      <w:r w:rsidR="002731E4" w:rsidRPr="00E761C9">
        <w:rPr>
          <w:rFonts w:ascii="Times New Roman" w:hAnsi="Times New Roman" w:cs="Times New Roman"/>
          <w:i/>
        </w:rPr>
        <w:t>Compare</w:t>
      </w:r>
      <w:r w:rsidRPr="00E761C9">
        <w:rPr>
          <w:rFonts w:ascii="Times New Roman" w:hAnsi="Times New Roman" w:cs="Times New Roman"/>
        </w:rPr>
        <w:t>, 39(4):</w:t>
      </w:r>
      <w:r w:rsidR="002731E4" w:rsidRPr="00E761C9">
        <w:rPr>
          <w:rFonts w:ascii="Times New Roman" w:hAnsi="Times New Roman" w:cs="Times New Roman"/>
        </w:rPr>
        <w:t xml:space="preserve"> 467-478. </w:t>
      </w:r>
    </w:p>
    <w:p w14:paraId="77B732EE" w14:textId="77777777" w:rsidR="002731E4" w:rsidRPr="00E761C9" w:rsidRDefault="002731E4" w:rsidP="00EA494C">
      <w:pPr>
        <w:rPr>
          <w:rFonts w:ascii="Times New Roman" w:hAnsi="Times New Roman" w:cs="Times New Roman"/>
        </w:rPr>
      </w:pPr>
    </w:p>
    <w:p w14:paraId="4A29C142" w14:textId="77777777" w:rsidR="00534912" w:rsidRPr="00330125" w:rsidRDefault="00D36DDE" w:rsidP="00534912">
      <w:pPr>
        <w:rPr>
          <w:rFonts w:ascii="Times New Roman" w:eastAsia="Times New Roman" w:hAnsi="Times New Roman" w:cs="Times New Roman"/>
        </w:rPr>
      </w:pPr>
      <w:r w:rsidRPr="00330125">
        <w:rPr>
          <w:rFonts w:ascii="Times New Roman" w:eastAsia="Times New Roman" w:hAnsi="Times New Roman" w:cs="Times New Roman"/>
        </w:rPr>
        <w:t xml:space="preserve">Neumann, K., H.E. Fischer and A. Kauertz. 2010. ”From PISA to Educational Standards: The Impact of Large-Scale Assessments on Science Education in Germany.” </w:t>
      </w:r>
      <w:r w:rsidRPr="00330125">
        <w:rPr>
          <w:rFonts w:ascii="Times New Roman" w:eastAsia="Times New Roman" w:hAnsi="Times New Roman" w:cs="Times New Roman"/>
          <w:i/>
        </w:rPr>
        <w:t xml:space="preserve">International Journal of Science and Mathematics Education, </w:t>
      </w:r>
      <w:r w:rsidRPr="00330125">
        <w:rPr>
          <w:rFonts w:ascii="Times New Roman" w:eastAsia="Times New Roman" w:hAnsi="Times New Roman" w:cs="Times New Roman"/>
        </w:rPr>
        <w:t xml:space="preserve">8: 545-563.  </w:t>
      </w:r>
    </w:p>
    <w:p w14:paraId="3EE7D0ED" w14:textId="77777777" w:rsidR="00534912" w:rsidRPr="00330125" w:rsidRDefault="00534912" w:rsidP="00EA494C">
      <w:pPr>
        <w:rPr>
          <w:rFonts w:ascii="Times New Roman" w:eastAsia="Times New Roman" w:hAnsi="Times New Roman" w:cs="Times New Roman"/>
        </w:rPr>
      </w:pPr>
    </w:p>
    <w:p w14:paraId="5E46E6AB" w14:textId="77777777" w:rsidR="00EA494C" w:rsidRPr="00330125" w:rsidRDefault="00D36DDE" w:rsidP="00EA494C">
      <w:pPr>
        <w:rPr>
          <w:rFonts w:ascii="Times New Roman" w:eastAsia="Times New Roman" w:hAnsi="Times New Roman" w:cs="Times New Roman"/>
        </w:rPr>
      </w:pPr>
      <w:r w:rsidRPr="00330125">
        <w:rPr>
          <w:rFonts w:ascii="Times New Roman" w:eastAsia="Times New Roman" w:hAnsi="Times New Roman" w:cs="Times New Roman"/>
        </w:rPr>
        <w:t xml:space="preserve">Noah, H. J. 1984.  ”The Use and Abuse of Comparative Education.”  </w:t>
      </w:r>
      <w:r w:rsidRPr="00330125">
        <w:rPr>
          <w:rFonts w:ascii="Times New Roman" w:eastAsia="Times New Roman" w:hAnsi="Times New Roman" w:cs="Times New Roman"/>
          <w:i/>
        </w:rPr>
        <w:t xml:space="preserve">Comparative Education Review, </w:t>
      </w:r>
      <w:r w:rsidRPr="00330125">
        <w:rPr>
          <w:rFonts w:ascii="Times New Roman" w:eastAsia="Times New Roman" w:hAnsi="Times New Roman" w:cs="Times New Roman"/>
        </w:rPr>
        <w:t xml:space="preserve">28(4): 550-562.  </w:t>
      </w:r>
    </w:p>
    <w:p w14:paraId="610C0E67" w14:textId="77777777" w:rsidR="00EA1505" w:rsidRPr="00330125" w:rsidRDefault="00EA1505" w:rsidP="00EA494C">
      <w:pPr>
        <w:rPr>
          <w:rFonts w:ascii="Times New Roman" w:eastAsia="Times New Roman" w:hAnsi="Times New Roman" w:cs="Times New Roman"/>
        </w:rPr>
      </w:pPr>
    </w:p>
    <w:p w14:paraId="26916EEB" w14:textId="77777777" w:rsidR="00EA1505" w:rsidRPr="00330125" w:rsidRDefault="00D36DDE" w:rsidP="00EA494C">
      <w:pPr>
        <w:rPr>
          <w:rFonts w:ascii="Times New Roman" w:eastAsia="Times New Roman" w:hAnsi="Times New Roman" w:cs="Times New Roman"/>
        </w:rPr>
      </w:pPr>
      <w:r w:rsidRPr="00330125">
        <w:rPr>
          <w:rFonts w:ascii="Times New Roman" w:eastAsia="Times New Roman" w:hAnsi="Times New Roman" w:cs="Times New Roman"/>
        </w:rPr>
        <w:t xml:space="preserve">Ochs, K. 2006.  ”Cross-National Policy Borrowing and Educational Innovation: Improving Achievement in the London Borough of Barking and Dagenham.” </w:t>
      </w:r>
      <w:r w:rsidRPr="00330125">
        <w:rPr>
          <w:rFonts w:ascii="Times New Roman" w:eastAsia="Times New Roman" w:hAnsi="Times New Roman" w:cs="Times New Roman"/>
          <w:i/>
        </w:rPr>
        <w:t xml:space="preserve">Oxford Review of Education, </w:t>
      </w:r>
      <w:r w:rsidRPr="00330125">
        <w:rPr>
          <w:rFonts w:ascii="Times New Roman" w:eastAsia="Times New Roman" w:hAnsi="Times New Roman" w:cs="Times New Roman"/>
        </w:rPr>
        <w:t xml:space="preserve">32(5): 599-618.  </w:t>
      </w:r>
    </w:p>
    <w:p w14:paraId="3458FD9F" w14:textId="77777777" w:rsidR="00EA494C" w:rsidRPr="000B54F7" w:rsidRDefault="00EA494C" w:rsidP="00EA494C">
      <w:pPr>
        <w:rPr>
          <w:rFonts w:ascii="Times New Roman" w:hAnsi="Times New Roman" w:cs="Times New Roman"/>
        </w:rPr>
      </w:pPr>
    </w:p>
    <w:p w14:paraId="550684D7" w14:textId="77777777" w:rsidR="00F22F02" w:rsidRPr="00E761C9" w:rsidRDefault="00B4528A" w:rsidP="00EA494C">
      <w:pPr>
        <w:rPr>
          <w:rFonts w:ascii="Times New Roman" w:hAnsi="Times New Roman" w:cs="Times New Roman"/>
        </w:rPr>
      </w:pPr>
      <w:r w:rsidRPr="00E761C9">
        <w:rPr>
          <w:rFonts w:ascii="Times New Roman" w:hAnsi="Times New Roman" w:cs="Times New Roman"/>
        </w:rPr>
        <w:t>Ochs, K. and D. Phillips. 2004</w:t>
      </w:r>
      <w:r w:rsidR="00F22F02" w:rsidRPr="00E761C9">
        <w:rPr>
          <w:rFonts w:ascii="Times New Roman" w:hAnsi="Times New Roman" w:cs="Times New Roman"/>
        </w:rPr>
        <w:t xml:space="preserve">. </w:t>
      </w:r>
      <w:r w:rsidRPr="00E761C9">
        <w:rPr>
          <w:rFonts w:ascii="Times New Roman" w:hAnsi="Times New Roman" w:cs="Times New Roman"/>
        </w:rPr>
        <w:t>“</w:t>
      </w:r>
      <w:r w:rsidR="00F22F02" w:rsidRPr="00E761C9">
        <w:rPr>
          <w:rFonts w:ascii="Times New Roman" w:hAnsi="Times New Roman" w:cs="Times New Roman"/>
        </w:rPr>
        <w:t>Processes of Educational Borrowing in a Historical Context.</w:t>
      </w:r>
      <w:r w:rsidRPr="00E761C9">
        <w:rPr>
          <w:rFonts w:ascii="Times New Roman" w:hAnsi="Times New Roman" w:cs="Times New Roman"/>
        </w:rPr>
        <w:t>”</w:t>
      </w:r>
      <w:r w:rsidR="00F22F02" w:rsidRPr="00E761C9">
        <w:rPr>
          <w:rFonts w:ascii="Times New Roman" w:hAnsi="Times New Roman" w:cs="Times New Roman"/>
        </w:rPr>
        <w:t xml:space="preserve">  </w:t>
      </w:r>
      <w:r w:rsidR="00F22F02" w:rsidRPr="00E761C9">
        <w:rPr>
          <w:rFonts w:ascii="Times New Roman" w:hAnsi="Times New Roman" w:cs="Times New Roman"/>
          <w:i/>
        </w:rPr>
        <w:t xml:space="preserve">Educational Policy Borrowing: Historical Perspectives, </w:t>
      </w:r>
      <w:r w:rsidR="00F22F02" w:rsidRPr="00E761C9">
        <w:rPr>
          <w:rFonts w:ascii="Times New Roman" w:hAnsi="Times New Roman" w:cs="Times New Roman"/>
        </w:rPr>
        <w:t>pp. 7-23.</w:t>
      </w:r>
    </w:p>
    <w:p w14:paraId="76232244" w14:textId="77777777" w:rsidR="00F22F02" w:rsidRPr="00E761C9" w:rsidRDefault="00F22F02" w:rsidP="00EA494C">
      <w:pPr>
        <w:rPr>
          <w:rFonts w:ascii="Times New Roman" w:hAnsi="Times New Roman" w:cs="Times New Roman"/>
        </w:rPr>
      </w:pPr>
    </w:p>
    <w:p w14:paraId="3CE675B4" w14:textId="77777777" w:rsidR="000B54F7" w:rsidRPr="000B54F7" w:rsidRDefault="000B54F7" w:rsidP="000B54F7">
      <w:pPr>
        <w:rPr>
          <w:rFonts w:ascii="Times New Roman" w:hAnsi="Times New Roman" w:cs="Times New Roman"/>
        </w:rPr>
      </w:pPr>
      <w:r w:rsidRPr="000B54F7">
        <w:rPr>
          <w:rFonts w:ascii="Times New Roman" w:hAnsi="Times New Roman" w:cs="Times New Roman"/>
        </w:rPr>
        <w:t>OECD (2010), PISA 2009 Results: What Students Know and Can Do – Student Performance in Reading, Mathematics and Science</w:t>
      </w:r>
    </w:p>
    <w:p w14:paraId="703E3C8D" w14:textId="77777777" w:rsidR="00236B38" w:rsidRDefault="000B54F7" w:rsidP="000B54F7">
      <w:pPr>
        <w:rPr>
          <w:rFonts w:ascii="Times New Roman" w:hAnsi="Times New Roman" w:cs="Times New Roman"/>
        </w:rPr>
      </w:pPr>
      <w:r w:rsidRPr="000B54F7">
        <w:rPr>
          <w:rFonts w:ascii="Times New Roman" w:hAnsi="Times New Roman" w:cs="Times New Roman"/>
        </w:rPr>
        <w:t>(Volume I)</w:t>
      </w:r>
      <w:r>
        <w:rPr>
          <w:rFonts w:ascii="Times New Roman" w:hAnsi="Times New Roman" w:cs="Times New Roman"/>
        </w:rPr>
        <w:t xml:space="preserve"> </w:t>
      </w:r>
      <w:hyperlink r:id="rId16" w:history="1">
        <w:r w:rsidRPr="005855C0">
          <w:rPr>
            <w:rStyle w:val="Hyperlink"/>
            <w:rFonts w:ascii="Times New Roman" w:hAnsi="Times New Roman" w:cs="Times New Roman"/>
          </w:rPr>
          <w:t>http://dx.doi.org/10.1787/9789264091450-en</w:t>
        </w:r>
      </w:hyperlink>
    </w:p>
    <w:p w14:paraId="1EA5D5FA" w14:textId="77777777" w:rsidR="000B54F7" w:rsidRDefault="000B54F7" w:rsidP="000B54F7">
      <w:pPr>
        <w:rPr>
          <w:rFonts w:ascii="Times New Roman" w:hAnsi="Times New Roman" w:cs="Times New Roman"/>
        </w:rPr>
      </w:pPr>
    </w:p>
    <w:p w14:paraId="5B0E88E6" w14:textId="77777777" w:rsidR="00236B38" w:rsidRPr="00236B38" w:rsidRDefault="00236B38" w:rsidP="00236B38">
      <w:pPr>
        <w:rPr>
          <w:rFonts w:ascii="Times New Roman" w:hAnsi="Times New Roman" w:cs="Times New Roman"/>
        </w:rPr>
      </w:pPr>
      <w:r w:rsidRPr="00236B38">
        <w:rPr>
          <w:rFonts w:ascii="Times New Roman" w:hAnsi="Times New Roman" w:cs="Times New Roman"/>
        </w:rPr>
        <w:t>OECD (2014), PISA 2012 Results: What Students Know and Can Do – Student Performance in Mathematics,</w:t>
      </w:r>
    </w:p>
    <w:p w14:paraId="57A6B86B" w14:textId="77777777" w:rsidR="00236B38" w:rsidRPr="00236B38" w:rsidRDefault="00236B38" w:rsidP="00236B38">
      <w:pPr>
        <w:rPr>
          <w:rFonts w:ascii="Times New Roman" w:hAnsi="Times New Roman" w:cs="Times New Roman"/>
        </w:rPr>
      </w:pPr>
      <w:r w:rsidRPr="00236B38">
        <w:rPr>
          <w:rFonts w:ascii="Times New Roman" w:hAnsi="Times New Roman" w:cs="Times New Roman"/>
        </w:rPr>
        <w:t>Reading and Science (Volume I, Revised edition, February 2014), PISA, OECD Publishing.</w:t>
      </w:r>
    </w:p>
    <w:p w14:paraId="31FDCB0C" w14:textId="20AE2391" w:rsidR="00012A18" w:rsidRDefault="00F051E6" w:rsidP="00236B38">
      <w:pPr>
        <w:rPr>
          <w:rFonts w:ascii="Times New Roman" w:hAnsi="Times New Roman" w:cs="Times New Roman"/>
        </w:rPr>
      </w:pPr>
      <w:hyperlink r:id="rId17" w:history="1">
        <w:r w:rsidR="00B77E28" w:rsidRPr="00F569C6">
          <w:rPr>
            <w:rStyle w:val="Hyperlink"/>
            <w:rFonts w:ascii="Times New Roman" w:hAnsi="Times New Roman" w:cs="Times New Roman"/>
          </w:rPr>
          <w:t>http://dx.doi.org/10.1787/9789264201118-en</w:t>
        </w:r>
      </w:hyperlink>
    </w:p>
    <w:p w14:paraId="70634D98" w14:textId="77777777" w:rsidR="00790BE7" w:rsidRPr="00E761C9" w:rsidRDefault="00790BE7" w:rsidP="00AA4231">
      <w:pPr>
        <w:rPr>
          <w:rFonts w:ascii="Times New Roman" w:hAnsi="Times New Roman" w:cs="Times New Roman"/>
        </w:rPr>
      </w:pPr>
    </w:p>
    <w:p w14:paraId="2CA4AFF0" w14:textId="77777777" w:rsidR="00790BE7" w:rsidRPr="00E761C9" w:rsidRDefault="005B78B7" w:rsidP="00AA4231">
      <w:pPr>
        <w:rPr>
          <w:rFonts w:ascii="Times New Roman" w:hAnsi="Times New Roman" w:cs="Times New Roman"/>
        </w:rPr>
      </w:pPr>
      <w:r w:rsidRPr="00E761C9">
        <w:rPr>
          <w:rFonts w:ascii="Times New Roman" w:hAnsi="Times New Roman" w:cs="Times New Roman"/>
        </w:rPr>
        <w:t>Ostinelli, G. 2009</w:t>
      </w:r>
      <w:r w:rsidR="00790BE7" w:rsidRPr="00E761C9">
        <w:rPr>
          <w:rFonts w:ascii="Times New Roman" w:hAnsi="Times New Roman" w:cs="Times New Roman"/>
        </w:rPr>
        <w:t xml:space="preserve">.  </w:t>
      </w:r>
      <w:r w:rsidR="00830CF8" w:rsidRPr="00E761C9">
        <w:rPr>
          <w:rFonts w:ascii="Times New Roman" w:hAnsi="Times New Roman" w:cs="Times New Roman"/>
        </w:rPr>
        <w:t>“</w:t>
      </w:r>
      <w:r w:rsidR="00790BE7" w:rsidRPr="00E761C9">
        <w:rPr>
          <w:rFonts w:ascii="Times New Roman" w:hAnsi="Times New Roman" w:cs="Times New Roman"/>
        </w:rPr>
        <w:t>Teacher Education in Italy, Germany, England, Sweden and Finland.</w:t>
      </w:r>
      <w:r w:rsidR="00830CF8" w:rsidRPr="00E761C9">
        <w:rPr>
          <w:rFonts w:ascii="Times New Roman" w:hAnsi="Times New Roman" w:cs="Times New Roman"/>
        </w:rPr>
        <w:t>”</w:t>
      </w:r>
      <w:r w:rsidR="00790BE7" w:rsidRPr="00E761C9">
        <w:rPr>
          <w:rFonts w:ascii="Times New Roman" w:hAnsi="Times New Roman" w:cs="Times New Roman"/>
        </w:rPr>
        <w:t xml:space="preserve"> </w:t>
      </w:r>
      <w:r w:rsidR="00790BE7" w:rsidRPr="00E761C9">
        <w:rPr>
          <w:rFonts w:ascii="Times New Roman" w:hAnsi="Times New Roman" w:cs="Times New Roman"/>
          <w:i/>
        </w:rPr>
        <w:t>European Journal of Education</w:t>
      </w:r>
      <w:r w:rsidRPr="00E761C9">
        <w:rPr>
          <w:rFonts w:ascii="Times New Roman" w:hAnsi="Times New Roman" w:cs="Times New Roman"/>
        </w:rPr>
        <w:t xml:space="preserve">, 44(2): </w:t>
      </w:r>
      <w:r w:rsidR="00790BE7" w:rsidRPr="00E761C9">
        <w:rPr>
          <w:rFonts w:ascii="Times New Roman" w:hAnsi="Times New Roman" w:cs="Times New Roman"/>
        </w:rPr>
        <w:t xml:space="preserve">291-308.  </w:t>
      </w:r>
    </w:p>
    <w:p w14:paraId="44FE5D6F" w14:textId="77777777" w:rsidR="00AA4231" w:rsidRPr="00E761C9" w:rsidRDefault="00AA4231" w:rsidP="00EA494C">
      <w:pPr>
        <w:rPr>
          <w:rFonts w:ascii="Times New Roman" w:hAnsi="Times New Roman" w:cs="Times New Roman"/>
        </w:rPr>
      </w:pPr>
    </w:p>
    <w:p w14:paraId="6D533D98" w14:textId="77777777" w:rsidR="00BB1441" w:rsidRPr="00E761C9" w:rsidRDefault="005B78B7" w:rsidP="00EA494C">
      <w:pPr>
        <w:rPr>
          <w:rFonts w:ascii="Times New Roman" w:hAnsi="Times New Roman" w:cs="Times New Roman"/>
        </w:rPr>
      </w:pPr>
      <w:r w:rsidRPr="00E761C9">
        <w:rPr>
          <w:rFonts w:ascii="Times New Roman" w:hAnsi="Times New Roman" w:cs="Times New Roman"/>
        </w:rPr>
        <w:t>Owen, G.T. 2014.</w:t>
      </w:r>
      <w:r w:rsidR="00BB1441" w:rsidRPr="00E761C9">
        <w:rPr>
          <w:rFonts w:ascii="Times New Roman" w:hAnsi="Times New Roman" w:cs="Times New Roman"/>
        </w:rPr>
        <w:t xml:space="preserve"> “Qualitative Methods in Higher Education Policy Analysis: Using Interviews and Document Analysis.” </w:t>
      </w:r>
      <w:r w:rsidR="00BB1441" w:rsidRPr="00E761C9">
        <w:rPr>
          <w:rFonts w:ascii="Times New Roman" w:hAnsi="Times New Roman" w:cs="Times New Roman"/>
          <w:i/>
        </w:rPr>
        <w:t xml:space="preserve">The Qualitative Report, </w:t>
      </w:r>
      <w:r w:rsidRPr="00E761C9">
        <w:rPr>
          <w:rFonts w:ascii="Times New Roman" w:hAnsi="Times New Roman" w:cs="Times New Roman"/>
        </w:rPr>
        <w:t xml:space="preserve">19(52): </w:t>
      </w:r>
      <w:r w:rsidR="00BB1441" w:rsidRPr="00E761C9">
        <w:rPr>
          <w:rFonts w:ascii="Times New Roman" w:hAnsi="Times New Roman" w:cs="Times New Roman"/>
        </w:rPr>
        <w:t xml:space="preserve">1-19. </w:t>
      </w:r>
    </w:p>
    <w:p w14:paraId="2D6EDAFE" w14:textId="77777777" w:rsidR="00BB1441" w:rsidRPr="00E761C9" w:rsidRDefault="00BB1441" w:rsidP="00EA494C">
      <w:pPr>
        <w:rPr>
          <w:rFonts w:ascii="Times New Roman" w:hAnsi="Times New Roman" w:cs="Times New Roman"/>
        </w:rPr>
      </w:pPr>
    </w:p>
    <w:p w14:paraId="10D415F9" w14:textId="77777777" w:rsidR="009D32F9" w:rsidRPr="00E761C9" w:rsidRDefault="009D32F9" w:rsidP="00EA494C">
      <w:pPr>
        <w:rPr>
          <w:rFonts w:ascii="Times New Roman" w:hAnsi="Times New Roman" w:cs="Times New Roman"/>
        </w:rPr>
      </w:pPr>
      <w:r w:rsidRPr="00E761C9">
        <w:rPr>
          <w:rFonts w:ascii="Times New Roman" w:hAnsi="Times New Roman" w:cs="Times New Roman"/>
        </w:rPr>
        <w:t xml:space="preserve">Phillips, D. </w:t>
      </w:r>
      <w:r w:rsidR="00B4528A" w:rsidRPr="00E761C9">
        <w:rPr>
          <w:rFonts w:ascii="Times New Roman" w:hAnsi="Times New Roman" w:cs="Times New Roman"/>
        </w:rPr>
        <w:t>and K. Ochs. 2004</w:t>
      </w:r>
      <w:r w:rsidRPr="00E761C9">
        <w:rPr>
          <w:rFonts w:ascii="Times New Roman" w:hAnsi="Times New Roman" w:cs="Times New Roman"/>
        </w:rPr>
        <w:t xml:space="preserve">.  </w:t>
      </w:r>
      <w:r w:rsidR="00B4528A" w:rsidRPr="00E761C9">
        <w:rPr>
          <w:rFonts w:ascii="Times New Roman" w:hAnsi="Times New Roman" w:cs="Times New Roman"/>
        </w:rPr>
        <w:t>“</w:t>
      </w:r>
      <w:r w:rsidRPr="00E761C9">
        <w:rPr>
          <w:rFonts w:ascii="Times New Roman" w:hAnsi="Times New Roman" w:cs="Times New Roman"/>
        </w:rPr>
        <w:t>Researching Policy Borrowing: Some Methodological Challenges in Comparative Education.</w:t>
      </w:r>
      <w:r w:rsidR="00B4528A" w:rsidRPr="00E761C9">
        <w:rPr>
          <w:rFonts w:ascii="Times New Roman" w:hAnsi="Times New Roman" w:cs="Times New Roman"/>
        </w:rPr>
        <w:t>”</w:t>
      </w:r>
      <w:r w:rsidRPr="00E761C9">
        <w:rPr>
          <w:rFonts w:ascii="Times New Roman" w:hAnsi="Times New Roman" w:cs="Times New Roman"/>
        </w:rPr>
        <w:t xml:space="preserve">  </w:t>
      </w:r>
      <w:r w:rsidRPr="00E761C9">
        <w:rPr>
          <w:rFonts w:ascii="Times New Roman" w:hAnsi="Times New Roman" w:cs="Times New Roman"/>
          <w:i/>
        </w:rPr>
        <w:t xml:space="preserve">British Educational Research Journal </w:t>
      </w:r>
      <w:r w:rsidR="00B4528A" w:rsidRPr="00E761C9">
        <w:rPr>
          <w:rFonts w:ascii="Times New Roman" w:hAnsi="Times New Roman" w:cs="Times New Roman"/>
        </w:rPr>
        <w:t>30(6):</w:t>
      </w:r>
      <w:r w:rsidRPr="00E761C9">
        <w:rPr>
          <w:rFonts w:ascii="Times New Roman" w:hAnsi="Times New Roman" w:cs="Times New Roman"/>
        </w:rPr>
        <w:t xml:space="preserve"> 773-784. </w:t>
      </w:r>
    </w:p>
    <w:p w14:paraId="335BA0D0" w14:textId="77777777" w:rsidR="00593446" w:rsidRPr="00E761C9" w:rsidRDefault="00593446" w:rsidP="00EA494C">
      <w:pPr>
        <w:rPr>
          <w:rFonts w:ascii="Times New Roman" w:hAnsi="Times New Roman" w:cs="Times New Roman"/>
        </w:rPr>
      </w:pPr>
    </w:p>
    <w:p w14:paraId="5D351D9C" w14:textId="77777777" w:rsidR="00593446" w:rsidRPr="00330125" w:rsidRDefault="00D36DDE" w:rsidP="00EA494C">
      <w:pPr>
        <w:rPr>
          <w:rFonts w:ascii="Times New Roman" w:eastAsia="Times New Roman" w:hAnsi="Times New Roman" w:cs="Times New Roman"/>
        </w:rPr>
      </w:pPr>
      <w:r w:rsidRPr="00330125">
        <w:rPr>
          <w:rFonts w:ascii="Times New Roman" w:eastAsia="Times New Roman" w:hAnsi="Times New Roman" w:cs="Times New Roman"/>
        </w:rPr>
        <w:t xml:space="preserve">Phillips, D. and M. Schweisfurth. 2006.  </w:t>
      </w:r>
      <w:r w:rsidRPr="00330125">
        <w:rPr>
          <w:rFonts w:ascii="Times New Roman" w:eastAsia="Times New Roman" w:hAnsi="Times New Roman" w:cs="Times New Roman"/>
          <w:i/>
        </w:rPr>
        <w:t xml:space="preserve">Comparative and International Education: An Introduction to Theory, Method and Practice.  </w:t>
      </w:r>
      <w:r w:rsidRPr="00330125">
        <w:rPr>
          <w:rFonts w:ascii="Times New Roman" w:eastAsia="Times New Roman" w:hAnsi="Times New Roman" w:cs="Times New Roman"/>
        </w:rPr>
        <w:t xml:space="preserve">Trowbridge, Wiltshire: The Cromwell Press. </w:t>
      </w:r>
    </w:p>
    <w:p w14:paraId="59BDBF8A" w14:textId="77777777" w:rsidR="006444E4" w:rsidRPr="000B54F7" w:rsidRDefault="006444E4" w:rsidP="00C84FA1">
      <w:pPr>
        <w:rPr>
          <w:rFonts w:ascii="Times New Roman" w:hAnsi="Times New Roman" w:cs="Times New Roman"/>
        </w:rPr>
      </w:pPr>
    </w:p>
    <w:p w14:paraId="5F69F11D" w14:textId="77777777" w:rsidR="000B0EF3" w:rsidRPr="00330125" w:rsidRDefault="00D36DDE" w:rsidP="00D74EA3">
      <w:pPr>
        <w:rPr>
          <w:rFonts w:ascii="Times New Roman" w:eastAsia="Times New Roman" w:hAnsi="Times New Roman" w:cs="Times New Roman"/>
        </w:rPr>
      </w:pPr>
      <w:r w:rsidRPr="00330125">
        <w:rPr>
          <w:rFonts w:ascii="Times New Roman" w:eastAsia="Times New Roman" w:hAnsi="Times New Roman" w:cs="Times New Roman"/>
        </w:rPr>
        <w:t xml:space="preserve">Prior, L. (2003). </w:t>
      </w:r>
      <w:r w:rsidRPr="00330125">
        <w:rPr>
          <w:rFonts w:ascii="Times New Roman" w:eastAsia="Times New Roman" w:hAnsi="Times New Roman" w:cs="Times New Roman"/>
          <w:i/>
        </w:rPr>
        <w:t>Using Documents in Social Research</w:t>
      </w:r>
      <w:r w:rsidRPr="00330125">
        <w:rPr>
          <w:rFonts w:ascii="Times New Roman" w:eastAsia="Times New Roman" w:hAnsi="Times New Roman" w:cs="Times New Roman"/>
        </w:rPr>
        <w:t xml:space="preserve">. London: Sage. </w:t>
      </w:r>
    </w:p>
    <w:p w14:paraId="7E53D985" w14:textId="77777777" w:rsidR="000B0EF3" w:rsidRPr="00330125" w:rsidRDefault="000B0EF3" w:rsidP="00D74EA3">
      <w:pPr>
        <w:rPr>
          <w:rFonts w:ascii="Times New Roman" w:eastAsia="Times New Roman" w:hAnsi="Times New Roman" w:cs="Times New Roman"/>
        </w:rPr>
      </w:pPr>
    </w:p>
    <w:p w14:paraId="71CCCA69" w14:textId="77777777" w:rsidR="00D74EA3" w:rsidRPr="00330125" w:rsidRDefault="00D36DDE" w:rsidP="00D74EA3">
      <w:pPr>
        <w:rPr>
          <w:rFonts w:ascii="Times New Roman" w:eastAsia="Times New Roman" w:hAnsi="Times New Roman" w:cs="Times New Roman"/>
        </w:rPr>
      </w:pPr>
      <w:r w:rsidRPr="00330125">
        <w:rPr>
          <w:rFonts w:ascii="Times New Roman" w:eastAsia="Times New Roman" w:hAnsi="Times New Roman" w:cs="Times New Roman"/>
        </w:rPr>
        <w:t xml:space="preserve">Rappleye, J. 2006. ”Theorizing Educational Transfer: Toward a Conceptual Map of the Context of Cross-National Attraction.” </w:t>
      </w:r>
      <w:r w:rsidRPr="00330125">
        <w:rPr>
          <w:rFonts w:ascii="Times New Roman" w:eastAsia="Times New Roman" w:hAnsi="Times New Roman" w:cs="Times New Roman"/>
          <w:i/>
        </w:rPr>
        <w:t xml:space="preserve">Research in Comparative and International Education, </w:t>
      </w:r>
      <w:r w:rsidRPr="00330125">
        <w:rPr>
          <w:rFonts w:ascii="Times New Roman" w:eastAsia="Times New Roman" w:hAnsi="Times New Roman" w:cs="Times New Roman"/>
        </w:rPr>
        <w:t>1: 223-240.</w:t>
      </w:r>
    </w:p>
    <w:p w14:paraId="587E0B2A" w14:textId="77777777" w:rsidR="00405A32" w:rsidRPr="00330125" w:rsidRDefault="00405A32" w:rsidP="00D74EA3">
      <w:pPr>
        <w:rPr>
          <w:rFonts w:ascii="Times New Roman" w:eastAsia="Times New Roman" w:hAnsi="Times New Roman" w:cs="Times New Roman"/>
        </w:rPr>
      </w:pPr>
    </w:p>
    <w:p w14:paraId="767F2F2F" w14:textId="77777777" w:rsidR="00405A32" w:rsidRPr="00330125" w:rsidRDefault="00D36DDE" w:rsidP="00D74EA3">
      <w:pPr>
        <w:rPr>
          <w:rFonts w:ascii="Times New Roman" w:eastAsia="Times New Roman" w:hAnsi="Times New Roman" w:cs="Times New Roman"/>
        </w:rPr>
      </w:pPr>
      <w:r w:rsidRPr="00330125">
        <w:rPr>
          <w:rFonts w:ascii="Times New Roman" w:eastAsia="Times New Roman" w:hAnsi="Times New Roman" w:cs="Times New Roman"/>
        </w:rPr>
        <w:t xml:space="preserve">Raiker, A. 2011. Finnish University Training Schools: Principles and Pedagogy. </w:t>
      </w:r>
      <w:hyperlink r:id="rId18" w:history="1">
        <w:r w:rsidR="00405A32" w:rsidRPr="00E761C9">
          <w:rPr>
            <w:rStyle w:val="Hyperlink"/>
            <w:rFonts w:ascii="Times New Roman" w:hAnsi="Times New Roman" w:cs="Times New Roman"/>
          </w:rPr>
          <w:t>http://www.beds.ac.uk/__data/assets/pdf_file/0003/83433/finnishmodel-110713-finland-v2.pdf</w:t>
        </w:r>
      </w:hyperlink>
      <w:r w:rsidRPr="00330125">
        <w:rPr>
          <w:rFonts w:ascii="Times New Roman" w:eastAsia="Times New Roman" w:hAnsi="Times New Roman" w:cs="Times New Roman"/>
        </w:rPr>
        <w:t xml:space="preserve"> </w:t>
      </w:r>
    </w:p>
    <w:p w14:paraId="0842119E" w14:textId="77777777" w:rsidR="00D74EA3" w:rsidRPr="000B54F7" w:rsidRDefault="00D74EA3" w:rsidP="00C84FA1">
      <w:pPr>
        <w:rPr>
          <w:rFonts w:ascii="Times New Roman" w:hAnsi="Times New Roman" w:cs="Times New Roman"/>
        </w:rPr>
      </w:pPr>
    </w:p>
    <w:p w14:paraId="69AA9178" w14:textId="77777777" w:rsidR="0086321E" w:rsidRPr="00330125" w:rsidRDefault="00D36DDE" w:rsidP="0086321E">
      <w:pPr>
        <w:rPr>
          <w:rFonts w:ascii="Times New Roman" w:eastAsia="Times New Roman" w:hAnsi="Times New Roman" w:cs="Times New Roman"/>
        </w:rPr>
      </w:pPr>
      <w:r w:rsidRPr="00330125">
        <w:rPr>
          <w:rFonts w:ascii="Times New Roman" w:eastAsia="Times New Roman" w:hAnsi="Times New Roman" w:cs="Times New Roman"/>
        </w:rPr>
        <w:t xml:space="preserve">Sahlberg, P. 2007.  ”Education Policies for Raising Student Learning: The Finnish Approach.”  </w:t>
      </w:r>
      <w:r w:rsidRPr="00330125">
        <w:rPr>
          <w:rFonts w:ascii="Times New Roman" w:eastAsia="Times New Roman" w:hAnsi="Times New Roman" w:cs="Times New Roman"/>
          <w:i/>
        </w:rPr>
        <w:t xml:space="preserve">Journal of Education Policy, </w:t>
      </w:r>
      <w:r w:rsidRPr="00330125">
        <w:rPr>
          <w:rFonts w:ascii="Times New Roman" w:eastAsia="Times New Roman" w:hAnsi="Times New Roman" w:cs="Times New Roman"/>
        </w:rPr>
        <w:t xml:space="preserve">22(2): 147-171.  </w:t>
      </w:r>
    </w:p>
    <w:p w14:paraId="1FAFBEEC" w14:textId="66DFA9CE" w:rsidR="004E3A08" w:rsidRPr="00547D79" w:rsidRDefault="004E3A08" w:rsidP="00084A36">
      <w:pPr>
        <w:pStyle w:val="Heading1"/>
        <w:rPr>
          <w:rFonts w:ascii="Times New Roman" w:eastAsia="Times New Roman" w:hAnsi="Times New Roman" w:cs="Times New Roman"/>
          <w:b w:val="0"/>
          <w:color w:val="0000FF"/>
          <w:sz w:val="24"/>
          <w:szCs w:val="24"/>
        </w:rPr>
      </w:pPr>
      <w:r w:rsidRPr="00547D79">
        <w:rPr>
          <w:rFonts w:ascii="Times New Roman" w:eastAsia="Times New Roman" w:hAnsi="Times New Roman" w:cs="Times New Roman"/>
          <w:b w:val="0"/>
          <w:color w:val="0000FF"/>
          <w:sz w:val="24"/>
          <w:szCs w:val="24"/>
        </w:rPr>
        <w:t xml:space="preserve">Silander, T. and </w:t>
      </w:r>
      <w:r w:rsidRPr="00547D79">
        <w:rPr>
          <w:rFonts w:ascii="Times New Roman" w:hAnsi="Times New Roman" w:cs="Times New Roman"/>
          <w:b w:val="0"/>
          <w:color w:val="0000FF"/>
          <w:sz w:val="24"/>
          <w:szCs w:val="24"/>
        </w:rPr>
        <w:t>Välijärvi, J. 2013. “</w:t>
      </w:r>
      <w:r w:rsidRPr="00547D79">
        <w:rPr>
          <w:rFonts w:ascii="Times New Roman" w:eastAsia="Times New Roman" w:hAnsi="Times New Roman" w:cs="Times New Roman"/>
          <w:b w:val="0"/>
          <w:color w:val="0000FF"/>
          <w:sz w:val="24"/>
          <w:szCs w:val="24"/>
        </w:rPr>
        <w:t xml:space="preserve">The Theory and Practice of Building Pedagogical Skill in Finnish </w:t>
      </w:r>
      <w:r w:rsidR="00B77E28">
        <w:rPr>
          <w:rFonts w:ascii="Times New Roman" w:eastAsia="Times New Roman" w:hAnsi="Times New Roman" w:cs="Times New Roman"/>
          <w:b w:val="0"/>
          <w:color w:val="0000FF"/>
          <w:sz w:val="24"/>
          <w:szCs w:val="24"/>
        </w:rPr>
        <w:t>Teacher Education.” In H.</w:t>
      </w:r>
      <w:r w:rsidRPr="00547D79">
        <w:rPr>
          <w:rFonts w:ascii="Times New Roman" w:eastAsia="Times New Roman" w:hAnsi="Times New Roman" w:cs="Times New Roman"/>
          <w:b w:val="0"/>
          <w:color w:val="0000FF"/>
          <w:sz w:val="24"/>
          <w:szCs w:val="24"/>
        </w:rPr>
        <w:t>-D. Meyer and A. Benavot (Eds.) PISA, Power, and Policy: The Emergence of Global Educational Governance</w:t>
      </w:r>
      <w:r w:rsidRPr="00547D79">
        <w:rPr>
          <w:rFonts w:ascii="Times New Roman" w:eastAsia="Times New Roman" w:hAnsi="Times New Roman" w:cs="Times New Roman"/>
          <w:b w:val="0"/>
          <w:i/>
          <w:color w:val="0000FF"/>
          <w:sz w:val="24"/>
          <w:szCs w:val="24"/>
        </w:rPr>
        <w:t xml:space="preserve">, </w:t>
      </w:r>
      <w:r w:rsidR="00084A36" w:rsidRPr="00547D79">
        <w:rPr>
          <w:rFonts w:ascii="Times New Roman" w:eastAsia="Times New Roman" w:hAnsi="Times New Roman" w:cs="Times New Roman"/>
          <w:b w:val="0"/>
          <w:color w:val="0000FF"/>
          <w:sz w:val="24"/>
          <w:szCs w:val="24"/>
        </w:rPr>
        <w:t xml:space="preserve">Oxford: Symposium. </w:t>
      </w:r>
    </w:p>
    <w:p w14:paraId="1ED02C81" w14:textId="77777777" w:rsidR="00481BD8" w:rsidRPr="00E761C9" w:rsidRDefault="00481BD8" w:rsidP="00C84FA1">
      <w:pPr>
        <w:rPr>
          <w:rFonts w:ascii="Times New Roman" w:eastAsia="Times New Roman" w:hAnsi="Times New Roman" w:cs="Times New Roman"/>
        </w:rPr>
      </w:pPr>
      <w:r w:rsidRPr="00E761C9">
        <w:rPr>
          <w:rFonts w:ascii="Times New Roman" w:eastAsia="Times New Roman" w:hAnsi="Times New Roman" w:cs="Times New Roman"/>
        </w:rPr>
        <w:t>Stevens, P., Tønnesse</w:t>
      </w:r>
      <w:r w:rsidR="00390721" w:rsidRPr="00E761C9">
        <w:rPr>
          <w:rFonts w:ascii="Times New Roman" w:eastAsia="Times New Roman" w:hAnsi="Times New Roman" w:cs="Times New Roman"/>
        </w:rPr>
        <w:t>n, F.E., and Kyriacou, C. 2004</w:t>
      </w:r>
      <w:r w:rsidRPr="00E761C9">
        <w:rPr>
          <w:rFonts w:ascii="Times New Roman" w:eastAsia="Times New Roman" w:hAnsi="Times New Roman" w:cs="Times New Roman"/>
        </w:rPr>
        <w:t xml:space="preserve">. “Teacher </w:t>
      </w:r>
      <w:r w:rsidRPr="00E761C9">
        <w:rPr>
          <w:rFonts w:ascii="Times New Roman" w:eastAsia="Times New Roman" w:hAnsi="Times New Roman" w:cs="Times New Roman"/>
          <w:i/>
        </w:rPr>
        <w:t>Training</w:t>
      </w:r>
      <w:r w:rsidRPr="00E761C9">
        <w:rPr>
          <w:rFonts w:ascii="Times New Roman" w:eastAsia="Times New Roman" w:hAnsi="Times New Roman" w:cs="Times New Roman"/>
        </w:rPr>
        <w:t xml:space="preserve"> and Teacher </w:t>
      </w:r>
      <w:r w:rsidRPr="00E761C9">
        <w:rPr>
          <w:rFonts w:ascii="Times New Roman" w:eastAsia="Times New Roman" w:hAnsi="Times New Roman" w:cs="Times New Roman"/>
          <w:i/>
        </w:rPr>
        <w:t>Education</w:t>
      </w:r>
      <w:r w:rsidRPr="00E761C9">
        <w:rPr>
          <w:rFonts w:ascii="Times New Roman" w:eastAsia="Times New Roman" w:hAnsi="Times New Roman" w:cs="Times New Roman"/>
        </w:rPr>
        <w:t xml:space="preserve"> in England and Norway: A Comparative Study of Policy Goals.” </w:t>
      </w:r>
      <w:r w:rsidRPr="00E761C9">
        <w:rPr>
          <w:rFonts w:ascii="Times New Roman" w:eastAsia="Times New Roman" w:hAnsi="Times New Roman" w:cs="Times New Roman"/>
          <w:i/>
        </w:rPr>
        <w:t>Comparative Education</w:t>
      </w:r>
      <w:r w:rsidR="00390721" w:rsidRPr="00E761C9">
        <w:rPr>
          <w:rFonts w:ascii="Times New Roman" w:eastAsia="Times New Roman" w:hAnsi="Times New Roman" w:cs="Times New Roman"/>
        </w:rPr>
        <w:t xml:space="preserve">, 40(1): </w:t>
      </w:r>
      <w:r w:rsidRPr="00E761C9">
        <w:rPr>
          <w:rFonts w:ascii="Times New Roman" w:eastAsia="Times New Roman" w:hAnsi="Times New Roman" w:cs="Times New Roman"/>
        </w:rPr>
        <w:t xml:space="preserve">109-130. </w:t>
      </w:r>
    </w:p>
    <w:p w14:paraId="33480AB6" w14:textId="77777777" w:rsidR="00481BD8" w:rsidRPr="00E761C9" w:rsidRDefault="00481BD8" w:rsidP="00C84FA1">
      <w:pPr>
        <w:rPr>
          <w:rFonts w:ascii="Times New Roman" w:eastAsia="Times New Roman" w:hAnsi="Times New Roman" w:cs="Times New Roman"/>
        </w:rPr>
      </w:pPr>
    </w:p>
    <w:p w14:paraId="6DCFA448" w14:textId="77777777" w:rsidR="00002B74" w:rsidRPr="00E761C9" w:rsidRDefault="00B96DF3" w:rsidP="00C84FA1">
      <w:pPr>
        <w:rPr>
          <w:rFonts w:ascii="Times New Roman" w:eastAsia="Times New Roman" w:hAnsi="Times New Roman" w:cs="Times New Roman"/>
        </w:rPr>
      </w:pPr>
      <w:r w:rsidRPr="00E761C9">
        <w:rPr>
          <w:rFonts w:ascii="Times New Roman" w:eastAsia="Times New Roman" w:hAnsi="Times New Roman" w:cs="Times New Roman"/>
        </w:rPr>
        <w:t>Takayama, K. 2008</w:t>
      </w:r>
      <w:r w:rsidR="00002B74" w:rsidRPr="00E761C9">
        <w:rPr>
          <w:rFonts w:ascii="Times New Roman" w:eastAsia="Times New Roman" w:hAnsi="Times New Roman" w:cs="Times New Roman"/>
        </w:rPr>
        <w:t xml:space="preserve">. </w:t>
      </w:r>
      <w:r w:rsidRPr="00E761C9">
        <w:rPr>
          <w:rFonts w:ascii="Times New Roman" w:eastAsia="Times New Roman" w:hAnsi="Times New Roman" w:cs="Times New Roman"/>
        </w:rPr>
        <w:t>“</w:t>
      </w:r>
      <w:r w:rsidR="00002B74" w:rsidRPr="00E761C9">
        <w:rPr>
          <w:rFonts w:ascii="Times New Roman" w:eastAsia="Times New Roman" w:hAnsi="Times New Roman" w:cs="Times New Roman"/>
        </w:rPr>
        <w:t>The Politics of International League Tables: PISA in Japan's Achievement Crisis Debate.</w:t>
      </w:r>
      <w:r w:rsidRPr="00E761C9">
        <w:rPr>
          <w:rFonts w:ascii="Times New Roman" w:eastAsia="Times New Roman" w:hAnsi="Times New Roman" w:cs="Times New Roman"/>
        </w:rPr>
        <w:t>”</w:t>
      </w:r>
      <w:r w:rsidR="00002B74" w:rsidRPr="00E761C9">
        <w:rPr>
          <w:rFonts w:ascii="Times New Roman" w:eastAsia="Times New Roman" w:hAnsi="Times New Roman" w:cs="Times New Roman"/>
        </w:rPr>
        <w:t xml:space="preserve"> </w:t>
      </w:r>
      <w:r w:rsidR="00002B74" w:rsidRPr="00E761C9">
        <w:rPr>
          <w:rFonts w:ascii="Times New Roman" w:eastAsia="Times New Roman" w:hAnsi="Times New Roman" w:cs="Times New Roman"/>
          <w:i/>
          <w:iCs/>
        </w:rPr>
        <w:t xml:space="preserve">Comparative Education, </w:t>
      </w:r>
      <w:r w:rsidRPr="00E761C9">
        <w:rPr>
          <w:rFonts w:ascii="Times New Roman" w:eastAsia="Times New Roman" w:hAnsi="Times New Roman" w:cs="Times New Roman"/>
        </w:rPr>
        <w:t xml:space="preserve">44(4): </w:t>
      </w:r>
      <w:r w:rsidR="00002B74" w:rsidRPr="00E761C9">
        <w:rPr>
          <w:rFonts w:ascii="Times New Roman" w:eastAsia="Times New Roman" w:hAnsi="Times New Roman" w:cs="Times New Roman"/>
        </w:rPr>
        <w:t xml:space="preserve">387-407. </w:t>
      </w:r>
    </w:p>
    <w:p w14:paraId="51DE58E3" w14:textId="77777777" w:rsidR="00AE266B" w:rsidRPr="00E761C9" w:rsidRDefault="00AE266B" w:rsidP="00C84FA1">
      <w:pPr>
        <w:rPr>
          <w:rFonts w:ascii="Times New Roman" w:hAnsi="Times New Roman" w:cs="Times New Roman"/>
        </w:rPr>
      </w:pPr>
    </w:p>
    <w:p w14:paraId="5A04EAAF" w14:textId="77777777" w:rsidR="0070316E" w:rsidRPr="00E761C9" w:rsidRDefault="0070316E" w:rsidP="0070316E">
      <w:pPr>
        <w:rPr>
          <w:rFonts w:ascii="Times New Roman" w:eastAsia="Times New Roman" w:hAnsi="Times New Roman" w:cs="Times New Roman"/>
        </w:rPr>
      </w:pPr>
      <w:r w:rsidRPr="00E761C9">
        <w:rPr>
          <w:rFonts w:ascii="Times New Roman" w:eastAsia="Times New Roman" w:hAnsi="Times New Roman" w:cs="Times New Roman"/>
        </w:rPr>
        <w:t>Takayama</w:t>
      </w:r>
      <w:r w:rsidR="00FE1711" w:rsidRPr="00E761C9">
        <w:rPr>
          <w:rFonts w:ascii="Times New Roman" w:eastAsia="Times New Roman" w:hAnsi="Times New Roman" w:cs="Times New Roman"/>
        </w:rPr>
        <w:t>, K. 2009</w:t>
      </w:r>
      <w:r w:rsidRPr="00E761C9">
        <w:rPr>
          <w:rFonts w:ascii="Times New Roman" w:eastAsia="Times New Roman" w:hAnsi="Times New Roman" w:cs="Times New Roman"/>
        </w:rPr>
        <w:t xml:space="preserve">. </w:t>
      </w:r>
      <w:r w:rsidR="00FE1711" w:rsidRPr="00E761C9">
        <w:rPr>
          <w:rFonts w:ascii="Times New Roman" w:eastAsia="Times New Roman" w:hAnsi="Times New Roman" w:cs="Times New Roman"/>
        </w:rPr>
        <w:t>“</w:t>
      </w:r>
      <w:r w:rsidRPr="00E761C9">
        <w:rPr>
          <w:rFonts w:ascii="Times New Roman" w:eastAsia="Times New Roman" w:hAnsi="Times New Roman" w:cs="Times New Roman"/>
        </w:rPr>
        <w:t>Politics of Externalization in Reflexive Times: Reinventing Japanese Educa</w:t>
      </w:r>
      <w:r w:rsidR="00FE1711" w:rsidRPr="00E761C9">
        <w:rPr>
          <w:rFonts w:ascii="Times New Roman" w:eastAsia="Times New Roman" w:hAnsi="Times New Roman" w:cs="Times New Roman"/>
        </w:rPr>
        <w:t>tion Reform Discourses through ‘</w:t>
      </w:r>
      <w:r w:rsidRPr="00E761C9">
        <w:rPr>
          <w:rFonts w:ascii="Times New Roman" w:eastAsia="Times New Roman" w:hAnsi="Times New Roman" w:cs="Times New Roman"/>
        </w:rPr>
        <w:t>Finnish PISA Success</w:t>
      </w:r>
      <w:r w:rsidR="00FE1711" w:rsidRPr="00E761C9">
        <w:rPr>
          <w:rFonts w:ascii="Times New Roman" w:eastAsia="Times New Roman" w:hAnsi="Times New Roman" w:cs="Times New Roman"/>
        </w:rPr>
        <w:t>.’</w:t>
      </w:r>
      <w:r w:rsidRPr="00E761C9">
        <w:rPr>
          <w:rFonts w:ascii="Times New Roman" w:eastAsia="Times New Roman" w:hAnsi="Times New Roman" w:cs="Times New Roman"/>
        </w:rPr>
        <w:t>”</w:t>
      </w:r>
      <w:r w:rsidR="00FE1711" w:rsidRPr="00E761C9">
        <w:rPr>
          <w:rFonts w:ascii="Times New Roman" w:eastAsia="Times New Roman" w:hAnsi="Times New Roman" w:cs="Times New Roman"/>
        </w:rPr>
        <w:t xml:space="preserve"> </w:t>
      </w:r>
      <w:r w:rsidRPr="00E761C9">
        <w:rPr>
          <w:rFonts w:ascii="Times New Roman" w:eastAsia="Times New Roman" w:hAnsi="Times New Roman" w:cs="Times New Roman"/>
          <w:i/>
          <w:iCs/>
        </w:rPr>
        <w:t xml:space="preserve">Comparative Education Review, </w:t>
      </w:r>
      <w:r w:rsidR="00FE1711" w:rsidRPr="00E761C9">
        <w:rPr>
          <w:rFonts w:ascii="Times New Roman" w:eastAsia="Times New Roman" w:hAnsi="Times New Roman" w:cs="Times New Roman"/>
        </w:rPr>
        <w:t xml:space="preserve">54(1): </w:t>
      </w:r>
      <w:r w:rsidRPr="00E761C9">
        <w:rPr>
          <w:rFonts w:ascii="Times New Roman" w:eastAsia="Times New Roman" w:hAnsi="Times New Roman" w:cs="Times New Roman"/>
        </w:rPr>
        <w:t xml:space="preserve">51-75. </w:t>
      </w:r>
    </w:p>
    <w:p w14:paraId="09AC1CD6" w14:textId="77777777" w:rsidR="007120E6" w:rsidRPr="00E761C9" w:rsidRDefault="007120E6" w:rsidP="0070316E">
      <w:pPr>
        <w:rPr>
          <w:rFonts w:ascii="Times New Roman" w:eastAsia="Times New Roman" w:hAnsi="Times New Roman" w:cs="Times New Roman"/>
        </w:rPr>
      </w:pPr>
    </w:p>
    <w:p w14:paraId="2ADAE861" w14:textId="77777777" w:rsidR="000E61B0" w:rsidRPr="00E761C9" w:rsidRDefault="00221D2E" w:rsidP="0070316E">
      <w:pPr>
        <w:rPr>
          <w:rFonts w:ascii="Times New Roman" w:eastAsia="Times New Roman" w:hAnsi="Times New Roman" w:cs="Times New Roman"/>
        </w:rPr>
      </w:pPr>
      <w:r w:rsidRPr="00E761C9">
        <w:rPr>
          <w:rFonts w:ascii="Times New Roman" w:eastAsia="Times New Roman" w:hAnsi="Times New Roman" w:cs="Times New Roman"/>
        </w:rPr>
        <w:lastRenderedPageBreak/>
        <w:t>TES (Times Education Supplement). 2010</w:t>
      </w:r>
      <w:r w:rsidR="000E61B0" w:rsidRPr="00E761C9">
        <w:rPr>
          <w:rFonts w:ascii="Times New Roman" w:eastAsia="Times New Roman" w:hAnsi="Times New Roman" w:cs="Times New Roman"/>
        </w:rPr>
        <w:t xml:space="preserve">. “Masters in Pieces as Gove Pulls Funding.” 15 December 2010. </w:t>
      </w:r>
      <w:hyperlink r:id="rId19" w:history="1">
        <w:r w:rsidR="000E61B0" w:rsidRPr="00E761C9">
          <w:rPr>
            <w:rStyle w:val="Hyperlink"/>
            <w:rFonts w:ascii="Times New Roman" w:eastAsia="Times New Roman" w:hAnsi="Times New Roman" w:cs="Times New Roman"/>
          </w:rPr>
          <w:t>http://newteachers.tes.co.uk/news/masters-pieces-gove-pulls-funding/45632</w:t>
        </w:r>
      </w:hyperlink>
    </w:p>
    <w:p w14:paraId="2B119247" w14:textId="77777777" w:rsidR="000E61B0" w:rsidRPr="00E761C9" w:rsidRDefault="000E61B0" w:rsidP="0070316E">
      <w:pPr>
        <w:rPr>
          <w:rFonts w:ascii="Times New Roman" w:eastAsia="Times New Roman" w:hAnsi="Times New Roman" w:cs="Times New Roman"/>
        </w:rPr>
      </w:pPr>
    </w:p>
    <w:p w14:paraId="5C257ABE" w14:textId="77777777" w:rsidR="007120E6" w:rsidRPr="00E761C9" w:rsidRDefault="00221D2E" w:rsidP="0070316E">
      <w:pPr>
        <w:rPr>
          <w:rFonts w:ascii="Times New Roman" w:eastAsia="Times New Roman" w:hAnsi="Times New Roman" w:cs="Times New Roman"/>
        </w:rPr>
      </w:pPr>
      <w:r w:rsidRPr="00E761C9">
        <w:rPr>
          <w:rFonts w:ascii="Times New Roman" w:eastAsia="Times New Roman" w:hAnsi="Times New Roman" w:cs="Times New Roman"/>
        </w:rPr>
        <w:t>Tirri, K. 2014</w:t>
      </w:r>
      <w:r w:rsidR="007120E6" w:rsidRPr="00E761C9">
        <w:rPr>
          <w:rFonts w:ascii="Times New Roman" w:eastAsia="Times New Roman" w:hAnsi="Times New Roman" w:cs="Times New Roman"/>
        </w:rPr>
        <w:t xml:space="preserve">. “The Last 40 Years in Finnish Teacher Education.” </w:t>
      </w:r>
      <w:r w:rsidR="007120E6" w:rsidRPr="00E761C9">
        <w:rPr>
          <w:rFonts w:ascii="Times New Roman" w:eastAsia="Times New Roman" w:hAnsi="Times New Roman" w:cs="Times New Roman"/>
          <w:i/>
        </w:rPr>
        <w:t xml:space="preserve">Journal of Education for Teaching, </w:t>
      </w:r>
      <w:r w:rsidRPr="00E761C9">
        <w:rPr>
          <w:rFonts w:ascii="Times New Roman" w:eastAsia="Times New Roman" w:hAnsi="Times New Roman" w:cs="Times New Roman"/>
        </w:rPr>
        <w:t xml:space="preserve">40(5): </w:t>
      </w:r>
      <w:r w:rsidR="007120E6" w:rsidRPr="00E761C9">
        <w:rPr>
          <w:rFonts w:ascii="Times New Roman" w:eastAsia="Times New Roman" w:hAnsi="Times New Roman" w:cs="Times New Roman"/>
        </w:rPr>
        <w:t xml:space="preserve">600-609. </w:t>
      </w:r>
    </w:p>
    <w:p w14:paraId="24E2B9C5" w14:textId="77777777" w:rsidR="0070316E" w:rsidRPr="00330125" w:rsidRDefault="0070316E" w:rsidP="00603CC2">
      <w:pPr>
        <w:rPr>
          <w:rFonts w:ascii="Times New Roman" w:eastAsia="Times New Roman" w:hAnsi="Times New Roman" w:cs="Times New Roman"/>
        </w:rPr>
      </w:pPr>
    </w:p>
    <w:p w14:paraId="28FD7FE0" w14:textId="77777777" w:rsidR="00603CC2" w:rsidRPr="00330125" w:rsidRDefault="00D36DDE" w:rsidP="00603CC2">
      <w:pPr>
        <w:rPr>
          <w:rFonts w:ascii="Times New Roman" w:eastAsia="Times New Roman" w:hAnsi="Times New Roman" w:cs="Times New Roman"/>
        </w:rPr>
      </w:pPr>
      <w:r w:rsidRPr="00330125">
        <w:rPr>
          <w:rFonts w:ascii="Times New Roman" w:eastAsia="Times New Roman" w:hAnsi="Times New Roman" w:cs="Times New Roman"/>
        </w:rPr>
        <w:t xml:space="preserve">Training and Development Agency for Schools (TDA). 2010. </w:t>
      </w:r>
      <w:r w:rsidRPr="00330125">
        <w:rPr>
          <w:rFonts w:ascii="Times New Roman" w:eastAsia="Times New Roman" w:hAnsi="Times New Roman" w:cs="Times New Roman"/>
          <w:i/>
        </w:rPr>
        <w:t xml:space="preserve">The Master’s in Teaching and Learning Participant Handbook. </w:t>
      </w:r>
      <w:r w:rsidRPr="00330125">
        <w:rPr>
          <w:rFonts w:ascii="Times New Roman" w:eastAsia="Times New Roman" w:hAnsi="Times New Roman" w:cs="Times New Roman"/>
        </w:rPr>
        <w:t>London: TSO</w:t>
      </w:r>
    </w:p>
    <w:p w14:paraId="201F8EE4" w14:textId="77777777" w:rsidR="00A62B29" w:rsidRPr="00330125" w:rsidRDefault="00A62B29" w:rsidP="00603CC2">
      <w:pPr>
        <w:rPr>
          <w:rFonts w:ascii="Times New Roman" w:eastAsia="Times New Roman" w:hAnsi="Times New Roman" w:cs="Times New Roman"/>
        </w:rPr>
      </w:pPr>
    </w:p>
    <w:p w14:paraId="75B9847C" w14:textId="77777777" w:rsidR="005C28BA" w:rsidRPr="00E761C9" w:rsidRDefault="00D36DDE" w:rsidP="00603CC2">
      <w:pPr>
        <w:rPr>
          <w:rFonts w:ascii="Times New Roman" w:hAnsi="Times New Roman" w:cs="Times New Roman"/>
        </w:rPr>
      </w:pPr>
      <w:r w:rsidRPr="00330125">
        <w:rPr>
          <w:rFonts w:ascii="Times New Roman" w:eastAsia="Times New Roman" w:hAnsi="Times New Roman" w:cs="Times New Roman"/>
        </w:rPr>
        <w:t>Uusiautti, S. and M</w:t>
      </w:r>
      <w:r w:rsidR="009D44D9" w:rsidRPr="000B54F7">
        <w:rPr>
          <w:rFonts w:ascii="Times New Roman" w:hAnsi="Times New Roman" w:cs="Times New Roman"/>
        </w:rPr>
        <w:t>äätä, K. 2013</w:t>
      </w:r>
      <w:r w:rsidR="005C28BA" w:rsidRPr="00E761C9">
        <w:rPr>
          <w:rFonts w:ascii="Times New Roman" w:hAnsi="Times New Roman" w:cs="Times New Roman"/>
        </w:rPr>
        <w:t xml:space="preserve">. </w:t>
      </w:r>
      <w:r w:rsidR="007120E6" w:rsidRPr="00E761C9">
        <w:rPr>
          <w:rFonts w:ascii="Times New Roman" w:hAnsi="Times New Roman" w:cs="Times New Roman"/>
        </w:rPr>
        <w:t>“</w:t>
      </w:r>
      <w:r w:rsidR="005C28BA" w:rsidRPr="00E761C9">
        <w:rPr>
          <w:rFonts w:ascii="Times New Roman" w:hAnsi="Times New Roman" w:cs="Times New Roman"/>
        </w:rPr>
        <w:t xml:space="preserve">Significant Trends </w:t>
      </w:r>
      <w:r w:rsidR="007120E6" w:rsidRPr="00E761C9">
        <w:rPr>
          <w:rFonts w:ascii="Times New Roman" w:hAnsi="Times New Roman" w:cs="Times New Roman"/>
        </w:rPr>
        <w:t xml:space="preserve">in the Development of Finnish Teacher Education Programs (1860-2010).” </w:t>
      </w:r>
      <w:r w:rsidR="007120E6" w:rsidRPr="00E761C9">
        <w:rPr>
          <w:rFonts w:ascii="Times New Roman" w:hAnsi="Times New Roman" w:cs="Times New Roman"/>
          <w:i/>
        </w:rPr>
        <w:t xml:space="preserve">Education Policy Analysis Archives, </w:t>
      </w:r>
      <w:r w:rsidR="009D44D9" w:rsidRPr="00E761C9">
        <w:rPr>
          <w:rFonts w:ascii="Times New Roman" w:hAnsi="Times New Roman" w:cs="Times New Roman"/>
        </w:rPr>
        <w:t xml:space="preserve">21(59): </w:t>
      </w:r>
      <w:r w:rsidR="007120E6" w:rsidRPr="00E761C9">
        <w:rPr>
          <w:rFonts w:ascii="Times New Roman" w:hAnsi="Times New Roman" w:cs="Times New Roman"/>
        </w:rPr>
        <w:t xml:space="preserve">1-22. </w:t>
      </w:r>
    </w:p>
    <w:p w14:paraId="691C8A12" w14:textId="77777777" w:rsidR="004E5CE4" w:rsidRPr="00E761C9" w:rsidRDefault="004E5CE4" w:rsidP="00603CC2">
      <w:pPr>
        <w:rPr>
          <w:rFonts w:ascii="Times New Roman" w:hAnsi="Times New Roman" w:cs="Times New Roman"/>
        </w:rPr>
      </w:pPr>
    </w:p>
    <w:p w14:paraId="06E9CCA7" w14:textId="77777777" w:rsidR="004E5CE4" w:rsidRPr="00E761C9" w:rsidRDefault="004E5CE4" w:rsidP="00603CC2">
      <w:pPr>
        <w:rPr>
          <w:rFonts w:ascii="Times New Roman" w:hAnsi="Times New Roman" w:cs="Times New Roman"/>
        </w:rPr>
      </w:pPr>
      <w:r w:rsidRPr="00E761C9">
        <w:rPr>
          <w:rFonts w:ascii="Times New Roman" w:hAnsi="Times New Roman" w:cs="Times New Roman"/>
        </w:rPr>
        <w:t>V</w:t>
      </w:r>
      <w:r w:rsidR="007B21FD" w:rsidRPr="00E761C9">
        <w:rPr>
          <w:rFonts w:ascii="Times New Roman" w:hAnsi="Times New Roman" w:cs="Times New Roman"/>
        </w:rPr>
        <w:t>alentine, A. 1938</w:t>
      </w:r>
      <w:r w:rsidRPr="00E761C9">
        <w:rPr>
          <w:rFonts w:ascii="Times New Roman" w:hAnsi="Times New Roman" w:cs="Times New Roman"/>
        </w:rPr>
        <w:t xml:space="preserve">. “Teacher Training vs. Teacher Education: An Indictment Against Present Teacher Education.” </w:t>
      </w:r>
      <w:r w:rsidRPr="00E761C9">
        <w:rPr>
          <w:rFonts w:ascii="Times New Roman" w:hAnsi="Times New Roman" w:cs="Times New Roman"/>
          <w:i/>
        </w:rPr>
        <w:t>Vital Speeches of the Day</w:t>
      </w:r>
      <w:r w:rsidRPr="00E761C9">
        <w:rPr>
          <w:rFonts w:ascii="Times New Roman" w:hAnsi="Times New Roman" w:cs="Times New Roman"/>
        </w:rPr>
        <w:t xml:space="preserve">, </w:t>
      </w:r>
      <w:r w:rsidR="00E9030A" w:rsidRPr="00E761C9">
        <w:rPr>
          <w:rFonts w:ascii="Times New Roman" w:hAnsi="Times New Roman" w:cs="Times New Roman"/>
        </w:rPr>
        <w:t>4(21):</w:t>
      </w:r>
      <w:r w:rsidRPr="00E761C9">
        <w:rPr>
          <w:rFonts w:ascii="Times New Roman" w:hAnsi="Times New Roman" w:cs="Times New Roman"/>
        </w:rPr>
        <w:t xml:space="preserve"> 652-</w:t>
      </w:r>
      <w:r w:rsidR="00C9799F" w:rsidRPr="00E761C9">
        <w:rPr>
          <w:rFonts w:ascii="Times New Roman" w:hAnsi="Times New Roman" w:cs="Times New Roman"/>
        </w:rPr>
        <w:t xml:space="preserve">656. </w:t>
      </w:r>
    </w:p>
    <w:p w14:paraId="525CDCA9" w14:textId="77777777" w:rsidR="005C28BA" w:rsidRPr="00330125" w:rsidRDefault="005C28BA" w:rsidP="00603CC2">
      <w:pPr>
        <w:rPr>
          <w:rFonts w:ascii="Times New Roman" w:eastAsia="Times New Roman" w:hAnsi="Times New Roman" w:cs="Times New Roman"/>
        </w:rPr>
      </w:pPr>
    </w:p>
    <w:p w14:paraId="4584F0A4" w14:textId="2B724C57" w:rsidR="00A523A2" w:rsidRPr="00DC741D" w:rsidRDefault="00A523A2" w:rsidP="004D5927">
      <w:pPr>
        <w:rPr>
          <w:rFonts w:ascii="Times New Roman" w:hAnsi="Times New Roman" w:cs="Times New Roman"/>
          <w:color w:val="0000FF"/>
        </w:rPr>
      </w:pPr>
      <w:r w:rsidRPr="00547D79">
        <w:rPr>
          <w:rFonts w:ascii="Times New Roman" w:hAnsi="Times New Roman" w:cs="Times New Roman"/>
          <w:color w:val="0000FF"/>
        </w:rPr>
        <w:t>Väl</w:t>
      </w:r>
      <w:r w:rsidR="00DC741D">
        <w:rPr>
          <w:rFonts w:ascii="Times New Roman" w:hAnsi="Times New Roman" w:cs="Times New Roman"/>
          <w:color w:val="0000FF"/>
        </w:rPr>
        <w:t>ijärvi, J. and Heikkinen, H.L.</w:t>
      </w:r>
      <w:r w:rsidRPr="00547D79">
        <w:rPr>
          <w:rFonts w:ascii="Times New Roman" w:hAnsi="Times New Roman" w:cs="Times New Roman"/>
          <w:color w:val="0000FF"/>
        </w:rPr>
        <w:t xml:space="preserve">T. 2012. “Peer-Group Mentoring and the Culture of Teacher </w:t>
      </w:r>
      <w:r w:rsidR="00DC741D">
        <w:rPr>
          <w:rFonts w:ascii="Times New Roman" w:hAnsi="Times New Roman" w:cs="Times New Roman"/>
          <w:color w:val="0000FF"/>
        </w:rPr>
        <w:t>Education in Finland.” In H.L.</w:t>
      </w:r>
      <w:r w:rsidRPr="00547D79">
        <w:rPr>
          <w:rFonts w:ascii="Times New Roman" w:hAnsi="Times New Roman" w:cs="Times New Roman"/>
          <w:color w:val="0000FF"/>
        </w:rPr>
        <w:t xml:space="preserve">T. Heikkinen, H. Jokinen, and P. Tynjälä (Eds.) Peer-Group Mentoring for Teacher Development, Abingdon, Oxon: Routledge.  </w:t>
      </w:r>
    </w:p>
    <w:p w14:paraId="1810A8CF" w14:textId="77777777" w:rsidR="00A523A2" w:rsidRDefault="00A523A2" w:rsidP="004D5927">
      <w:pPr>
        <w:rPr>
          <w:rFonts w:ascii="Times New Roman" w:hAnsi="Times New Roman"/>
          <w:color w:val="000000" w:themeColor="text1"/>
        </w:rPr>
      </w:pPr>
    </w:p>
    <w:p w14:paraId="4F8A2FDC" w14:textId="77777777" w:rsidR="004D5927" w:rsidRPr="00E761C9" w:rsidRDefault="004C15C2" w:rsidP="004D5927">
      <w:pPr>
        <w:rPr>
          <w:rFonts w:ascii="Times New Roman" w:hAnsi="Times New Roman"/>
          <w:color w:val="000000" w:themeColor="text1"/>
        </w:rPr>
      </w:pPr>
      <w:r w:rsidRPr="000B54F7">
        <w:rPr>
          <w:rFonts w:ascii="Times New Roman" w:hAnsi="Times New Roman"/>
          <w:color w:val="000000" w:themeColor="text1"/>
        </w:rPr>
        <w:t>Wagner, J.T. 2006</w:t>
      </w:r>
      <w:r w:rsidR="004D5927" w:rsidRPr="00E761C9">
        <w:rPr>
          <w:rFonts w:ascii="Times New Roman" w:hAnsi="Times New Roman"/>
          <w:color w:val="000000" w:themeColor="text1"/>
        </w:rPr>
        <w:t>. “An Outsider’s Perspective: Childhoods and Early Education in the Nordic Countries”. In J. Ein</w:t>
      </w:r>
      <w:r w:rsidRPr="00E761C9">
        <w:rPr>
          <w:rFonts w:ascii="Times New Roman" w:hAnsi="Times New Roman"/>
          <w:color w:val="000000" w:themeColor="text1"/>
        </w:rPr>
        <w:t>arsdottir and J.T. Wagner (Eds.). 2006</w:t>
      </w:r>
      <w:r w:rsidR="004D5927" w:rsidRPr="00E761C9">
        <w:rPr>
          <w:rFonts w:ascii="Times New Roman" w:hAnsi="Times New Roman"/>
          <w:color w:val="000000" w:themeColor="text1"/>
        </w:rPr>
        <w:t xml:space="preserve">. </w:t>
      </w:r>
      <w:r w:rsidR="004D5927" w:rsidRPr="00E761C9">
        <w:rPr>
          <w:rFonts w:ascii="Times New Roman" w:hAnsi="Times New Roman"/>
          <w:i/>
          <w:color w:val="000000" w:themeColor="text1"/>
        </w:rPr>
        <w:t xml:space="preserve">Nordic Childhoods and Early Education: Philosophy, Research, Policy, and Practice in Denmark, Finland, Iceland, Norway, and Sweden. </w:t>
      </w:r>
      <w:r w:rsidR="004D5927" w:rsidRPr="00E761C9">
        <w:rPr>
          <w:rFonts w:ascii="Times New Roman" w:hAnsi="Times New Roman"/>
          <w:color w:val="000000" w:themeColor="text1"/>
        </w:rPr>
        <w:t xml:space="preserve">Greenwich, Connecticut: Information Age Publishing. </w:t>
      </w:r>
    </w:p>
    <w:p w14:paraId="035AFD6B" w14:textId="77777777" w:rsidR="004D5927" w:rsidRPr="00330125" w:rsidRDefault="004D5927" w:rsidP="00603CC2">
      <w:pPr>
        <w:rPr>
          <w:rFonts w:ascii="Times New Roman" w:eastAsia="Times New Roman" w:hAnsi="Times New Roman" w:cs="Times New Roman"/>
        </w:rPr>
      </w:pPr>
    </w:p>
    <w:p w14:paraId="54B893F6" w14:textId="77777777" w:rsidR="00A62B29" w:rsidRPr="00E761C9" w:rsidRDefault="00134137" w:rsidP="00A62B29">
      <w:pPr>
        <w:rPr>
          <w:rFonts w:ascii="Times New Roman" w:hAnsi="Times New Roman" w:cs="Times New Roman"/>
        </w:rPr>
      </w:pPr>
      <w:r w:rsidRPr="000B54F7">
        <w:rPr>
          <w:rFonts w:ascii="Times New Roman" w:hAnsi="Times New Roman" w:cs="Times New Roman"/>
        </w:rPr>
        <w:t>Webb, R., and G. Vulliamy. 1999</w:t>
      </w:r>
      <w:r w:rsidR="00A62B29" w:rsidRPr="00E761C9">
        <w:rPr>
          <w:rFonts w:ascii="Times New Roman" w:hAnsi="Times New Roman" w:cs="Times New Roman"/>
        </w:rPr>
        <w:t xml:space="preserve">.  </w:t>
      </w:r>
      <w:r w:rsidRPr="00E761C9">
        <w:rPr>
          <w:rFonts w:ascii="Times New Roman" w:hAnsi="Times New Roman" w:cs="Times New Roman"/>
        </w:rPr>
        <w:t>“</w:t>
      </w:r>
      <w:r w:rsidR="00A62B29" w:rsidRPr="00E761C9">
        <w:rPr>
          <w:rFonts w:ascii="Times New Roman" w:hAnsi="Times New Roman" w:cs="Times New Roman"/>
        </w:rPr>
        <w:t>Changing Times, Changing Demands: A Comparative Analysis of Classroom Practice in Primary Schools in England and Finland.</w:t>
      </w:r>
      <w:r w:rsidRPr="00E761C9">
        <w:rPr>
          <w:rFonts w:ascii="Times New Roman" w:hAnsi="Times New Roman" w:cs="Times New Roman"/>
        </w:rPr>
        <w:t>”</w:t>
      </w:r>
      <w:r w:rsidR="00A62B29" w:rsidRPr="00E761C9">
        <w:rPr>
          <w:rFonts w:ascii="Times New Roman" w:hAnsi="Times New Roman" w:cs="Times New Roman"/>
        </w:rPr>
        <w:t xml:space="preserve">  </w:t>
      </w:r>
      <w:r w:rsidR="00A62B29" w:rsidRPr="00E761C9">
        <w:rPr>
          <w:rFonts w:ascii="Times New Roman" w:hAnsi="Times New Roman" w:cs="Times New Roman"/>
          <w:i/>
        </w:rPr>
        <w:t xml:space="preserve">Research Papers in Education, </w:t>
      </w:r>
      <w:r w:rsidRPr="00E761C9">
        <w:rPr>
          <w:rFonts w:ascii="Times New Roman" w:hAnsi="Times New Roman" w:cs="Times New Roman"/>
        </w:rPr>
        <w:t xml:space="preserve">14(3): </w:t>
      </w:r>
      <w:r w:rsidR="00A62B29" w:rsidRPr="00E761C9">
        <w:rPr>
          <w:rFonts w:ascii="Times New Roman" w:hAnsi="Times New Roman" w:cs="Times New Roman"/>
        </w:rPr>
        <w:t xml:space="preserve">229-255. </w:t>
      </w:r>
    </w:p>
    <w:p w14:paraId="48113702" w14:textId="77777777" w:rsidR="00A62B29" w:rsidRPr="00E761C9" w:rsidRDefault="00A62B29" w:rsidP="00A62B29">
      <w:pPr>
        <w:rPr>
          <w:rFonts w:ascii="Times New Roman" w:hAnsi="Times New Roman" w:cs="Times New Roman"/>
        </w:rPr>
      </w:pPr>
    </w:p>
    <w:p w14:paraId="57781E1E" w14:textId="77777777" w:rsidR="00A62B29" w:rsidRPr="00E761C9" w:rsidRDefault="00A62B29" w:rsidP="00A62B29">
      <w:pPr>
        <w:rPr>
          <w:rFonts w:ascii="Times New Roman" w:hAnsi="Times New Roman" w:cs="Times New Roman"/>
        </w:rPr>
      </w:pPr>
      <w:r w:rsidRPr="00E761C9">
        <w:rPr>
          <w:rFonts w:ascii="Times New Roman" w:hAnsi="Times New Roman" w:cs="Times New Roman"/>
        </w:rPr>
        <w:t xml:space="preserve">Webb, R., </w:t>
      </w:r>
      <w:r w:rsidR="002C75AD" w:rsidRPr="00E761C9">
        <w:rPr>
          <w:rFonts w:ascii="Times New Roman" w:hAnsi="Times New Roman" w:cs="Times New Roman"/>
        </w:rPr>
        <w:t>G. Vulliamy</w:t>
      </w:r>
      <w:r w:rsidRPr="00E761C9">
        <w:rPr>
          <w:rFonts w:ascii="Times New Roman" w:hAnsi="Times New Roman" w:cs="Times New Roman"/>
        </w:rPr>
        <w:t xml:space="preserve">, </w:t>
      </w:r>
      <w:r w:rsidR="002C75AD" w:rsidRPr="00E761C9">
        <w:rPr>
          <w:rFonts w:ascii="Times New Roman" w:hAnsi="Times New Roman" w:cs="Times New Roman"/>
        </w:rPr>
        <w:t>K. Häkkinen and S. Hämäläinen. 1998</w:t>
      </w:r>
      <w:r w:rsidRPr="00E761C9">
        <w:rPr>
          <w:rFonts w:ascii="Times New Roman" w:hAnsi="Times New Roman" w:cs="Times New Roman"/>
        </w:rPr>
        <w:t xml:space="preserve">.  </w:t>
      </w:r>
      <w:r w:rsidR="002C75AD" w:rsidRPr="00E761C9">
        <w:rPr>
          <w:rFonts w:ascii="Times New Roman" w:hAnsi="Times New Roman" w:cs="Times New Roman"/>
        </w:rPr>
        <w:t>“</w:t>
      </w:r>
      <w:r w:rsidRPr="00E761C9">
        <w:rPr>
          <w:rFonts w:ascii="Times New Roman" w:hAnsi="Times New Roman" w:cs="Times New Roman"/>
        </w:rPr>
        <w:t>External Inspection of School Self-Evaluation?  A Comparative Analysis of Policy and Practice in Primary Schools in England and Finland.</w:t>
      </w:r>
      <w:r w:rsidR="002C75AD" w:rsidRPr="00E761C9">
        <w:rPr>
          <w:rFonts w:ascii="Times New Roman" w:hAnsi="Times New Roman" w:cs="Times New Roman"/>
        </w:rPr>
        <w:t>”</w:t>
      </w:r>
      <w:r w:rsidRPr="00E761C9">
        <w:rPr>
          <w:rFonts w:ascii="Times New Roman" w:hAnsi="Times New Roman" w:cs="Times New Roman"/>
        </w:rPr>
        <w:t xml:space="preserve">  </w:t>
      </w:r>
      <w:r w:rsidRPr="00E761C9">
        <w:rPr>
          <w:rFonts w:ascii="Times New Roman" w:hAnsi="Times New Roman" w:cs="Times New Roman"/>
          <w:i/>
        </w:rPr>
        <w:t xml:space="preserve">British Educational Research Journal </w:t>
      </w:r>
      <w:r w:rsidR="002C75AD" w:rsidRPr="00E761C9">
        <w:rPr>
          <w:rFonts w:ascii="Times New Roman" w:hAnsi="Times New Roman" w:cs="Times New Roman"/>
        </w:rPr>
        <w:t xml:space="preserve">24(5): </w:t>
      </w:r>
      <w:r w:rsidRPr="00E761C9">
        <w:rPr>
          <w:rFonts w:ascii="Times New Roman" w:hAnsi="Times New Roman" w:cs="Times New Roman"/>
        </w:rPr>
        <w:t xml:space="preserve">539-556. </w:t>
      </w:r>
    </w:p>
    <w:p w14:paraId="36284F4C" w14:textId="77777777" w:rsidR="00A62B29" w:rsidRPr="00E761C9" w:rsidRDefault="00A62B29" w:rsidP="00A62B29">
      <w:pPr>
        <w:rPr>
          <w:rFonts w:ascii="Times New Roman" w:hAnsi="Times New Roman" w:cs="Times New Roman"/>
        </w:rPr>
      </w:pPr>
    </w:p>
    <w:p w14:paraId="4376EDC0" w14:textId="77777777" w:rsidR="00A62B29" w:rsidRPr="00E761C9" w:rsidRDefault="00A62B29" w:rsidP="00A62B29">
      <w:pPr>
        <w:rPr>
          <w:rFonts w:ascii="Times New Roman" w:hAnsi="Times New Roman" w:cs="Times New Roman"/>
        </w:rPr>
      </w:pPr>
      <w:r w:rsidRPr="00E761C9">
        <w:rPr>
          <w:rFonts w:ascii="Times New Roman" w:hAnsi="Times New Roman" w:cs="Times New Roman"/>
        </w:rPr>
        <w:t xml:space="preserve">Webb, R., </w:t>
      </w:r>
      <w:r w:rsidR="00DF20BF" w:rsidRPr="00E761C9">
        <w:rPr>
          <w:rFonts w:ascii="Times New Roman" w:hAnsi="Times New Roman" w:cs="Times New Roman"/>
        </w:rPr>
        <w:t>G. Vulliamy</w:t>
      </w:r>
      <w:r w:rsidRPr="00E761C9">
        <w:rPr>
          <w:rFonts w:ascii="Times New Roman" w:hAnsi="Times New Roman" w:cs="Times New Roman"/>
        </w:rPr>
        <w:t xml:space="preserve">, </w:t>
      </w:r>
      <w:r w:rsidR="00DF20BF" w:rsidRPr="00E761C9">
        <w:rPr>
          <w:rFonts w:ascii="Times New Roman" w:hAnsi="Times New Roman" w:cs="Times New Roman"/>
        </w:rPr>
        <w:t>S. Hämäläinen</w:t>
      </w:r>
      <w:r w:rsidRPr="00E761C9">
        <w:rPr>
          <w:rFonts w:ascii="Times New Roman" w:hAnsi="Times New Roman" w:cs="Times New Roman"/>
        </w:rPr>
        <w:t xml:space="preserve">, </w:t>
      </w:r>
      <w:r w:rsidR="00DF20BF" w:rsidRPr="00E761C9">
        <w:rPr>
          <w:rFonts w:ascii="Times New Roman" w:hAnsi="Times New Roman" w:cs="Times New Roman"/>
        </w:rPr>
        <w:t>A. Sarja</w:t>
      </w:r>
      <w:r w:rsidRPr="00E761C9">
        <w:rPr>
          <w:rFonts w:ascii="Times New Roman" w:hAnsi="Times New Roman" w:cs="Times New Roman"/>
        </w:rPr>
        <w:t xml:space="preserve">, </w:t>
      </w:r>
      <w:r w:rsidR="00DF20BF" w:rsidRPr="00E761C9">
        <w:rPr>
          <w:rFonts w:ascii="Times New Roman" w:hAnsi="Times New Roman" w:cs="Times New Roman"/>
        </w:rPr>
        <w:t>E. Kimonen and Nevalainen. 2004</w:t>
      </w:r>
      <w:r w:rsidRPr="00E761C9">
        <w:rPr>
          <w:rFonts w:ascii="Times New Roman" w:hAnsi="Times New Roman" w:cs="Times New Roman"/>
        </w:rPr>
        <w:t xml:space="preserve">.  </w:t>
      </w:r>
      <w:r w:rsidR="00DF20BF" w:rsidRPr="00E761C9">
        <w:rPr>
          <w:rFonts w:ascii="Times New Roman" w:hAnsi="Times New Roman" w:cs="Times New Roman"/>
        </w:rPr>
        <w:t>“</w:t>
      </w:r>
      <w:r w:rsidRPr="00E761C9">
        <w:rPr>
          <w:rFonts w:ascii="Times New Roman" w:hAnsi="Times New Roman" w:cs="Times New Roman"/>
        </w:rPr>
        <w:t>A Comparative Analysis of Primary Teacher Professionalism in England and Finland.</w:t>
      </w:r>
      <w:r w:rsidR="00DF20BF" w:rsidRPr="00E761C9">
        <w:rPr>
          <w:rFonts w:ascii="Times New Roman" w:hAnsi="Times New Roman" w:cs="Times New Roman"/>
        </w:rPr>
        <w:t>”</w:t>
      </w:r>
      <w:r w:rsidRPr="00E761C9">
        <w:rPr>
          <w:rFonts w:ascii="Times New Roman" w:hAnsi="Times New Roman" w:cs="Times New Roman"/>
        </w:rPr>
        <w:t xml:space="preserve">  </w:t>
      </w:r>
      <w:r w:rsidRPr="00E761C9">
        <w:rPr>
          <w:rFonts w:ascii="Times New Roman" w:hAnsi="Times New Roman" w:cs="Times New Roman"/>
          <w:i/>
        </w:rPr>
        <w:t xml:space="preserve">Comparative Education, </w:t>
      </w:r>
      <w:r w:rsidR="00DF20BF" w:rsidRPr="00E761C9">
        <w:rPr>
          <w:rFonts w:ascii="Times New Roman" w:hAnsi="Times New Roman" w:cs="Times New Roman"/>
        </w:rPr>
        <w:t xml:space="preserve">40(1): </w:t>
      </w:r>
      <w:r w:rsidRPr="00E761C9">
        <w:rPr>
          <w:rFonts w:ascii="Times New Roman" w:hAnsi="Times New Roman" w:cs="Times New Roman"/>
        </w:rPr>
        <w:t xml:space="preserve">83-107.  </w:t>
      </w:r>
    </w:p>
    <w:p w14:paraId="448BC21B" w14:textId="77777777" w:rsidR="00A62B29" w:rsidRPr="00E761C9" w:rsidRDefault="00A62B29" w:rsidP="00A62B29">
      <w:pPr>
        <w:rPr>
          <w:rFonts w:ascii="Times New Roman" w:hAnsi="Times New Roman" w:cs="Times New Roman"/>
          <w:b/>
          <w:u w:val="single"/>
        </w:rPr>
      </w:pPr>
    </w:p>
    <w:p w14:paraId="40A25A1A" w14:textId="77777777" w:rsidR="00A62B29" w:rsidRPr="00330125" w:rsidRDefault="00D36DDE" w:rsidP="00A62B29">
      <w:pPr>
        <w:rPr>
          <w:rFonts w:ascii="Times New Roman" w:eastAsia="Times New Roman" w:hAnsi="Times New Roman" w:cs="Times New Roman"/>
        </w:rPr>
      </w:pPr>
      <w:r w:rsidRPr="00330125">
        <w:rPr>
          <w:rFonts w:ascii="Times New Roman" w:eastAsia="Times New Roman" w:hAnsi="Times New Roman" w:cs="Times New Roman"/>
        </w:rPr>
        <w:t xml:space="preserve">Webb, R., G. Vulliamy, A. Sarja, S. Hämäläinen, and P. Poikonen. 2009.  ”Professional Learning Communities and Teacher Well-Being?  A Comparative Analysis of Primary Schools in England and Finland.”  </w:t>
      </w:r>
      <w:r w:rsidRPr="00330125">
        <w:rPr>
          <w:rFonts w:ascii="Times New Roman" w:eastAsia="Times New Roman" w:hAnsi="Times New Roman" w:cs="Times New Roman"/>
          <w:i/>
        </w:rPr>
        <w:t xml:space="preserve">Oxford Review of Education, </w:t>
      </w:r>
      <w:r w:rsidRPr="00330125">
        <w:rPr>
          <w:rFonts w:ascii="Times New Roman" w:eastAsia="Times New Roman" w:hAnsi="Times New Roman" w:cs="Times New Roman"/>
        </w:rPr>
        <w:t xml:space="preserve">35(3): 405-422.  </w:t>
      </w:r>
    </w:p>
    <w:p w14:paraId="2F677E8C" w14:textId="77777777" w:rsidR="00603CC2" w:rsidRPr="000B54F7" w:rsidRDefault="00603CC2" w:rsidP="00C84FA1">
      <w:pPr>
        <w:rPr>
          <w:rFonts w:ascii="Times New Roman" w:hAnsi="Times New Roman" w:cs="Times New Roman"/>
        </w:rPr>
      </w:pPr>
    </w:p>
    <w:p w14:paraId="306E984D" w14:textId="77777777" w:rsidR="00EA494C" w:rsidRPr="00E761C9" w:rsidRDefault="00EA494C" w:rsidP="00EA494C">
      <w:pPr>
        <w:rPr>
          <w:rFonts w:ascii="Times New Roman" w:hAnsi="Times New Roman" w:cs="Times New Roman"/>
        </w:rPr>
      </w:pPr>
      <w:r w:rsidRPr="00E761C9">
        <w:rPr>
          <w:rFonts w:ascii="Times New Roman" w:hAnsi="Times New Roman" w:cs="Times New Roman"/>
        </w:rPr>
        <w:t xml:space="preserve">Yore, L.D., </w:t>
      </w:r>
      <w:r w:rsidR="005478A5" w:rsidRPr="00E761C9">
        <w:rPr>
          <w:rFonts w:ascii="Times New Roman" w:hAnsi="Times New Roman" w:cs="Times New Roman"/>
        </w:rPr>
        <w:t>J.O. Anderson, and M-H.</w:t>
      </w:r>
      <w:r w:rsidRPr="00E761C9">
        <w:rPr>
          <w:rFonts w:ascii="Times New Roman" w:hAnsi="Times New Roman" w:cs="Times New Roman"/>
        </w:rPr>
        <w:t xml:space="preserve"> Chiu M-H.</w:t>
      </w:r>
      <w:r w:rsidR="005478A5" w:rsidRPr="00E761C9">
        <w:rPr>
          <w:rFonts w:ascii="Times New Roman" w:hAnsi="Times New Roman" w:cs="Times New Roman"/>
        </w:rPr>
        <w:t xml:space="preserve"> </w:t>
      </w:r>
      <w:r w:rsidRPr="00E761C9">
        <w:rPr>
          <w:rFonts w:ascii="Times New Roman" w:hAnsi="Times New Roman" w:cs="Times New Roman"/>
        </w:rPr>
        <w:t>201</w:t>
      </w:r>
      <w:r w:rsidR="005478A5" w:rsidRPr="00E761C9">
        <w:rPr>
          <w:rFonts w:ascii="Times New Roman" w:hAnsi="Times New Roman" w:cs="Times New Roman"/>
        </w:rPr>
        <w:t>0</w:t>
      </w:r>
      <w:r w:rsidRPr="00E761C9">
        <w:rPr>
          <w:rFonts w:ascii="Times New Roman" w:hAnsi="Times New Roman" w:cs="Times New Roman"/>
        </w:rPr>
        <w:t xml:space="preserve">. </w:t>
      </w:r>
      <w:r w:rsidR="005478A5" w:rsidRPr="00E761C9">
        <w:rPr>
          <w:rFonts w:ascii="Times New Roman" w:hAnsi="Times New Roman" w:cs="Times New Roman"/>
        </w:rPr>
        <w:t>“</w:t>
      </w:r>
      <w:r w:rsidRPr="00E761C9">
        <w:rPr>
          <w:rFonts w:ascii="Times New Roman" w:hAnsi="Times New Roman" w:cs="Times New Roman"/>
        </w:rPr>
        <w:t>Moving PISA Results into the Policy Arena: Perspectives on Knowledge Transfer for Future Considerations and Preparations.</w:t>
      </w:r>
      <w:r w:rsidR="005478A5" w:rsidRPr="00E761C9">
        <w:rPr>
          <w:rFonts w:ascii="Times New Roman" w:hAnsi="Times New Roman" w:cs="Times New Roman"/>
        </w:rPr>
        <w:t xml:space="preserve">”  </w:t>
      </w:r>
      <w:r w:rsidRPr="00E761C9">
        <w:rPr>
          <w:rFonts w:ascii="Times New Roman" w:hAnsi="Times New Roman" w:cs="Times New Roman"/>
          <w:i/>
        </w:rPr>
        <w:t>International Journal of Science and Mathematics Education,</w:t>
      </w:r>
      <w:r w:rsidR="005478A5" w:rsidRPr="00E761C9">
        <w:rPr>
          <w:rFonts w:ascii="Times New Roman" w:hAnsi="Times New Roman" w:cs="Times New Roman"/>
        </w:rPr>
        <w:t xml:space="preserve"> 8: </w:t>
      </w:r>
      <w:r w:rsidRPr="00E761C9">
        <w:rPr>
          <w:rFonts w:ascii="Times New Roman" w:hAnsi="Times New Roman" w:cs="Times New Roman"/>
        </w:rPr>
        <w:t xml:space="preserve">593-609. </w:t>
      </w:r>
    </w:p>
    <w:p w14:paraId="1DD59AD7" w14:textId="77777777" w:rsidR="00EA494C" w:rsidRPr="00E761C9" w:rsidRDefault="00EA494C" w:rsidP="00C84FA1">
      <w:pPr>
        <w:rPr>
          <w:rFonts w:ascii="Times New Roman" w:hAnsi="Times New Roman" w:cs="Times New Roman"/>
        </w:rPr>
      </w:pPr>
    </w:p>
    <w:sectPr w:rsidR="00EA494C" w:rsidRPr="00E761C9" w:rsidSect="00CA542D">
      <w:headerReference w:type="default" r:id="rId20"/>
      <w:footerReference w:type="even" r:id="rId21"/>
      <w:footerReference w:type="default" r:id="rId2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6BA92" w14:textId="77777777" w:rsidR="00F051E6" w:rsidRDefault="00F051E6" w:rsidP="008B4D1E">
      <w:r>
        <w:separator/>
      </w:r>
    </w:p>
  </w:endnote>
  <w:endnote w:type="continuationSeparator" w:id="0">
    <w:p w14:paraId="02EF967D" w14:textId="77777777" w:rsidR="00F051E6" w:rsidRDefault="00F051E6" w:rsidP="008B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kzidenz-Grotesk Std Bold">
    <w:altName w:val="Akzidenz-Grotesk Std Bold"/>
    <w:panose1 w:val="00000000000000000000"/>
    <w:charset w:val="00"/>
    <w:family w:val="swiss"/>
    <w:notTrueType/>
    <w:pitch w:val="default"/>
    <w:sig w:usb0="00000003" w:usb1="00000000" w:usb2="00000000" w:usb3="00000000" w:csb0="00000001" w:csb1="00000000"/>
  </w:font>
  <w:font w:name="Akzidenz-Grotesk Std Med">
    <w:altName w:val="Akzidenz-Grotesk Std M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00B94" w14:textId="77777777" w:rsidR="00547D79" w:rsidRDefault="00547D79" w:rsidP="00D556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991CDC" w14:textId="77777777" w:rsidR="00547D79" w:rsidRDefault="00547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648860"/>
      <w:docPartObj>
        <w:docPartGallery w:val="Page Numbers (Bottom of Page)"/>
        <w:docPartUnique/>
      </w:docPartObj>
    </w:sdtPr>
    <w:sdtEndPr/>
    <w:sdtContent>
      <w:sdt>
        <w:sdtPr>
          <w:id w:val="565050477"/>
          <w:docPartObj>
            <w:docPartGallery w:val="Page Numbers (Top of Page)"/>
            <w:docPartUnique/>
          </w:docPartObj>
        </w:sdtPr>
        <w:sdtEndPr/>
        <w:sdtContent>
          <w:p w14:paraId="1631051A" w14:textId="77777777" w:rsidR="00547D79" w:rsidRDefault="00547D79">
            <w:pPr>
              <w:pStyle w:val="Footer"/>
              <w:jc w:val="center"/>
            </w:pPr>
            <w:r>
              <w:t xml:space="preserve">Page </w:t>
            </w:r>
            <w:r>
              <w:rPr>
                <w:b/>
              </w:rPr>
              <w:fldChar w:fldCharType="begin"/>
            </w:r>
            <w:r>
              <w:rPr>
                <w:b/>
              </w:rPr>
              <w:instrText xml:space="preserve"> PAGE </w:instrText>
            </w:r>
            <w:r>
              <w:rPr>
                <w:b/>
              </w:rPr>
              <w:fldChar w:fldCharType="separate"/>
            </w:r>
            <w:r w:rsidR="00FC1A1A">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FC1A1A">
              <w:rPr>
                <w:b/>
                <w:noProof/>
              </w:rPr>
              <w:t>24</w:t>
            </w:r>
            <w:r>
              <w:rPr>
                <w:b/>
              </w:rPr>
              <w:fldChar w:fldCharType="end"/>
            </w:r>
          </w:p>
        </w:sdtContent>
      </w:sdt>
    </w:sdtContent>
  </w:sdt>
  <w:p w14:paraId="719D80FF" w14:textId="77777777" w:rsidR="00547D79" w:rsidRDefault="00547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DA7EA" w14:textId="77777777" w:rsidR="00F051E6" w:rsidRDefault="00F051E6" w:rsidP="008B4D1E">
      <w:r>
        <w:separator/>
      </w:r>
    </w:p>
  </w:footnote>
  <w:footnote w:type="continuationSeparator" w:id="0">
    <w:p w14:paraId="65EE714B" w14:textId="77777777" w:rsidR="00F051E6" w:rsidRDefault="00F051E6" w:rsidP="008B4D1E">
      <w:r>
        <w:continuationSeparator/>
      </w:r>
    </w:p>
  </w:footnote>
  <w:footnote w:id="1">
    <w:p w14:paraId="613243E4" w14:textId="77777777" w:rsidR="00547D79" w:rsidRDefault="00547D79">
      <w:pPr>
        <w:pStyle w:val="FootnoteText"/>
      </w:pPr>
      <w:r>
        <w:rPr>
          <w:rStyle w:val="FootnoteReference"/>
        </w:rPr>
        <w:footnoteRef/>
      </w:r>
      <w:r>
        <w:t xml:space="preserve"> see, for example, </w:t>
      </w:r>
      <w:r w:rsidRPr="00E761C9">
        <w:rPr>
          <w:rFonts w:ascii="Times New Roman" w:hAnsi="Times New Roman" w:cs="Times New Roman"/>
          <w:i/>
        </w:rPr>
        <w:t>Times Education Supplement</w:t>
      </w:r>
      <w:r w:rsidRPr="00E761C9">
        <w:rPr>
          <w:rFonts w:ascii="Times New Roman" w:hAnsi="Times New Roman" w:cs="Times New Roman"/>
        </w:rPr>
        <w:t xml:space="preserve">. 6 March 2009, </w:t>
      </w:r>
      <w:hyperlink r:id="rId1" w:history="1">
        <w:r w:rsidRPr="00E761C9">
          <w:rPr>
            <w:rStyle w:val="Hyperlink"/>
            <w:rFonts w:ascii="Times New Roman" w:hAnsi="Times New Roman" w:cs="Times New Roman"/>
          </w:rPr>
          <w:t>https://www.tes.com/article.aspx?storycode=6000649</w:t>
        </w:r>
      </w:hyperlink>
    </w:p>
  </w:footnote>
  <w:footnote w:id="2">
    <w:p w14:paraId="60637BE2" w14:textId="77777777" w:rsidR="00547D79" w:rsidRDefault="00547D79">
      <w:pPr>
        <w:pStyle w:val="FootnoteText"/>
      </w:pPr>
      <w:r>
        <w:rPr>
          <w:rStyle w:val="FootnoteReference"/>
        </w:rPr>
        <w:footnoteRef/>
      </w:r>
      <w:r>
        <w:t xml:space="preserve"> </w:t>
      </w:r>
      <w:hyperlink r:id="rId2" w:history="1">
        <w:r w:rsidRPr="00050981">
          <w:rPr>
            <w:rStyle w:val="Hyperlink"/>
          </w:rPr>
          <w:t>http://webarchive.nationalarchives.gov.uk/20110316231736/http://tda.gov.uk/teacher/masters-in-teaching-and-learning/funding-change.aspx</w:t>
        </w:r>
      </w:hyperlink>
      <w:r>
        <w:t xml:space="preserve"> </w:t>
      </w:r>
    </w:p>
  </w:footnote>
  <w:footnote w:id="3">
    <w:p w14:paraId="6394892E" w14:textId="77777777" w:rsidR="00547D79" w:rsidRDefault="00547D79">
      <w:pPr>
        <w:pStyle w:val="FootnoteText"/>
      </w:pPr>
      <w:r>
        <w:rPr>
          <w:rStyle w:val="FootnoteReference"/>
        </w:rPr>
        <w:footnoteRef/>
      </w:r>
      <w:r>
        <w:t xml:space="preserve"> e.g. </w:t>
      </w:r>
      <w:hyperlink r:id="rId3" w:history="1">
        <w:r w:rsidRPr="00050981">
          <w:rPr>
            <w:rStyle w:val="Hyperlink"/>
          </w:rPr>
          <w:t>http://newteachers.tes.co.uk/news/masters-pieces-gove-pulls-funding/45632</w:t>
        </w:r>
      </w:hyperlink>
      <w:r>
        <w:t xml:space="preserve"> ; </w:t>
      </w:r>
      <w:hyperlink r:id="rId4" w:history="1">
        <w:r w:rsidRPr="00050981">
          <w:rPr>
            <w:rStyle w:val="Hyperlink"/>
          </w:rPr>
          <w:t>http://www.subjectassociation.org.uk/newsitem.aspx?id=286</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A97D6" w14:textId="020E6D38" w:rsidR="00547D79" w:rsidRDefault="00551B91">
    <w:pPr>
      <w:pStyle w:val="Header"/>
    </w:pPr>
    <w:fldSimple w:instr=" FILENAME   \* MERGEFORMAT ">
      <w:fldSimple w:instr=" FILENAME   \* MERGEFORMAT ">
        <w:r w:rsidR="00CB3B58">
          <w:rPr>
            <w:noProof/>
          </w:rPr>
          <w:t>Educational Research SI Int 11 Resubmission 14 March 2016</w:t>
        </w:r>
      </w:fldSimple>
      <w:r w:rsidR="00547D79">
        <w:rPr>
          <w:noProof/>
        </w:rPr>
        <w:t xml:space="preserve"> </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singleLevel"/>
    <w:tmpl w:val="00000011"/>
    <w:name w:val="WW8Num17"/>
    <w:lvl w:ilvl="0">
      <w:start w:val="1"/>
      <w:numFmt w:val="decimal"/>
      <w:lvlText w:val="%1)"/>
      <w:lvlJc w:val="left"/>
      <w:pPr>
        <w:tabs>
          <w:tab w:val="num" w:pos="1800"/>
        </w:tabs>
        <w:ind w:left="1800" w:hanging="360"/>
      </w:pPr>
    </w:lvl>
  </w:abstractNum>
  <w:abstractNum w:abstractNumId="1">
    <w:nsid w:val="06BD23BB"/>
    <w:multiLevelType w:val="hybridMultilevel"/>
    <w:tmpl w:val="E7961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00FFB"/>
    <w:multiLevelType w:val="hybridMultilevel"/>
    <w:tmpl w:val="9866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F2F48"/>
    <w:multiLevelType w:val="hybridMultilevel"/>
    <w:tmpl w:val="7A56C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F3394"/>
    <w:multiLevelType w:val="hybridMultilevel"/>
    <w:tmpl w:val="0742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D1D6E"/>
    <w:multiLevelType w:val="hybridMultilevel"/>
    <w:tmpl w:val="84B0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561DE"/>
    <w:multiLevelType w:val="hybridMultilevel"/>
    <w:tmpl w:val="8854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852772"/>
    <w:multiLevelType w:val="hybridMultilevel"/>
    <w:tmpl w:val="FC804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F22636"/>
    <w:multiLevelType w:val="hybridMultilevel"/>
    <w:tmpl w:val="ABF42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F6024"/>
    <w:multiLevelType w:val="hybridMultilevel"/>
    <w:tmpl w:val="1AC45BD2"/>
    <w:lvl w:ilvl="0" w:tplc="00110409">
      <w:start w:val="1"/>
      <w:numFmt w:val="decimal"/>
      <w:lvlText w:val="%1)"/>
      <w:lvlJc w:val="left"/>
      <w:pPr>
        <w:tabs>
          <w:tab w:val="num" w:pos="1800"/>
        </w:tabs>
        <w:ind w:left="1800" w:hanging="360"/>
      </w:pPr>
    </w:lvl>
    <w:lvl w:ilvl="1" w:tplc="00190409">
      <w:start w:val="1"/>
      <w:numFmt w:val="lowerLetter"/>
      <w:lvlText w:val="%2."/>
      <w:lvlJc w:val="left"/>
      <w:pPr>
        <w:tabs>
          <w:tab w:val="num" w:pos="2520"/>
        </w:tabs>
        <w:ind w:left="2520" w:hanging="360"/>
      </w:pPr>
    </w:lvl>
    <w:lvl w:ilvl="2" w:tplc="001B0409">
      <w:start w:val="1"/>
      <w:numFmt w:val="lowerRoman"/>
      <w:lvlText w:val="%3."/>
      <w:lvlJc w:val="right"/>
      <w:pPr>
        <w:tabs>
          <w:tab w:val="num" w:pos="3240"/>
        </w:tabs>
        <w:ind w:left="3240" w:hanging="180"/>
      </w:pPr>
    </w:lvl>
    <w:lvl w:ilvl="3" w:tplc="000F0409">
      <w:start w:val="1"/>
      <w:numFmt w:val="decimal"/>
      <w:lvlText w:val="%4."/>
      <w:lvlJc w:val="left"/>
      <w:pPr>
        <w:tabs>
          <w:tab w:val="num" w:pos="3960"/>
        </w:tabs>
        <w:ind w:left="3960" w:hanging="360"/>
      </w:pPr>
    </w:lvl>
    <w:lvl w:ilvl="4" w:tplc="00190409">
      <w:start w:val="1"/>
      <w:numFmt w:val="lowerLetter"/>
      <w:lvlText w:val="%5."/>
      <w:lvlJc w:val="left"/>
      <w:pPr>
        <w:tabs>
          <w:tab w:val="num" w:pos="4680"/>
        </w:tabs>
        <w:ind w:left="4680" w:hanging="360"/>
      </w:pPr>
    </w:lvl>
    <w:lvl w:ilvl="5" w:tplc="001B0409">
      <w:start w:val="1"/>
      <w:numFmt w:val="lowerRoman"/>
      <w:lvlText w:val="%6."/>
      <w:lvlJc w:val="right"/>
      <w:pPr>
        <w:tabs>
          <w:tab w:val="num" w:pos="5400"/>
        </w:tabs>
        <w:ind w:left="5400" w:hanging="180"/>
      </w:pPr>
    </w:lvl>
    <w:lvl w:ilvl="6" w:tplc="000F0409">
      <w:start w:val="1"/>
      <w:numFmt w:val="decimal"/>
      <w:lvlText w:val="%7."/>
      <w:lvlJc w:val="left"/>
      <w:pPr>
        <w:tabs>
          <w:tab w:val="num" w:pos="6120"/>
        </w:tabs>
        <w:ind w:left="6120" w:hanging="360"/>
      </w:pPr>
    </w:lvl>
    <w:lvl w:ilvl="7" w:tplc="00190409">
      <w:start w:val="1"/>
      <w:numFmt w:val="lowerLetter"/>
      <w:lvlText w:val="%8."/>
      <w:lvlJc w:val="left"/>
      <w:pPr>
        <w:tabs>
          <w:tab w:val="num" w:pos="6840"/>
        </w:tabs>
        <w:ind w:left="6840" w:hanging="360"/>
      </w:pPr>
    </w:lvl>
    <w:lvl w:ilvl="8" w:tplc="001B0409">
      <w:start w:val="1"/>
      <w:numFmt w:val="lowerRoman"/>
      <w:lvlText w:val="%9."/>
      <w:lvlJc w:val="right"/>
      <w:pPr>
        <w:tabs>
          <w:tab w:val="num" w:pos="7560"/>
        </w:tabs>
        <w:ind w:left="7560" w:hanging="180"/>
      </w:pPr>
    </w:lvl>
  </w:abstractNum>
  <w:abstractNum w:abstractNumId="10">
    <w:nsid w:val="2B0D3E30"/>
    <w:multiLevelType w:val="hybridMultilevel"/>
    <w:tmpl w:val="0A54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4B3634"/>
    <w:multiLevelType w:val="hybridMultilevel"/>
    <w:tmpl w:val="FB4C438C"/>
    <w:lvl w:ilvl="0" w:tplc="F3F0F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88F771B"/>
    <w:multiLevelType w:val="hybridMultilevel"/>
    <w:tmpl w:val="DE88C67E"/>
    <w:lvl w:ilvl="0" w:tplc="4226142E">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927BA5"/>
    <w:multiLevelType w:val="hybridMultilevel"/>
    <w:tmpl w:val="8B7A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7F2E8B"/>
    <w:multiLevelType w:val="hybridMultilevel"/>
    <w:tmpl w:val="6892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836825"/>
    <w:multiLevelType w:val="hybridMultilevel"/>
    <w:tmpl w:val="54E40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0F245B"/>
    <w:multiLevelType w:val="hybridMultilevel"/>
    <w:tmpl w:val="BCA83272"/>
    <w:lvl w:ilvl="0" w:tplc="BF84D346">
      <w:start w:val="1"/>
      <w:numFmt w:val="decimal"/>
      <w:lvlText w:val="%1)"/>
      <w:lvlJc w:val="left"/>
      <w:pPr>
        <w:tabs>
          <w:tab w:val="num" w:pos="1800"/>
        </w:tabs>
        <w:ind w:left="1800" w:hanging="360"/>
      </w:pPr>
      <w:rPr>
        <w:rFonts w:hint="default"/>
      </w:rPr>
    </w:lvl>
    <w:lvl w:ilvl="1" w:tplc="00190409">
      <w:start w:val="1"/>
      <w:numFmt w:val="lowerLetter"/>
      <w:lvlText w:val="%2."/>
      <w:lvlJc w:val="left"/>
      <w:pPr>
        <w:tabs>
          <w:tab w:val="num" w:pos="2520"/>
        </w:tabs>
        <w:ind w:left="2520" w:hanging="360"/>
      </w:pPr>
    </w:lvl>
    <w:lvl w:ilvl="2" w:tplc="001B0409">
      <w:start w:val="1"/>
      <w:numFmt w:val="lowerRoman"/>
      <w:lvlText w:val="%3."/>
      <w:lvlJc w:val="right"/>
      <w:pPr>
        <w:tabs>
          <w:tab w:val="num" w:pos="3240"/>
        </w:tabs>
        <w:ind w:left="3240" w:hanging="180"/>
      </w:pPr>
    </w:lvl>
    <w:lvl w:ilvl="3" w:tplc="000F0409">
      <w:start w:val="1"/>
      <w:numFmt w:val="decimal"/>
      <w:lvlText w:val="%4."/>
      <w:lvlJc w:val="left"/>
      <w:pPr>
        <w:tabs>
          <w:tab w:val="num" w:pos="3960"/>
        </w:tabs>
        <w:ind w:left="3960" w:hanging="360"/>
      </w:pPr>
    </w:lvl>
    <w:lvl w:ilvl="4" w:tplc="00190409">
      <w:start w:val="1"/>
      <w:numFmt w:val="lowerLetter"/>
      <w:lvlText w:val="%5."/>
      <w:lvlJc w:val="left"/>
      <w:pPr>
        <w:tabs>
          <w:tab w:val="num" w:pos="4680"/>
        </w:tabs>
        <w:ind w:left="4680" w:hanging="360"/>
      </w:pPr>
    </w:lvl>
    <w:lvl w:ilvl="5" w:tplc="001B0409">
      <w:start w:val="1"/>
      <w:numFmt w:val="lowerRoman"/>
      <w:lvlText w:val="%6."/>
      <w:lvlJc w:val="right"/>
      <w:pPr>
        <w:tabs>
          <w:tab w:val="num" w:pos="5400"/>
        </w:tabs>
        <w:ind w:left="5400" w:hanging="180"/>
      </w:pPr>
    </w:lvl>
    <w:lvl w:ilvl="6" w:tplc="000F0409">
      <w:start w:val="1"/>
      <w:numFmt w:val="decimal"/>
      <w:lvlText w:val="%7."/>
      <w:lvlJc w:val="left"/>
      <w:pPr>
        <w:tabs>
          <w:tab w:val="num" w:pos="6120"/>
        </w:tabs>
        <w:ind w:left="6120" w:hanging="360"/>
      </w:pPr>
    </w:lvl>
    <w:lvl w:ilvl="7" w:tplc="00190409">
      <w:start w:val="1"/>
      <w:numFmt w:val="lowerLetter"/>
      <w:lvlText w:val="%8."/>
      <w:lvlJc w:val="left"/>
      <w:pPr>
        <w:tabs>
          <w:tab w:val="num" w:pos="6840"/>
        </w:tabs>
        <w:ind w:left="6840" w:hanging="360"/>
      </w:pPr>
    </w:lvl>
    <w:lvl w:ilvl="8" w:tplc="001B0409">
      <w:start w:val="1"/>
      <w:numFmt w:val="lowerRoman"/>
      <w:lvlText w:val="%9."/>
      <w:lvlJc w:val="right"/>
      <w:pPr>
        <w:tabs>
          <w:tab w:val="num" w:pos="7560"/>
        </w:tabs>
        <w:ind w:left="7560" w:hanging="180"/>
      </w:pPr>
    </w:lvl>
  </w:abstractNum>
  <w:abstractNum w:abstractNumId="17">
    <w:nsid w:val="7FC44FCB"/>
    <w:multiLevelType w:val="hybridMultilevel"/>
    <w:tmpl w:val="AA529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7"/>
  </w:num>
  <w:num w:numId="5">
    <w:abstractNumId w:val="1"/>
  </w:num>
  <w:num w:numId="6">
    <w:abstractNumId w:val="10"/>
  </w:num>
  <w:num w:numId="7">
    <w:abstractNumId w:val="13"/>
  </w:num>
  <w:num w:numId="8">
    <w:abstractNumId w:val="4"/>
  </w:num>
  <w:num w:numId="9">
    <w:abstractNumId w:val="7"/>
  </w:num>
  <w:num w:numId="10">
    <w:abstractNumId w:val="14"/>
  </w:num>
  <w:num w:numId="11">
    <w:abstractNumId w:val="16"/>
  </w:num>
  <w:num w:numId="12">
    <w:abstractNumId w:val="12"/>
  </w:num>
  <w:num w:numId="13">
    <w:abstractNumId w:val="9"/>
  </w:num>
  <w:num w:numId="14">
    <w:abstractNumId w:val="11"/>
  </w:num>
  <w:num w:numId="15">
    <w:abstractNumId w:val="8"/>
  </w:num>
  <w:num w:numId="16">
    <w:abstractNumId w:val="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91"/>
    <w:rsid w:val="00000B8E"/>
    <w:rsid w:val="00000F7F"/>
    <w:rsid w:val="00002B74"/>
    <w:rsid w:val="000040D8"/>
    <w:rsid w:val="000053C9"/>
    <w:rsid w:val="000114C7"/>
    <w:rsid w:val="000129AE"/>
    <w:rsid w:val="00012A18"/>
    <w:rsid w:val="00012F65"/>
    <w:rsid w:val="00013FB9"/>
    <w:rsid w:val="0001680F"/>
    <w:rsid w:val="0001754C"/>
    <w:rsid w:val="00017583"/>
    <w:rsid w:val="0001762B"/>
    <w:rsid w:val="00017798"/>
    <w:rsid w:val="0002013B"/>
    <w:rsid w:val="00021D11"/>
    <w:rsid w:val="00023F40"/>
    <w:rsid w:val="00024979"/>
    <w:rsid w:val="00025307"/>
    <w:rsid w:val="000260A4"/>
    <w:rsid w:val="000261EB"/>
    <w:rsid w:val="00027DA7"/>
    <w:rsid w:val="000306A9"/>
    <w:rsid w:val="00035793"/>
    <w:rsid w:val="0003581D"/>
    <w:rsid w:val="00036BDD"/>
    <w:rsid w:val="00041A5F"/>
    <w:rsid w:val="00041B12"/>
    <w:rsid w:val="00042064"/>
    <w:rsid w:val="00042205"/>
    <w:rsid w:val="000422AF"/>
    <w:rsid w:val="000423E1"/>
    <w:rsid w:val="000424AF"/>
    <w:rsid w:val="0004344D"/>
    <w:rsid w:val="00044C74"/>
    <w:rsid w:val="000476E2"/>
    <w:rsid w:val="00050983"/>
    <w:rsid w:val="00050F82"/>
    <w:rsid w:val="00051801"/>
    <w:rsid w:val="00053081"/>
    <w:rsid w:val="00053236"/>
    <w:rsid w:val="0005334A"/>
    <w:rsid w:val="0005469D"/>
    <w:rsid w:val="00054DB4"/>
    <w:rsid w:val="00055078"/>
    <w:rsid w:val="00055AFB"/>
    <w:rsid w:val="00055C08"/>
    <w:rsid w:val="00055C14"/>
    <w:rsid w:val="0006272C"/>
    <w:rsid w:val="00062FFF"/>
    <w:rsid w:val="000631D9"/>
    <w:rsid w:val="00065173"/>
    <w:rsid w:val="00065BF6"/>
    <w:rsid w:val="000677C0"/>
    <w:rsid w:val="00070DF0"/>
    <w:rsid w:val="00071C5E"/>
    <w:rsid w:val="00074387"/>
    <w:rsid w:val="00075649"/>
    <w:rsid w:val="000774E9"/>
    <w:rsid w:val="00077E9C"/>
    <w:rsid w:val="00082CE9"/>
    <w:rsid w:val="00084A36"/>
    <w:rsid w:val="00085662"/>
    <w:rsid w:val="0008581E"/>
    <w:rsid w:val="000866B2"/>
    <w:rsid w:val="00086D63"/>
    <w:rsid w:val="00086E96"/>
    <w:rsid w:val="00090AEA"/>
    <w:rsid w:val="000912BE"/>
    <w:rsid w:val="000919EA"/>
    <w:rsid w:val="00091E36"/>
    <w:rsid w:val="0009268F"/>
    <w:rsid w:val="00096025"/>
    <w:rsid w:val="00097F9A"/>
    <w:rsid w:val="000A2784"/>
    <w:rsid w:val="000A2BAF"/>
    <w:rsid w:val="000A718A"/>
    <w:rsid w:val="000A7AC7"/>
    <w:rsid w:val="000A7C89"/>
    <w:rsid w:val="000B0EF3"/>
    <w:rsid w:val="000B2288"/>
    <w:rsid w:val="000B28B1"/>
    <w:rsid w:val="000B40AE"/>
    <w:rsid w:val="000B4232"/>
    <w:rsid w:val="000B4FBF"/>
    <w:rsid w:val="000B54F7"/>
    <w:rsid w:val="000B6D61"/>
    <w:rsid w:val="000C19C0"/>
    <w:rsid w:val="000C2BB3"/>
    <w:rsid w:val="000C43C3"/>
    <w:rsid w:val="000C644F"/>
    <w:rsid w:val="000C7B35"/>
    <w:rsid w:val="000D05F9"/>
    <w:rsid w:val="000D0648"/>
    <w:rsid w:val="000D0CDA"/>
    <w:rsid w:val="000D3DB8"/>
    <w:rsid w:val="000E1701"/>
    <w:rsid w:val="000E4449"/>
    <w:rsid w:val="000E6114"/>
    <w:rsid w:val="000E61B0"/>
    <w:rsid w:val="000E6357"/>
    <w:rsid w:val="000E66A5"/>
    <w:rsid w:val="000E698B"/>
    <w:rsid w:val="000E6D93"/>
    <w:rsid w:val="000F0DA9"/>
    <w:rsid w:val="000F1090"/>
    <w:rsid w:val="000F2ADA"/>
    <w:rsid w:val="000F2AF8"/>
    <w:rsid w:val="000F368C"/>
    <w:rsid w:val="000F5765"/>
    <w:rsid w:val="0010113D"/>
    <w:rsid w:val="00101E9F"/>
    <w:rsid w:val="001032C3"/>
    <w:rsid w:val="001035E2"/>
    <w:rsid w:val="001040C2"/>
    <w:rsid w:val="001040D7"/>
    <w:rsid w:val="00106CA1"/>
    <w:rsid w:val="00106F06"/>
    <w:rsid w:val="00110BAF"/>
    <w:rsid w:val="00113BC0"/>
    <w:rsid w:val="00114611"/>
    <w:rsid w:val="0011542B"/>
    <w:rsid w:val="001173A1"/>
    <w:rsid w:val="00120EAA"/>
    <w:rsid w:val="001226E2"/>
    <w:rsid w:val="0012291D"/>
    <w:rsid w:val="00122D24"/>
    <w:rsid w:val="00123D23"/>
    <w:rsid w:val="00125466"/>
    <w:rsid w:val="00125CFD"/>
    <w:rsid w:val="00126391"/>
    <w:rsid w:val="00127BE7"/>
    <w:rsid w:val="00130DD4"/>
    <w:rsid w:val="0013225C"/>
    <w:rsid w:val="00134137"/>
    <w:rsid w:val="001364E7"/>
    <w:rsid w:val="001371ED"/>
    <w:rsid w:val="001376AA"/>
    <w:rsid w:val="00142286"/>
    <w:rsid w:val="001422F7"/>
    <w:rsid w:val="00142830"/>
    <w:rsid w:val="00142AD4"/>
    <w:rsid w:val="00143889"/>
    <w:rsid w:val="0014402D"/>
    <w:rsid w:val="001442A5"/>
    <w:rsid w:val="00144CCE"/>
    <w:rsid w:val="00144F27"/>
    <w:rsid w:val="00145E30"/>
    <w:rsid w:val="00146893"/>
    <w:rsid w:val="00146A2C"/>
    <w:rsid w:val="00147013"/>
    <w:rsid w:val="0014727E"/>
    <w:rsid w:val="0014743A"/>
    <w:rsid w:val="001475AA"/>
    <w:rsid w:val="00150650"/>
    <w:rsid w:val="00151614"/>
    <w:rsid w:val="0015175C"/>
    <w:rsid w:val="00152A90"/>
    <w:rsid w:val="001566CF"/>
    <w:rsid w:val="00160AD2"/>
    <w:rsid w:val="001634B6"/>
    <w:rsid w:val="001658BE"/>
    <w:rsid w:val="00167B73"/>
    <w:rsid w:val="001704A8"/>
    <w:rsid w:val="00172110"/>
    <w:rsid w:val="00173273"/>
    <w:rsid w:val="001744F6"/>
    <w:rsid w:val="0017545C"/>
    <w:rsid w:val="00176B76"/>
    <w:rsid w:val="00177350"/>
    <w:rsid w:val="001775D5"/>
    <w:rsid w:val="00180B4D"/>
    <w:rsid w:val="0018159E"/>
    <w:rsid w:val="0018195D"/>
    <w:rsid w:val="00182D8D"/>
    <w:rsid w:val="001831FD"/>
    <w:rsid w:val="001838D6"/>
    <w:rsid w:val="0018461C"/>
    <w:rsid w:val="00185146"/>
    <w:rsid w:val="001853DE"/>
    <w:rsid w:val="00187DE7"/>
    <w:rsid w:val="00190349"/>
    <w:rsid w:val="00190988"/>
    <w:rsid w:val="00192518"/>
    <w:rsid w:val="0019436E"/>
    <w:rsid w:val="00197C94"/>
    <w:rsid w:val="001A0424"/>
    <w:rsid w:val="001A0EC7"/>
    <w:rsid w:val="001A24EC"/>
    <w:rsid w:val="001A4086"/>
    <w:rsid w:val="001A475F"/>
    <w:rsid w:val="001B2E93"/>
    <w:rsid w:val="001B3706"/>
    <w:rsid w:val="001B621B"/>
    <w:rsid w:val="001B7F68"/>
    <w:rsid w:val="001C091E"/>
    <w:rsid w:val="001C0B6E"/>
    <w:rsid w:val="001C0FE5"/>
    <w:rsid w:val="001C1898"/>
    <w:rsid w:val="001C22AE"/>
    <w:rsid w:val="001C3426"/>
    <w:rsid w:val="001C4012"/>
    <w:rsid w:val="001C46BC"/>
    <w:rsid w:val="001C56B5"/>
    <w:rsid w:val="001C74FF"/>
    <w:rsid w:val="001D2C61"/>
    <w:rsid w:val="001D3956"/>
    <w:rsid w:val="001D40C1"/>
    <w:rsid w:val="001D7B8D"/>
    <w:rsid w:val="001E168C"/>
    <w:rsid w:val="001E18BF"/>
    <w:rsid w:val="001E2881"/>
    <w:rsid w:val="001E3061"/>
    <w:rsid w:val="001E6239"/>
    <w:rsid w:val="001E64AC"/>
    <w:rsid w:val="001E6621"/>
    <w:rsid w:val="001E755C"/>
    <w:rsid w:val="001F119C"/>
    <w:rsid w:val="001F1215"/>
    <w:rsid w:val="001F22A7"/>
    <w:rsid w:val="001F286E"/>
    <w:rsid w:val="001F3EB5"/>
    <w:rsid w:val="001F58AB"/>
    <w:rsid w:val="001F7686"/>
    <w:rsid w:val="00200612"/>
    <w:rsid w:val="00201A66"/>
    <w:rsid w:val="00201C70"/>
    <w:rsid w:val="0020623D"/>
    <w:rsid w:val="00207C0E"/>
    <w:rsid w:val="00210C4C"/>
    <w:rsid w:val="00211D0D"/>
    <w:rsid w:val="00213EE9"/>
    <w:rsid w:val="002177DA"/>
    <w:rsid w:val="00221D2E"/>
    <w:rsid w:val="002234B4"/>
    <w:rsid w:val="00226F79"/>
    <w:rsid w:val="002272F4"/>
    <w:rsid w:val="00227973"/>
    <w:rsid w:val="00231A4D"/>
    <w:rsid w:val="00234AC1"/>
    <w:rsid w:val="0023557A"/>
    <w:rsid w:val="00235E85"/>
    <w:rsid w:val="0023646B"/>
    <w:rsid w:val="00236B38"/>
    <w:rsid w:val="00243EDD"/>
    <w:rsid w:val="0024544A"/>
    <w:rsid w:val="00245E13"/>
    <w:rsid w:val="002464B8"/>
    <w:rsid w:val="002529AA"/>
    <w:rsid w:val="00252C13"/>
    <w:rsid w:val="00256E40"/>
    <w:rsid w:val="00257799"/>
    <w:rsid w:val="00262B39"/>
    <w:rsid w:val="00262D86"/>
    <w:rsid w:val="002637C7"/>
    <w:rsid w:val="00267DCD"/>
    <w:rsid w:val="00271230"/>
    <w:rsid w:val="00272443"/>
    <w:rsid w:val="002731E4"/>
    <w:rsid w:val="002734E7"/>
    <w:rsid w:val="00274FDD"/>
    <w:rsid w:val="00276DDB"/>
    <w:rsid w:val="00280659"/>
    <w:rsid w:val="0028097B"/>
    <w:rsid w:val="00284EEC"/>
    <w:rsid w:val="00285133"/>
    <w:rsid w:val="002856F3"/>
    <w:rsid w:val="00285CB2"/>
    <w:rsid w:val="002876A4"/>
    <w:rsid w:val="00290DD1"/>
    <w:rsid w:val="00291FD7"/>
    <w:rsid w:val="00291FDD"/>
    <w:rsid w:val="00294100"/>
    <w:rsid w:val="00294546"/>
    <w:rsid w:val="00294EF8"/>
    <w:rsid w:val="00295BF6"/>
    <w:rsid w:val="00295E3A"/>
    <w:rsid w:val="00296C87"/>
    <w:rsid w:val="00297824"/>
    <w:rsid w:val="002A0942"/>
    <w:rsid w:val="002A1125"/>
    <w:rsid w:val="002A528A"/>
    <w:rsid w:val="002A662B"/>
    <w:rsid w:val="002A75B4"/>
    <w:rsid w:val="002B017D"/>
    <w:rsid w:val="002B1BBB"/>
    <w:rsid w:val="002B2790"/>
    <w:rsid w:val="002B6E0B"/>
    <w:rsid w:val="002B7864"/>
    <w:rsid w:val="002C060E"/>
    <w:rsid w:val="002C0A67"/>
    <w:rsid w:val="002C0AFB"/>
    <w:rsid w:val="002C2FFE"/>
    <w:rsid w:val="002C5A43"/>
    <w:rsid w:val="002C67AA"/>
    <w:rsid w:val="002C75AD"/>
    <w:rsid w:val="002D0144"/>
    <w:rsid w:val="002D0CC0"/>
    <w:rsid w:val="002D139D"/>
    <w:rsid w:val="002D3DAE"/>
    <w:rsid w:val="002D431E"/>
    <w:rsid w:val="002D44C7"/>
    <w:rsid w:val="002D551F"/>
    <w:rsid w:val="002D6ABB"/>
    <w:rsid w:val="002D745A"/>
    <w:rsid w:val="002E10A6"/>
    <w:rsid w:val="002E133A"/>
    <w:rsid w:val="002E1577"/>
    <w:rsid w:val="002E1DB5"/>
    <w:rsid w:val="002E2E4D"/>
    <w:rsid w:val="002E376A"/>
    <w:rsid w:val="002E3D40"/>
    <w:rsid w:val="002E6760"/>
    <w:rsid w:val="002F0658"/>
    <w:rsid w:val="002F085E"/>
    <w:rsid w:val="002F115D"/>
    <w:rsid w:val="002F1E15"/>
    <w:rsid w:val="002F2B0B"/>
    <w:rsid w:val="002F2C0A"/>
    <w:rsid w:val="002F3E8F"/>
    <w:rsid w:val="002F490A"/>
    <w:rsid w:val="002F5384"/>
    <w:rsid w:val="002F5BD9"/>
    <w:rsid w:val="002F7085"/>
    <w:rsid w:val="002F7FCC"/>
    <w:rsid w:val="00300C9F"/>
    <w:rsid w:val="00301BA0"/>
    <w:rsid w:val="00304010"/>
    <w:rsid w:val="00304788"/>
    <w:rsid w:val="003055D4"/>
    <w:rsid w:val="003063FE"/>
    <w:rsid w:val="0031041B"/>
    <w:rsid w:val="00311463"/>
    <w:rsid w:val="00313302"/>
    <w:rsid w:val="00313A83"/>
    <w:rsid w:val="003143E8"/>
    <w:rsid w:val="00314CBD"/>
    <w:rsid w:val="003150B4"/>
    <w:rsid w:val="00315762"/>
    <w:rsid w:val="00316E14"/>
    <w:rsid w:val="003203BD"/>
    <w:rsid w:val="003207E1"/>
    <w:rsid w:val="0032181C"/>
    <w:rsid w:val="00322F9A"/>
    <w:rsid w:val="003240FD"/>
    <w:rsid w:val="00325550"/>
    <w:rsid w:val="00325E1C"/>
    <w:rsid w:val="0032666A"/>
    <w:rsid w:val="00327AAB"/>
    <w:rsid w:val="00330125"/>
    <w:rsid w:val="00330B41"/>
    <w:rsid w:val="0033147F"/>
    <w:rsid w:val="003316AC"/>
    <w:rsid w:val="003332B5"/>
    <w:rsid w:val="003333B7"/>
    <w:rsid w:val="0033409A"/>
    <w:rsid w:val="00334343"/>
    <w:rsid w:val="00334D8F"/>
    <w:rsid w:val="00335EDC"/>
    <w:rsid w:val="00335F7D"/>
    <w:rsid w:val="00336195"/>
    <w:rsid w:val="0033658E"/>
    <w:rsid w:val="0033759E"/>
    <w:rsid w:val="0034012E"/>
    <w:rsid w:val="00340FF0"/>
    <w:rsid w:val="00345660"/>
    <w:rsid w:val="003465FB"/>
    <w:rsid w:val="00351AD4"/>
    <w:rsid w:val="0035246A"/>
    <w:rsid w:val="0035261A"/>
    <w:rsid w:val="00352D57"/>
    <w:rsid w:val="00355517"/>
    <w:rsid w:val="003571B6"/>
    <w:rsid w:val="00360290"/>
    <w:rsid w:val="00361A49"/>
    <w:rsid w:val="00361DE9"/>
    <w:rsid w:val="00363B11"/>
    <w:rsid w:val="0036462F"/>
    <w:rsid w:val="00365BDD"/>
    <w:rsid w:val="0036645A"/>
    <w:rsid w:val="0037079C"/>
    <w:rsid w:val="00372C9D"/>
    <w:rsid w:val="003735DF"/>
    <w:rsid w:val="00376588"/>
    <w:rsid w:val="003766FF"/>
    <w:rsid w:val="003803C4"/>
    <w:rsid w:val="00380882"/>
    <w:rsid w:val="003842A0"/>
    <w:rsid w:val="00384595"/>
    <w:rsid w:val="00384A16"/>
    <w:rsid w:val="0038639E"/>
    <w:rsid w:val="003864C5"/>
    <w:rsid w:val="00387024"/>
    <w:rsid w:val="003874DA"/>
    <w:rsid w:val="0038766A"/>
    <w:rsid w:val="00390721"/>
    <w:rsid w:val="00391CDC"/>
    <w:rsid w:val="003940BD"/>
    <w:rsid w:val="00394D89"/>
    <w:rsid w:val="003962B2"/>
    <w:rsid w:val="00396B32"/>
    <w:rsid w:val="00396EDD"/>
    <w:rsid w:val="00396F09"/>
    <w:rsid w:val="003A220A"/>
    <w:rsid w:val="003A3238"/>
    <w:rsid w:val="003A3A0C"/>
    <w:rsid w:val="003A3E47"/>
    <w:rsid w:val="003A60CA"/>
    <w:rsid w:val="003A65B5"/>
    <w:rsid w:val="003A6AB0"/>
    <w:rsid w:val="003B094F"/>
    <w:rsid w:val="003B10D4"/>
    <w:rsid w:val="003B10F1"/>
    <w:rsid w:val="003B1ADB"/>
    <w:rsid w:val="003B1D07"/>
    <w:rsid w:val="003B2263"/>
    <w:rsid w:val="003B74E6"/>
    <w:rsid w:val="003B7B1F"/>
    <w:rsid w:val="003C0DA1"/>
    <w:rsid w:val="003C2885"/>
    <w:rsid w:val="003C36D2"/>
    <w:rsid w:val="003C3CF4"/>
    <w:rsid w:val="003C493B"/>
    <w:rsid w:val="003C5162"/>
    <w:rsid w:val="003C74CE"/>
    <w:rsid w:val="003D0C2E"/>
    <w:rsid w:val="003D10AB"/>
    <w:rsid w:val="003D2713"/>
    <w:rsid w:val="003D2FBC"/>
    <w:rsid w:val="003D3C5B"/>
    <w:rsid w:val="003D503F"/>
    <w:rsid w:val="003D56AF"/>
    <w:rsid w:val="003D5E0F"/>
    <w:rsid w:val="003D60A1"/>
    <w:rsid w:val="003D71A1"/>
    <w:rsid w:val="003D7878"/>
    <w:rsid w:val="003E29E4"/>
    <w:rsid w:val="003E2B10"/>
    <w:rsid w:val="003E43F1"/>
    <w:rsid w:val="003E45F5"/>
    <w:rsid w:val="003E49E1"/>
    <w:rsid w:val="003E6F5D"/>
    <w:rsid w:val="003E7B14"/>
    <w:rsid w:val="003F0BB7"/>
    <w:rsid w:val="003F20C9"/>
    <w:rsid w:val="003F2EDF"/>
    <w:rsid w:val="003F32E0"/>
    <w:rsid w:val="003F524F"/>
    <w:rsid w:val="003F7168"/>
    <w:rsid w:val="003F7188"/>
    <w:rsid w:val="004013CF"/>
    <w:rsid w:val="004029FE"/>
    <w:rsid w:val="00402D34"/>
    <w:rsid w:val="00402D43"/>
    <w:rsid w:val="004030F8"/>
    <w:rsid w:val="004033AD"/>
    <w:rsid w:val="0040398A"/>
    <w:rsid w:val="00404A8B"/>
    <w:rsid w:val="00404C8E"/>
    <w:rsid w:val="00405A32"/>
    <w:rsid w:val="00406415"/>
    <w:rsid w:val="0041103F"/>
    <w:rsid w:val="00411D2E"/>
    <w:rsid w:val="00412467"/>
    <w:rsid w:val="00412C0D"/>
    <w:rsid w:val="004145CD"/>
    <w:rsid w:val="004162C2"/>
    <w:rsid w:val="004172BB"/>
    <w:rsid w:val="004204DE"/>
    <w:rsid w:val="00425134"/>
    <w:rsid w:val="00425BAF"/>
    <w:rsid w:val="0042604F"/>
    <w:rsid w:val="00426417"/>
    <w:rsid w:val="00426B6F"/>
    <w:rsid w:val="00426D75"/>
    <w:rsid w:val="00427FA8"/>
    <w:rsid w:val="00434667"/>
    <w:rsid w:val="00437E68"/>
    <w:rsid w:val="004414D7"/>
    <w:rsid w:val="004438A3"/>
    <w:rsid w:val="004443B6"/>
    <w:rsid w:val="004447E8"/>
    <w:rsid w:val="004455AE"/>
    <w:rsid w:val="00446A75"/>
    <w:rsid w:val="00450BDF"/>
    <w:rsid w:val="00453CF7"/>
    <w:rsid w:val="00455217"/>
    <w:rsid w:val="00457059"/>
    <w:rsid w:val="00457316"/>
    <w:rsid w:val="00457502"/>
    <w:rsid w:val="00460D5A"/>
    <w:rsid w:val="004627C2"/>
    <w:rsid w:val="00462A96"/>
    <w:rsid w:val="0046373D"/>
    <w:rsid w:val="00463B5F"/>
    <w:rsid w:val="00464AAD"/>
    <w:rsid w:val="00465EAD"/>
    <w:rsid w:val="0046629A"/>
    <w:rsid w:val="00470357"/>
    <w:rsid w:val="00470E26"/>
    <w:rsid w:val="004718BD"/>
    <w:rsid w:val="00477233"/>
    <w:rsid w:val="00480B7E"/>
    <w:rsid w:val="00480EC4"/>
    <w:rsid w:val="00481AD3"/>
    <w:rsid w:val="00481BD8"/>
    <w:rsid w:val="00483CBA"/>
    <w:rsid w:val="004851D3"/>
    <w:rsid w:val="00491681"/>
    <w:rsid w:val="0049170D"/>
    <w:rsid w:val="00492298"/>
    <w:rsid w:val="00493726"/>
    <w:rsid w:val="0049389E"/>
    <w:rsid w:val="00493D2A"/>
    <w:rsid w:val="00493E10"/>
    <w:rsid w:val="00493F28"/>
    <w:rsid w:val="00495397"/>
    <w:rsid w:val="00496AC2"/>
    <w:rsid w:val="00496C8D"/>
    <w:rsid w:val="00497905"/>
    <w:rsid w:val="004A1C5A"/>
    <w:rsid w:val="004A1C7F"/>
    <w:rsid w:val="004A271E"/>
    <w:rsid w:val="004A6B12"/>
    <w:rsid w:val="004B0548"/>
    <w:rsid w:val="004B402C"/>
    <w:rsid w:val="004C15C2"/>
    <w:rsid w:val="004C2FA9"/>
    <w:rsid w:val="004C36A2"/>
    <w:rsid w:val="004C3C63"/>
    <w:rsid w:val="004C4469"/>
    <w:rsid w:val="004C4537"/>
    <w:rsid w:val="004C505C"/>
    <w:rsid w:val="004C5230"/>
    <w:rsid w:val="004C5235"/>
    <w:rsid w:val="004C72AC"/>
    <w:rsid w:val="004D54F7"/>
    <w:rsid w:val="004D5927"/>
    <w:rsid w:val="004D7722"/>
    <w:rsid w:val="004E1DAB"/>
    <w:rsid w:val="004E202B"/>
    <w:rsid w:val="004E214E"/>
    <w:rsid w:val="004E2DC8"/>
    <w:rsid w:val="004E3A08"/>
    <w:rsid w:val="004E4D42"/>
    <w:rsid w:val="004E50EB"/>
    <w:rsid w:val="004E562C"/>
    <w:rsid w:val="004E5691"/>
    <w:rsid w:val="004E5CE4"/>
    <w:rsid w:val="004E5FB1"/>
    <w:rsid w:val="004F172F"/>
    <w:rsid w:val="004F7EB3"/>
    <w:rsid w:val="005009F4"/>
    <w:rsid w:val="00500EB5"/>
    <w:rsid w:val="00501683"/>
    <w:rsid w:val="00501FFC"/>
    <w:rsid w:val="00503E04"/>
    <w:rsid w:val="00505A02"/>
    <w:rsid w:val="00506BC0"/>
    <w:rsid w:val="00506D0C"/>
    <w:rsid w:val="0051502C"/>
    <w:rsid w:val="00515176"/>
    <w:rsid w:val="005152DD"/>
    <w:rsid w:val="00516C0E"/>
    <w:rsid w:val="00520696"/>
    <w:rsid w:val="00525F76"/>
    <w:rsid w:val="0052789B"/>
    <w:rsid w:val="00530549"/>
    <w:rsid w:val="0053127D"/>
    <w:rsid w:val="00531A34"/>
    <w:rsid w:val="00534912"/>
    <w:rsid w:val="005355C7"/>
    <w:rsid w:val="005357A1"/>
    <w:rsid w:val="0053748B"/>
    <w:rsid w:val="00540805"/>
    <w:rsid w:val="005438D6"/>
    <w:rsid w:val="00545B4F"/>
    <w:rsid w:val="00546066"/>
    <w:rsid w:val="005478A5"/>
    <w:rsid w:val="00547D79"/>
    <w:rsid w:val="00551B91"/>
    <w:rsid w:val="00553692"/>
    <w:rsid w:val="00554BF9"/>
    <w:rsid w:val="00555CC9"/>
    <w:rsid w:val="00556B98"/>
    <w:rsid w:val="00561274"/>
    <w:rsid w:val="00561431"/>
    <w:rsid w:val="00563BA0"/>
    <w:rsid w:val="00565EA4"/>
    <w:rsid w:val="00570020"/>
    <w:rsid w:val="005708BF"/>
    <w:rsid w:val="00573379"/>
    <w:rsid w:val="00575E1D"/>
    <w:rsid w:val="00576880"/>
    <w:rsid w:val="005827C5"/>
    <w:rsid w:val="00582F09"/>
    <w:rsid w:val="00585F92"/>
    <w:rsid w:val="005864F1"/>
    <w:rsid w:val="00587259"/>
    <w:rsid w:val="00590744"/>
    <w:rsid w:val="00593446"/>
    <w:rsid w:val="0059418E"/>
    <w:rsid w:val="00594B3E"/>
    <w:rsid w:val="00594C04"/>
    <w:rsid w:val="00594EE2"/>
    <w:rsid w:val="00595EF4"/>
    <w:rsid w:val="005A0065"/>
    <w:rsid w:val="005A1EFB"/>
    <w:rsid w:val="005A353B"/>
    <w:rsid w:val="005A3DE4"/>
    <w:rsid w:val="005A6BBD"/>
    <w:rsid w:val="005B0E1E"/>
    <w:rsid w:val="005B1452"/>
    <w:rsid w:val="005B187B"/>
    <w:rsid w:val="005B37C1"/>
    <w:rsid w:val="005B4038"/>
    <w:rsid w:val="005B4936"/>
    <w:rsid w:val="005B61C7"/>
    <w:rsid w:val="005B6DA2"/>
    <w:rsid w:val="005B717D"/>
    <w:rsid w:val="005B78B7"/>
    <w:rsid w:val="005B7DAD"/>
    <w:rsid w:val="005C0538"/>
    <w:rsid w:val="005C28BA"/>
    <w:rsid w:val="005C30A3"/>
    <w:rsid w:val="005C3D94"/>
    <w:rsid w:val="005C56CB"/>
    <w:rsid w:val="005D0CBA"/>
    <w:rsid w:val="005D0D1B"/>
    <w:rsid w:val="005D3052"/>
    <w:rsid w:val="005D4287"/>
    <w:rsid w:val="005D4406"/>
    <w:rsid w:val="005D5817"/>
    <w:rsid w:val="005D704C"/>
    <w:rsid w:val="005E20A6"/>
    <w:rsid w:val="005E318B"/>
    <w:rsid w:val="005E35CA"/>
    <w:rsid w:val="005E3B62"/>
    <w:rsid w:val="005E3F13"/>
    <w:rsid w:val="005E4B66"/>
    <w:rsid w:val="005E6B09"/>
    <w:rsid w:val="005E788B"/>
    <w:rsid w:val="005F0A7A"/>
    <w:rsid w:val="005F2C6B"/>
    <w:rsid w:val="005F709A"/>
    <w:rsid w:val="005F7EC5"/>
    <w:rsid w:val="00600331"/>
    <w:rsid w:val="00601FFD"/>
    <w:rsid w:val="00602348"/>
    <w:rsid w:val="00603C03"/>
    <w:rsid w:val="00603CC2"/>
    <w:rsid w:val="00605BD3"/>
    <w:rsid w:val="00606DF4"/>
    <w:rsid w:val="00607242"/>
    <w:rsid w:val="00607C52"/>
    <w:rsid w:val="00607EC1"/>
    <w:rsid w:val="0061201E"/>
    <w:rsid w:val="006126CD"/>
    <w:rsid w:val="00614386"/>
    <w:rsid w:val="00614DD8"/>
    <w:rsid w:val="00615555"/>
    <w:rsid w:val="00615A55"/>
    <w:rsid w:val="00616EFD"/>
    <w:rsid w:val="006171FC"/>
    <w:rsid w:val="00617525"/>
    <w:rsid w:val="006227A0"/>
    <w:rsid w:val="00623686"/>
    <w:rsid w:val="00632A11"/>
    <w:rsid w:val="0063555B"/>
    <w:rsid w:val="00635A64"/>
    <w:rsid w:val="00636685"/>
    <w:rsid w:val="00636ACD"/>
    <w:rsid w:val="0064254A"/>
    <w:rsid w:val="006444E4"/>
    <w:rsid w:val="0064544C"/>
    <w:rsid w:val="006459C1"/>
    <w:rsid w:val="00646A8C"/>
    <w:rsid w:val="006501A1"/>
    <w:rsid w:val="006503D9"/>
    <w:rsid w:val="00651BED"/>
    <w:rsid w:val="0065248A"/>
    <w:rsid w:val="00653300"/>
    <w:rsid w:val="00653C7E"/>
    <w:rsid w:val="006551C9"/>
    <w:rsid w:val="00655D0C"/>
    <w:rsid w:val="006567A3"/>
    <w:rsid w:val="00660C11"/>
    <w:rsid w:val="00660D89"/>
    <w:rsid w:val="00662668"/>
    <w:rsid w:val="00662B31"/>
    <w:rsid w:val="0066322E"/>
    <w:rsid w:val="00663811"/>
    <w:rsid w:val="00666FE1"/>
    <w:rsid w:val="006711DC"/>
    <w:rsid w:val="006719A6"/>
    <w:rsid w:val="00671E1B"/>
    <w:rsid w:val="00674C8B"/>
    <w:rsid w:val="0067769F"/>
    <w:rsid w:val="006776DA"/>
    <w:rsid w:val="00677D12"/>
    <w:rsid w:val="00681D61"/>
    <w:rsid w:val="006832E5"/>
    <w:rsid w:val="006846BA"/>
    <w:rsid w:val="0068505E"/>
    <w:rsid w:val="006860CF"/>
    <w:rsid w:val="0069150B"/>
    <w:rsid w:val="00691644"/>
    <w:rsid w:val="006932BD"/>
    <w:rsid w:val="00694D21"/>
    <w:rsid w:val="00695AA6"/>
    <w:rsid w:val="006A156D"/>
    <w:rsid w:val="006A21EC"/>
    <w:rsid w:val="006A2C69"/>
    <w:rsid w:val="006A442F"/>
    <w:rsid w:val="006A52A1"/>
    <w:rsid w:val="006A6695"/>
    <w:rsid w:val="006B052C"/>
    <w:rsid w:val="006B18D1"/>
    <w:rsid w:val="006B2392"/>
    <w:rsid w:val="006B4568"/>
    <w:rsid w:val="006B68A6"/>
    <w:rsid w:val="006C0383"/>
    <w:rsid w:val="006C06E8"/>
    <w:rsid w:val="006C2B34"/>
    <w:rsid w:val="006C38DA"/>
    <w:rsid w:val="006C40E9"/>
    <w:rsid w:val="006C4583"/>
    <w:rsid w:val="006C54C8"/>
    <w:rsid w:val="006C5504"/>
    <w:rsid w:val="006C5DF5"/>
    <w:rsid w:val="006C6580"/>
    <w:rsid w:val="006D0446"/>
    <w:rsid w:val="006D050C"/>
    <w:rsid w:val="006D2113"/>
    <w:rsid w:val="006D6045"/>
    <w:rsid w:val="006E0B39"/>
    <w:rsid w:val="006E2DE0"/>
    <w:rsid w:val="006E3C97"/>
    <w:rsid w:val="006E7DAE"/>
    <w:rsid w:val="006F3548"/>
    <w:rsid w:val="006F3CE2"/>
    <w:rsid w:val="006F560E"/>
    <w:rsid w:val="006F6572"/>
    <w:rsid w:val="006F6CC5"/>
    <w:rsid w:val="006F7F89"/>
    <w:rsid w:val="00700986"/>
    <w:rsid w:val="00700AF0"/>
    <w:rsid w:val="0070316E"/>
    <w:rsid w:val="0070416D"/>
    <w:rsid w:val="00704C08"/>
    <w:rsid w:val="00705D9A"/>
    <w:rsid w:val="00706FE5"/>
    <w:rsid w:val="0070795A"/>
    <w:rsid w:val="00710DFA"/>
    <w:rsid w:val="0071103B"/>
    <w:rsid w:val="007120E6"/>
    <w:rsid w:val="00713838"/>
    <w:rsid w:val="00713B82"/>
    <w:rsid w:val="00715FCB"/>
    <w:rsid w:val="007174B1"/>
    <w:rsid w:val="00717607"/>
    <w:rsid w:val="00720263"/>
    <w:rsid w:val="00722D85"/>
    <w:rsid w:val="007257DF"/>
    <w:rsid w:val="007269F5"/>
    <w:rsid w:val="00734F91"/>
    <w:rsid w:val="00736A7C"/>
    <w:rsid w:val="00737D36"/>
    <w:rsid w:val="00740659"/>
    <w:rsid w:val="00741A5F"/>
    <w:rsid w:val="0074293B"/>
    <w:rsid w:val="00742C0C"/>
    <w:rsid w:val="00742C7E"/>
    <w:rsid w:val="00743C2E"/>
    <w:rsid w:val="00744D87"/>
    <w:rsid w:val="00744EAE"/>
    <w:rsid w:val="00747E77"/>
    <w:rsid w:val="00752533"/>
    <w:rsid w:val="00752554"/>
    <w:rsid w:val="00752F99"/>
    <w:rsid w:val="007540F0"/>
    <w:rsid w:val="00755250"/>
    <w:rsid w:val="0075571F"/>
    <w:rsid w:val="00756928"/>
    <w:rsid w:val="0075708D"/>
    <w:rsid w:val="007577FD"/>
    <w:rsid w:val="00757A96"/>
    <w:rsid w:val="0076170E"/>
    <w:rsid w:val="0076675A"/>
    <w:rsid w:val="00771A57"/>
    <w:rsid w:val="00773090"/>
    <w:rsid w:val="00774E90"/>
    <w:rsid w:val="00774F95"/>
    <w:rsid w:val="00775685"/>
    <w:rsid w:val="0077612E"/>
    <w:rsid w:val="00776503"/>
    <w:rsid w:val="00776CF1"/>
    <w:rsid w:val="00780E83"/>
    <w:rsid w:val="00782814"/>
    <w:rsid w:val="00782DCA"/>
    <w:rsid w:val="007837EE"/>
    <w:rsid w:val="00784404"/>
    <w:rsid w:val="007858AD"/>
    <w:rsid w:val="00790AB6"/>
    <w:rsid w:val="00790BE7"/>
    <w:rsid w:val="00791292"/>
    <w:rsid w:val="00791719"/>
    <w:rsid w:val="007946DD"/>
    <w:rsid w:val="0079716C"/>
    <w:rsid w:val="007A0514"/>
    <w:rsid w:val="007A0C7B"/>
    <w:rsid w:val="007A0E7E"/>
    <w:rsid w:val="007A13D8"/>
    <w:rsid w:val="007A15F2"/>
    <w:rsid w:val="007A49EC"/>
    <w:rsid w:val="007A4A82"/>
    <w:rsid w:val="007A4D63"/>
    <w:rsid w:val="007A5B99"/>
    <w:rsid w:val="007A5BAD"/>
    <w:rsid w:val="007B161F"/>
    <w:rsid w:val="007B21A5"/>
    <w:rsid w:val="007B21FD"/>
    <w:rsid w:val="007B2410"/>
    <w:rsid w:val="007B4E80"/>
    <w:rsid w:val="007B64A8"/>
    <w:rsid w:val="007B7DC5"/>
    <w:rsid w:val="007B7F79"/>
    <w:rsid w:val="007B7F87"/>
    <w:rsid w:val="007C21EE"/>
    <w:rsid w:val="007C2A1E"/>
    <w:rsid w:val="007C3603"/>
    <w:rsid w:val="007C3C71"/>
    <w:rsid w:val="007C4AED"/>
    <w:rsid w:val="007C4B7B"/>
    <w:rsid w:val="007C7066"/>
    <w:rsid w:val="007C71C6"/>
    <w:rsid w:val="007D098D"/>
    <w:rsid w:val="007D16FC"/>
    <w:rsid w:val="007D3586"/>
    <w:rsid w:val="007D66C8"/>
    <w:rsid w:val="007D732D"/>
    <w:rsid w:val="007E00A5"/>
    <w:rsid w:val="007E0B8C"/>
    <w:rsid w:val="007E0CD9"/>
    <w:rsid w:val="007E2546"/>
    <w:rsid w:val="007E5977"/>
    <w:rsid w:val="007E66BF"/>
    <w:rsid w:val="007E6BFC"/>
    <w:rsid w:val="007E75B9"/>
    <w:rsid w:val="007F0489"/>
    <w:rsid w:val="007F1221"/>
    <w:rsid w:val="007F2C95"/>
    <w:rsid w:val="007F311C"/>
    <w:rsid w:val="007F36CF"/>
    <w:rsid w:val="007F4A1F"/>
    <w:rsid w:val="007F4A9A"/>
    <w:rsid w:val="007F72D3"/>
    <w:rsid w:val="007F783C"/>
    <w:rsid w:val="00800FB2"/>
    <w:rsid w:val="00801D17"/>
    <w:rsid w:val="00802445"/>
    <w:rsid w:val="0080247D"/>
    <w:rsid w:val="00803327"/>
    <w:rsid w:val="00805B80"/>
    <w:rsid w:val="00807D50"/>
    <w:rsid w:val="00810556"/>
    <w:rsid w:val="00810A6D"/>
    <w:rsid w:val="00812A33"/>
    <w:rsid w:val="00813300"/>
    <w:rsid w:val="00813A8B"/>
    <w:rsid w:val="008153BF"/>
    <w:rsid w:val="00815921"/>
    <w:rsid w:val="00815DF1"/>
    <w:rsid w:val="008179BB"/>
    <w:rsid w:val="00820691"/>
    <w:rsid w:val="00822D7C"/>
    <w:rsid w:val="00823144"/>
    <w:rsid w:val="00824365"/>
    <w:rsid w:val="00824870"/>
    <w:rsid w:val="00825A54"/>
    <w:rsid w:val="0082666F"/>
    <w:rsid w:val="00826ABF"/>
    <w:rsid w:val="00830953"/>
    <w:rsid w:val="00830CF8"/>
    <w:rsid w:val="00830F07"/>
    <w:rsid w:val="00831A2D"/>
    <w:rsid w:val="00831AD1"/>
    <w:rsid w:val="00832511"/>
    <w:rsid w:val="008330EA"/>
    <w:rsid w:val="00833794"/>
    <w:rsid w:val="00837426"/>
    <w:rsid w:val="00837712"/>
    <w:rsid w:val="00840E83"/>
    <w:rsid w:val="00842BB4"/>
    <w:rsid w:val="008449A8"/>
    <w:rsid w:val="00847CEB"/>
    <w:rsid w:val="00851DA0"/>
    <w:rsid w:val="0085317E"/>
    <w:rsid w:val="008535C0"/>
    <w:rsid w:val="0085471F"/>
    <w:rsid w:val="00855107"/>
    <w:rsid w:val="008553F6"/>
    <w:rsid w:val="008556C5"/>
    <w:rsid w:val="008564A0"/>
    <w:rsid w:val="008565B6"/>
    <w:rsid w:val="008576B7"/>
    <w:rsid w:val="008626AC"/>
    <w:rsid w:val="0086321E"/>
    <w:rsid w:val="00864481"/>
    <w:rsid w:val="008644A4"/>
    <w:rsid w:val="00866C2B"/>
    <w:rsid w:val="0086747F"/>
    <w:rsid w:val="00870F1B"/>
    <w:rsid w:val="008725A0"/>
    <w:rsid w:val="00873B1D"/>
    <w:rsid w:val="008774C1"/>
    <w:rsid w:val="0088010A"/>
    <w:rsid w:val="00880455"/>
    <w:rsid w:val="008846DA"/>
    <w:rsid w:val="00885587"/>
    <w:rsid w:val="00885664"/>
    <w:rsid w:val="008860FB"/>
    <w:rsid w:val="008878E4"/>
    <w:rsid w:val="008918DC"/>
    <w:rsid w:val="00891EF4"/>
    <w:rsid w:val="0089201E"/>
    <w:rsid w:val="008931BC"/>
    <w:rsid w:val="00894504"/>
    <w:rsid w:val="00895240"/>
    <w:rsid w:val="008977FC"/>
    <w:rsid w:val="008A3F60"/>
    <w:rsid w:val="008A457F"/>
    <w:rsid w:val="008A4E29"/>
    <w:rsid w:val="008A5553"/>
    <w:rsid w:val="008A5DC3"/>
    <w:rsid w:val="008A6CC6"/>
    <w:rsid w:val="008A79B1"/>
    <w:rsid w:val="008B0D06"/>
    <w:rsid w:val="008B0D8A"/>
    <w:rsid w:val="008B0F52"/>
    <w:rsid w:val="008B2568"/>
    <w:rsid w:val="008B3E07"/>
    <w:rsid w:val="008B4D1E"/>
    <w:rsid w:val="008B6282"/>
    <w:rsid w:val="008B631A"/>
    <w:rsid w:val="008B7F8D"/>
    <w:rsid w:val="008C1B17"/>
    <w:rsid w:val="008C1EEC"/>
    <w:rsid w:val="008C40F1"/>
    <w:rsid w:val="008C4E7C"/>
    <w:rsid w:val="008C5925"/>
    <w:rsid w:val="008C6A6F"/>
    <w:rsid w:val="008C7A53"/>
    <w:rsid w:val="008D0A73"/>
    <w:rsid w:val="008D18E4"/>
    <w:rsid w:val="008D24A9"/>
    <w:rsid w:val="008D6326"/>
    <w:rsid w:val="008D6623"/>
    <w:rsid w:val="008E1C90"/>
    <w:rsid w:val="008E2052"/>
    <w:rsid w:val="008E3557"/>
    <w:rsid w:val="008E45DA"/>
    <w:rsid w:val="008F1DC9"/>
    <w:rsid w:val="008F2EC8"/>
    <w:rsid w:val="008F5B37"/>
    <w:rsid w:val="008F74B4"/>
    <w:rsid w:val="009001D2"/>
    <w:rsid w:val="009004A7"/>
    <w:rsid w:val="009008BE"/>
    <w:rsid w:val="00900CBA"/>
    <w:rsid w:val="00901412"/>
    <w:rsid w:val="0090151B"/>
    <w:rsid w:val="00901D8F"/>
    <w:rsid w:val="00904356"/>
    <w:rsid w:val="00904909"/>
    <w:rsid w:val="00905AC4"/>
    <w:rsid w:val="009061CE"/>
    <w:rsid w:val="009063BE"/>
    <w:rsid w:val="009063D5"/>
    <w:rsid w:val="009070E8"/>
    <w:rsid w:val="00910CCE"/>
    <w:rsid w:val="00910D2B"/>
    <w:rsid w:val="00910D82"/>
    <w:rsid w:val="009123F5"/>
    <w:rsid w:val="009163C6"/>
    <w:rsid w:val="009169DE"/>
    <w:rsid w:val="00917F71"/>
    <w:rsid w:val="00920630"/>
    <w:rsid w:val="0092129C"/>
    <w:rsid w:val="00923795"/>
    <w:rsid w:val="00924B50"/>
    <w:rsid w:val="00925C74"/>
    <w:rsid w:val="00927803"/>
    <w:rsid w:val="00935AE3"/>
    <w:rsid w:val="00935E70"/>
    <w:rsid w:val="00945C8D"/>
    <w:rsid w:val="00946758"/>
    <w:rsid w:val="00946A27"/>
    <w:rsid w:val="00947C6E"/>
    <w:rsid w:val="00947DC9"/>
    <w:rsid w:val="00954B45"/>
    <w:rsid w:val="00955B92"/>
    <w:rsid w:val="0095625C"/>
    <w:rsid w:val="00961E3B"/>
    <w:rsid w:val="00961F00"/>
    <w:rsid w:val="009641E9"/>
    <w:rsid w:val="00964273"/>
    <w:rsid w:val="009662B3"/>
    <w:rsid w:val="0096697A"/>
    <w:rsid w:val="00970394"/>
    <w:rsid w:val="00972EDF"/>
    <w:rsid w:val="0097318C"/>
    <w:rsid w:val="009738DE"/>
    <w:rsid w:val="00973C02"/>
    <w:rsid w:val="00973F3B"/>
    <w:rsid w:val="009753C6"/>
    <w:rsid w:val="00977A74"/>
    <w:rsid w:val="00977E36"/>
    <w:rsid w:val="00977F7E"/>
    <w:rsid w:val="009839AC"/>
    <w:rsid w:val="00984EB5"/>
    <w:rsid w:val="0098505C"/>
    <w:rsid w:val="009855EF"/>
    <w:rsid w:val="00986676"/>
    <w:rsid w:val="00987EF5"/>
    <w:rsid w:val="00991776"/>
    <w:rsid w:val="0099633F"/>
    <w:rsid w:val="0099643B"/>
    <w:rsid w:val="00996A82"/>
    <w:rsid w:val="009A2135"/>
    <w:rsid w:val="009A2800"/>
    <w:rsid w:val="009A2E0B"/>
    <w:rsid w:val="009A4E3F"/>
    <w:rsid w:val="009A754A"/>
    <w:rsid w:val="009A76F6"/>
    <w:rsid w:val="009B256B"/>
    <w:rsid w:val="009B2AD2"/>
    <w:rsid w:val="009B3487"/>
    <w:rsid w:val="009B5848"/>
    <w:rsid w:val="009B5F0E"/>
    <w:rsid w:val="009B6150"/>
    <w:rsid w:val="009B6344"/>
    <w:rsid w:val="009B7217"/>
    <w:rsid w:val="009B7BB8"/>
    <w:rsid w:val="009C1FA6"/>
    <w:rsid w:val="009C1FD1"/>
    <w:rsid w:val="009C2D4A"/>
    <w:rsid w:val="009C4C9E"/>
    <w:rsid w:val="009C6AA5"/>
    <w:rsid w:val="009C6F10"/>
    <w:rsid w:val="009D0019"/>
    <w:rsid w:val="009D0445"/>
    <w:rsid w:val="009D32F9"/>
    <w:rsid w:val="009D44D9"/>
    <w:rsid w:val="009D4D52"/>
    <w:rsid w:val="009D5ED3"/>
    <w:rsid w:val="009D65A4"/>
    <w:rsid w:val="009D72FE"/>
    <w:rsid w:val="009E24AC"/>
    <w:rsid w:val="009E4035"/>
    <w:rsid w:val="009E6E01"/>
    <w:rsid w:val="009F0D8F"/>
    <w:rsid w:val="009F1A68"/>
    <w:rsid w:val="009F3506"/>
    <w:rsid w:val="009F40BF"/>
    <w:rsid w:val="009F493F"/>
    <w:rsid w:val="009F5313"/>
    <w:rsid w:val="009F6592"/>
    <w:rsid w:val="009F7C92"/>
    <w:rsid w:val="00A0362D"/>
    <w:rsid w:val="00A049D7"/>
    <w:rsid w:val="00A054B7"/>
    <w:rsid w:val="00A07F6B"/>
    <w:rsid w:val="00A10BA8"/>
    <w:rsid w:val="00A1262F"/>
    <w:rsid w:val="00A1311A"/>
    <w:rsid w:val="00A13404"/>
    <w:rsid w:val="00A13BA8"/>
    <w:rsid w:val="00A153D5"/>
    <w:rsid w:val="00A1635D"/>
    <w:rsid w:val="00A16CF8"/>
    <w:rsid w:val="00A173AC"/>
    <w:rsid w:val="00A178DC"/>
    <w:rsid w:val="00A2045E"/>
    <w:rsid w:val="00A253A3"/>
    <w:rsid w:val="00A25A18"/>
    <w:rsid w:val="00A27149"/>
    <w:rsid w:val="00A30124"/>
    <w:rsid w:val="00A3133B"/>
    <w:rsid w:val="00A33082"/>
    <w:rsid w:val="00A352D9"/>
    <w:rsid w:val="00A416EE"/>
    <w:rsid w:val="00A41C82"/>
    <w:rsid w:val="00A42EF4"/>
    <w:rsid w:val="00A4300D"/>
    <w:rsid w:val="00A440B3"/>
    <w:rsid w:val="00A45F6E"/>
    <w:rsid w:val="00A47974"/>
    <w:rsid w:val="00A50545"/>
    <w:rsid w:val="00A50947"/>
    <w:rsid w:val="00A51F46"/>
    <w:rsid w:val="00A523A2"/>
    <w:rsid w:val="00A523DF"/>
    <w:rsid w:val="00A52684"/>
    <w:rsid w:val="00A55966"/>
    <w:rsid w:val="00A56240"/>
    <w:rsid w:val="00A6254A"/>
    <w:rsid w:val="00A625D6"/>
    <w:rsid w:val="00A62B29"/>
    <w:rsid w:val="00A64BE4"/>
    <w:rsid w:val="00A67440"/>
    <w:rsid w:val="00A70941"/>
    <w:rsid w:val="00A709DA"/>
    <w:rsid w:val="00A71EF1"/>
    <w:rsid w:val="00A7392F"/>
    <w:rsid w:val="00A803F0"/>
    <w:rsid w:val="00A81D33"/>
    <w:rsid w:val="00A8487D"/>
    <w:rsid w:val="00A85CCE"/>
    <w:rsid w:val="00A860C3"/>
    <w:rsid w:val="00A9183B"/>
    <w:rsid w:val="00A932D9"/>
    <w:rsid w:val="00A94050"/>
    <w:rsid w:val="00A9453E"/>
    <w:rsid w:val="00A9472A"/>
    <w:rsid w:val="00A94D74"/>
    <w:rsid w:val="00A94E0B"/>
    <w:rsid w:val="00A976D1"/>
    <w:rsid w:val="00A97F9C"/>
    <w:rsid w:val="00AA0C73"/>
    <w:rsid w:val="00AA0D22"/>
    <w:rsid w:val="00AA368E"/>
    <w:rsid w:val="00AA4231"/>
    <w:rsid w:val="00AB15B0"/>
    <w:rsid w:val="00AB48F3"/>
    <w:rsid w:val="00AB588D"/>
    <w:rsid w:val="00AB598F"/>
    <w:rsid w:val="00AB6EFA"/>
    <w:rsid w:val="00AC1336"/>
    <w:rsid w:val="00AC1909"/>
    <w:rsid w:val="00AC2342"/>
    <w:rsid w:val="00AC27E9"/>
    <w:rsid w:val="00AC4C75"/>
    <w:rsid w:val="00AC4DC3"/>
    <w:rsid w:val="00AC525F"/>
    <w:rsid w:val="00AC66CE"/>
    <w:rsid w:val="00AC707A"/>
    <w:rsid w:val="00AC73BB"/>
    <w:rsid w:val="00AC7C82"/>
    <w:rsid w:val="00AD0A9A"/>
    <w:rsid w:val="00AD0D6D"/>
    <w:rsid w:val="00AD1072"/>
    <w:rsid w:val="00AD2046"/>
    <w:rsid w:val="00AD7415"/>
    <w:rsid w:val="00AE266B"/>
    <w:rsid w:val="00AE3267"/>
    <w:rsid w:val="00AE5FDA"/>
    <w:rsid w:val="00AF0D07"/>
    <w:rsid w:val="00AF0F54"/>
    <w:rsid w:val="00AF1508"/>
    <w:rsid w:val="00AF363E"/>
    <w:rsid w:val="00AF4516"/>
    <w:rsid w:val="00AF4F54"/>
    <w:rsid w:val="00AF6B2B"/>
    <w:rsid w:val="00B01174"/>
    <w:rsid w:val="00B023B1"/>
    <w:rsid w:val="00B0479E"/>
    <w:rsid w:val="00B05609"/>
    <w:rsid w:val="00B11022"/>
    <w:rsid w:val="00B12514"/>
    <w:rsid w:val="00B1304C"/>
    <w:rsid w:val="00B1352D"/>
    <w:rsid w:val="00B13EDF"/>
    <w:rsid w:val="00B14A99"/>
    <w:rsid w:val="00B15814"/>
    <w:rsid w:val="00B1720E"/>
    <w:rsid w:val="00B21D40"/>
    <w:rsid w:val="00B2200C"/>
    <w:rsid w:val="00B2637D"/>
    <w:rsid w:val="00B2756A"/>
    <w:rsid w:val="00B30D60"/>
    <w:rsid w:val="00B313A1"/>
    <w:rsid w:val="00B3259D"/>
    <w:rsid w:val="00B32A00"/>
    <w:rsid w:val="00B3599C"/>
    <w:rsid w:val="00B36323"/>
    <w:rsid w:val="00B402D9"/>
    <w:rsid w:val="00B4122E"/>
    <w:rsid w:val="00B4458D"/>
    <w:rsid w:val="00B44E24"/>
    <w:rsid w:val="00B4528A"/>
    <w:rsid w:val="00B4541D"/>
    <w:rsid w:val="00B45C0D"/>
    <w:rsid w:val="00B46481"/>
    <w:rsid w:val="00B46B4D"/>
    <w:rsid w:val="00B474C6"/>
    <w:rsid w:val="00B476F4"/>
    <w:rsid w:val="00B50000"/>
    <w:rsid w:val="00B517C2"/>
    <w:rsid w:val="00B51FF6"/>
    <w:rsid w:val="00B53930"/>
    <w:rsid w:val="00B54776"/>
    <w:rsid w:val="00B54D3F"/>
    <w:rsid w:val="00B558F5"/>
    <w:rsid w:val="00B60C10"/>
    <w:rsid w:val="00B623FD"/>
    <w:rsid w:val="00B67788"/>
    <w:rsid w:val="00B74A2E"/>
    <w:rsid w:val="00B74A99"/>
    <w:rsid w:val="00B74CE6"/>
    <w:rsid w:val="00B74F5D"/>
    <w:rsid w:val="00B75A6D"/>
    <w:rsid w:val="00B76036"/>
    <w:rsid w:val="00B76237"/>
    <w:rsid w:val="00B763BB"/>
    <w:rsid w:val="00B76425"/>
    <w:rsid w:val="00B77E28"/>
    <w:rsid w:val="00B8145F"/>
    <w:rsid w:val="00B81CFF"/>
    <w:rsid w:val="00B832A7"/>
    <w:rsid w:val="00B872D4"/>
    <w:rsid w:val="00B873A6"/>
    <w:rsid w:val="00B90014"/>
    <w:rsid w:val="00B9201F"/>
    <w:rsid w:val="00B92960"/>
    <w:rsid w:val="00B9666A"/>
    <w:rsid w:val="00B96ABE"/>
    <w:rsid w:val="00B96DF3"/>
    <w:rsid w:val="00BA10CD"/>
    <w:rsid w:val="00BA191D"/>
    <w:rsid w:val="00BA23BC"/>
    <w:rsid w:val="00BA2FA9"/>
    <w:rsid w:val="00BA4D67"/>
    <w:rsid w:val="00BA55F8"/>
    <w:rsid w:val="00BA63D5"/>
    <w:rsid w:val="00BB1441"/>
    <w:rsid w:val="00BB2DF8"/>
    <w:rsid w:val="00BB3D8E"/>
    <w:rsid w:val="00BB510E"/>
    <w:rsid w:val="00BB70B4"/>
    <w:rsid w:val="00BC0F0C"/>
    <w:rsid w:val="00BC1237"/>
    <w:rsid w:val="00BC3142"/>
    <w:rsid w:val="00BC4A02"/>
    <w:rsid w:val="00BC50A1"/>
    <w:rsid w:val="00BC5717"/>
    <w:rsid w:val="00BC5C2D"/>
    <w:rsid w:val="00BC6DD9"/>
    <w:rsid w:val="00BC75BE"/>
    <w:rsid w:val="00BD4E13"/>
    <w:rsid w:val="00BD5D5B"/>
    <w:rsid w:val="00BD6C7B"/>
    <w:rsid w:val="00BE09B9"/>
    <w:rsid w:val="00BE0D1F"/>
    <w:rsid w:val="00BE1946"/>
    <w:rsid w:val="00BE2C88"/>
    <w:rsid w:val="00BE2F8F"/>
    <w:rsid w:val="00BE38C7"/>
    <w:rsid w:val="00BE3EE4"/>
    <w:rsid w:val="00BE7222"/>
    <w:rsid w:val="00BE7F57"/>
    <w:rsid w:val="00BF011A"/>
    <w:rsid w:val="00BF3317"/>
    <w:rsid w:val="00BF399F"/>
    <w:rsid w:val="00BF3A0B"/>
    <w:rsid w:val="00BF7140"/>
    <w:rsid w:val="00C040B3"/>
    <w:rsid w:val="00C057F6"/>
    <w:rsid w:val="00C05C59"/>
    <w:rsid w:val="00C06AB4"/>
    <w:rsid w:val="00C07FAC"/>
    <w:rsid w:val="00C11E41"/>
    <w:rsid w:val="00C121B7"/>
    <w:rsid w:val="00C1306B"/>
    <w:rsid w:val="00C14590"/>
    <w:rsid w:val="00C17B2D"/>
    <w:rsid w:val="00C21F9F"/>
    <w:rsid w:val="00C229CD"/>
    <w:rsid w:val="00C22C35"/>
    <w:rsid w:val="00C22C64"/>
    <w:rsid w:val="00C22EBE"/>
    <w:rsid w:val="00C2476B"/>
    <w:rsid w:val="00C2684F"/>
    <w:rsid w:val="00C27387"/>
    <w:rsid w:val="00C274F6"/>
    <w:rsid w:val="00C3081E"/>
    <w:rsid w:val="00C329A4"/>
    <w:rsid w:val="00C36D42"/>
    <w:rsid w:val="00C36DAE"/>
    <w:rsid w:val="00C36F46"/>
    <w:rsid w:val="00C371DC"/>
    <w:rsid w:val="00C37C31"/>
    <w:rsid w:val="00C4097F"/>
    <w:rsid w:val="00C42FB6"/>
    <w:rsid w:val="00C454B3"/>
    <w:rsid w:val="00C50619"/>
    <w:rsid w:val="00C53CC7"/>
    <w:rsid w:val="00C5498B"/>
    <w:rsid w:val="00C5563D"/>
    <w:rsid w:val="00C559C8"/>
    <w:rsid w:val="00C55F8E"/>
    <w:rsid w:val="00C62EC9"/>
    <w:rsid w:val="00C64974"/>
    <w:rsid w:val="00C64A6C"/>
    <w:rsid w:val="00C64B69"/>
    <w:rsid w:val="00C6565F"/>
    <w:rsid w:val="00C65F07"/>
    <w:rsid w:val="00C67494"/>
    <w:rsid w:val="00C705D4"/>
    <w:rsid w:val="00C71F0F"/>
    <w:rsid w:val="00C72C62"/>
    <w:rsid w:val="00C732E3"/>
    <w:rsid w:val="00C735C3"/>
    <w:rsid w:val="00C742B1"/>
    <w:rsid w:val="00C756DC"/>
    <w:rsid w:val="00C77DA5"/>
    <w:rsid w:val="00C77FB3"/>
    <w:rsid w:val="00C84FA1"/>
    <w:rsid w:val="00C8580A"/>
    <w:rsid w:val="00C85AD0"/>
    <w:rsid w:val="00C86DDC"/>
    <w:rsid w:val="00C87273"/>
    <w:rsid w:val="00C876A6"/>
    <w:rsid w:val="00C900A6"/>
    <w:rsid w:val="00C90E78"/>
    <w:rsid w:val="00C93AC4"/>
    <w:rsid w:val="00C96D8E"/>
    <w:rsid w:val="00C9799F"/>
    <w:rsid w:val="00CA0CC3"/>
    <w:rsid w:val="00CA1ACC"/>
    <w:rsid w:val="00CA302B"/>
    <w:rsid w:val="00CA40A6"/>
    <w:rsid w:val="00CA542D"/>
    <w:rsid w:val="00CA78F9"/>
    <w:rsid w:val="00CA7993"/>
    <w:rsid w:val="00CB01F4"/>
    <w:rsid w:val="00CB0393"/>
    <w:rsid w:val="00CB1257"/>
    <w:rsid w:val="00CB30B7"/>
    <w:rsid w:val="00CB3B58"/>
    <w:rsid w:val="00CB4167"/>
    <w:rsid w:val="00CB52FF"/>
    <w:rsid w:val="00CB5811"/>
    <w:rsid w:val="00CB5B66"/>
    <w:rsid w:val="00CB5EFB"/>
    <w:rsid w:val="00CB5FDD"/>
    <w:rsid w:val="00CC0A83"/>
    <w:rsid w:val="00CC0B66"/>
    <w:rsid w:val="00CC1E83"/>
    <w:rsid w:val="00CC3015"/>
    <w:rsid w:val="00CC3BF4"/>
    <w:rsid w:val="00CC575D"/>
    <w:rsid w:val="00CC6752"/>
    <w:rsid w:val="00CC6A90"/>
    <w:rsid w:val="00CC7AC7"/>
    <w:rsid w:val="00CD0070"/>
    <w:rsid w:val="00CD19F6"/>
    <w:rsid w:val="00CD2F78"/>
    <w:rsid w:val="00CD3B00"/>
    <w:rsid w:val="00CD424A"/>
    <w:rsid w:val="00CD5ADD"/>
    <w:rsid w:val="00CD5B09"/>
    <w:rsid w:val="00CD6978"/>
    <w:rsid w:val="00CD70B8"/>
    <w:rsid w:val="00CD7790"/>
    <w:rsid w:val="00CE2406"/>
    <w:rsid w:val="00CE2A50"/>
    <w:rsid w:val="00CE300E"/>
    <w:rsid w:val="00CE4025"/>
    <w:rsid w:val="00CE5038"/>
    <w:rsid w:val="00CE5902"/>
    <w:rsid w:val="00CE5968"/>
    <w:rsid w:val="00CE5D5A"/>
    <w:rsid w:val="00CE652E"/>
    <w:rsid w:val="00CF04A0"/>
    <w:rsid w:val="00CF08BA"/>
    <w:rsid w:val="00CF0AA8"/>
    <w:rsid w:val="00CF30D7"/>
    <w:rsid w:val="00CF3950"/>
    <w:rsid w:val="00CF48CE"/>
    <w:rsid w:val="00CF5581"/>
    <w:rsid w:val="00CF5C35"/>
    <w:rsid w:val="00CF7791"/>
    <w:rsid w:val="00D0339F"/>
    <w:rsid w:val="00D040CC"/>
    <w:rsid w:val="00D063AB"/>
    <w:rsid w:val="00D07149"/>
    <w:rsid w:val="00D0765D"/>
    <w:rsid w:val="00D10D16"/>
    <w:rsid w:val="00D12347"/>
    <w:rsid w:val="00D153C0"/>
    <w:rsid w:val="00D157CB"/>
    <w:rsid w:val="00D15D85"/>
    <w:rsid w:val="00D1649D"/>
    <w:rsid w:val="00D21ED4"/>
    <w:rsid w:val="00D2229B"/>
    <w:rsid w:val="00D227D1"/>
    <w:rsid w:val="00D22B71"/>
    <w:rsid w:val="00D2501B"/>
    <w:rsid w:val="00D26031"/>
    <w:rsid w:val="00D27879"/>
    <w:rsid w:val="00D32BCB"/>
    <w:rsid w:val="00D32D4D"/>
    <w:rsid w:val="00D3433A"/>
    <w:rsid w:val="00D35AE9"/>
    <w:rsid w:val="00D3627F"/>
    <w:rsid w:val="00D36DDE"/>
    <w:rsid w:val="00D377A2"/>
    <w:rsid w:val="00D37D4B"/>
    <w:rsid w:val="00D4034A"/>
    <w:rsid w:val="00D408A0"/>
    <w:rsid w:val="00D4374D"/>
    <w:rsid w:val="00D43ABD"/>
    <w:rsid w:val="00D44E83"/>
    <w:rsid w:val="00D52D9F"/>
    <w:rsid w:val="00D52DF7"/>
    <w:rsid w:val="00D5359C"/>
    <w:rsid w:val="00D5566F"/>
    <w:rsid w:val="00D56000"/>
    <w:rsid w:val="00D57935"/>
    <w:rsid w:val="00D57E4F"/>
    <w:rsid w:val="00D60CF6"/>
    <w:rsid w:val="00D62F1F"/>
    <w:rsid w:val="00D63335"/>
    <w:rsid w:val="00D63BB5"/>
    <w:rsid w:val="00D63F93"/>
    <w:rsid w:val="00D65D2A"/>
    <w:rsid w:val="00D66BC4"/>
    <w:rsid w:val="00D73370"/>
    <w:rsid w:val="00D73D26"/>
    <w:rsid w:val="00D74EA3"/>
    <w:rsid w:val="00D758D6"/>
    <w:rsid w:val="00D818DE"/>
    <w:rsid w:val="00D818EC"/>
    <w:rsid w:val="00D829F1"/>
    <w:rsid w:val="00D83B63"/>
    <w:rsid w:val="00D848CC"/>
    <w:rsid w:val="00D8508D"/>
    <w:rsid w:val="00D8709B"/>
    <w:rsid w:val="00D87161"/>
    <w:rsid w:val="00D87AAA"/>
    <w:rsid w:val="00D87B6A"/>
    <w:rsid w:val="00D900A3"/>
    <w:rsid w:val="00D90768"/>
    <w:rsid w:val="00D90965"/>
    <w:rsid w:val="00D90D98"/>
    <w:rsid w:val="00D91575"/>
    <w:rsid w:val="00D961AA"/>
    <w:rsid w:val="00D97635"/>
    <w:rsid w:val="00DA0095"/>
    <w:rsid w:val="00DA1A00"/>
    <w:rsid w:val="00DA30AE"/>
    <w:rsid w:val="00DA3D27"/>
    <w:rsid w:val="00DA40DD"/>
    <w:rsid w:val="00DA49BE"/>
    <w:rsid w:val="00DA4C7D"/>
    <w:rsid w:val="00DA580A"/>
    <w:rsid w:val="00DB08BB"/>
    <w:rsid w:val="00DB2086"/>
    <w:rsid w:val="00DB6D81"/>
    <w:rsid w:val="00DB79C1"/>
    <w:rsid w:val="00DB7ACF"/>
    <w:rsid w:val="00DC2117"/>
    <w:rsid w:val="00DC3BC2"/>
    <w:rsid w:val="00DC6B93"/>
    <w:rsid w:val="00DC741D"/>
    <w:rsid w:val="00DC7F37"/>
    <w:rsid w:val="00DD050B"/>
    <w:rsid w:val="00DD1AAD"/>
    <w:rsid w:val="00DD274F"/>
    <w:rsid w:val="00DD4649"/>
    <w:rsid w:val="00DD5562"/>
    <w:rsid w:val="00DD5762"/>
    <w:rsid w:val="00DD5B73"/>
    <w:rsid w:val="00DD5D0F"/>
    <w:rsid w:val="00DE25E0"/>
    <w:rsid w:val="00DE2697"/>
    <w:rsid w:val="00DE37EB"/>
    <w:rsid w:val="00DE3877"/>
    <w:rsid w:val="00DE3D3F"/>
    <w:rsid w:val="00DE45A8"/>
    <w:rsid w:val="00DE4762"/>
    <w:rsid w:val="00DE60BE"/>
    <w:rsid w:val="00DE728C"/>
    <w:rsid w:val="00DE799F"/>
    <w:rsid w:val="00DF1C67"/>
    <w:rsid w:val="00DF20BF"/>
    <w:rsid w:val="00DF37B4"/>
    <w:rsid w:val="00DF4045"/>
    <w:rsid w:val="00DF4358"/>
    <w:rsid w:val="00DF44A8"/>
    <w:rsid w:val="00DF4C9C"/>
    <w:rsid w:val="00DF50B1"/>
    <w:rsid w:val="00DF5EFA"/>
    <w:rsid w:val="00DF6286"/>
    <w:rsid w:val="00DF62FC"/>
    <w:rsid w:val="00DF655B"/>
    <w:rsid w:val="00E00E95"/>
    <w:rsid w:val="00E016FF"/>
    <w:rsid w:val="00E01A91"/>
    <w:rsid w:val="00E02D79"/>
    <w:rsid w:val="00E0447B"/>
    <w:rsid w:val="00E079C8"/>
    <w:rsid w:val="00E10180"/>
    <w:rsid w:val="00E10CB2"/>
    <w:rsid w:val="00E118D2"/>
    <w:rsid w:val="00E1493F"/>
    <w:rsid w:val="00E1589C"/>
    <w:rsid w:val="00E161EA"/>
    <w:rsid w:val="00E163ED"/>
    <w:rsid w:val="00E16C03"/>
    <w:rsid w:val="00E25771"/>
    <w:rsid w:val="00E26076"/>
    <w:rsid w:val="00E26137"/>
    <w:rsid w:val="00E275BD"/>
    <w:rsid w:val="00E27E32"/>
    <w:rsid w:val="00E27F2E"/>
    <w:rsid w:val="00E30C54"/>
    <w:rsid w:val="00E321C7"/>
    <w:rsid w:val="00E346BF"/>
    <w:rsid w:val="00E36D2D"/>
    <w:rsid w:val="00E41DC2"/>
    <w:rsid w:val="00E42299"/>
    <w:rsid w:val="00E46FA1"/>
    <w:rsid w:val="00E477D0"/>
    <w:rsid w:val="00E47ECE"/>
    <w:rsid w:val="00E5015F"/>
    <w:rsid w:val="00E52CB8"/>
    <w:rsid w:val="00E538F0"/>
    <w:rsid w:val="00E54862"/>
    <w:rsid w:val="00E54B8D"/>
    <w:rsid w:val="00E54CAA"/>
    <w:rsid w:val="00E55A5C"/>
    <w:rsid w:val="00E60853"/>
    <w:rsid w:val="00E609F6"/>
    <w:rsid w:val="00E61A58"/>
    <w:rsid w:val="00E6306A"/>
    <w:rsid w:val="00E657D7"/>
    <w:rsid w:val="00E66D0D"/>
    <w:rsid w:val="00E66DEC"/>
    <w:rsid w:val="00E7148A"/>
    <w:rsid w:val="00E7383D"/>
    <w:rsid w:val="00E741CD"/>
    <w:rsid w:val="00E75090"/>
    <w:rsid w:val="00E761C9"/>
    <w:rsid w:val="00E77EC5"/>
    <w:rsid w:val="00E80D1E"/>
    <w:rsid w:val="00E82BC9"/>
    <w:rsid w:val="00E82FC6"/>
    <w:rsid w:val="00E8528A"/>
    <w:rsid w:val="00E85770"/>
    <w:rsid w:val="00E86D82"/>
    <w:rsid w:val="00E9030A"/>
    <w:rsid w:val="00E920CC"/>
    <w:rsid w:val="00E9324E"/>
    <w:rsid w:val="00E95CE2"/>
    <w:rsid w:val="00E9633F"/>
    <w:rsid w:val="00E966F7"/>
    <w:rsid w:val="00E9731B"/>
    <w:rsid w:val="00EA0A4E"/>
    <w:rsid w:val="00EA1505"/>
    <w:rsid w:val="00EA228D"/>
    <w:rsid w:val="00EA24B1"/>
    <w:rsid w:val="00EA3ADB"/>
    <w:rsid w:val="00EA3BB5"/>
    <w:rsid w:val="00EA3C01"/>
    <w:rsid w:val="00EA494C"/>
    <w:rsid w:val="00EA584F"/>
    <w:rsid w:val="00EA7727"/>
    <w:rsid w:val="00EB17DD"/>
    <w:rsid w:val="00EB1DB3"/>
    <w:rsid w:val="00EB25E5"/>
    <w:rsid w:val="00EB3059"/>
    <w:rsid w:val="00EB38BC"/>
    <w:rsid w:val="00EB7B42"/>
    <w:rsid w:val="00EC05F8"/>
    <w:rsid w:val="00EC4F0C"/>
    <w:rsid w:val="00EC5275"/>
    <w:rsid w:val="00ED1B29"/>
    <w:rsid w:val="00ED1E7F"/>
    <w:rsid w:val="00ED2B49"/>
    <w:rsid w:val="00ED2E88"/>
    <w:rsid w:val="00ED2F98"/>
    <w:rsid w:val="00ED3788"/>
    <w:rsid w:val="00ED45C5"/>
    <w:rsid w:val="00ED4E35"/>
    <w:rsid w:val="00ED545B"/>
    <w:rsid w:val="00ED6F45"/>
    <w:rsid w:val="00ED716E"/>
    <w:rsid w:val="00ED7EE5"/>
    <w:rsid w:val="00EE2A85"/>
    <w:rsid w:val="00EE2CBD"/>
    <w:rsid w:val="00EE3D1A"/>
    <w:rsid w:val="00EE3E73"/>
    <w:rsid w:val="00EF0E3C"/>
    <w:rsid w:val="00EF3388"/>
    <w:rsid w:val="00EF6ACC"/>
    <w:rsid w:val="00F001B3"/>
    <w:rsid w:val="00F0066C"/>
    <w:rsid w:val="00F00E90"/>
    <w:rsid w:val="00F02C62"/>
    <w:rsid w:val="00F03099"/>
    <w:rsid w:val="00F040D7"/>
    <w:rsid w:val="00F051E6"/>
    <w:rsid w:val="00F05C34"/>
    <w:rsid w:val="00F077C1"/>
    <w:rsid w:val="00F10258"/>
    <w:rsid w:val="00F103A5"/>
    <w:rsid w:val="00F136EC"/>
    <w:rsid w:val="00F1385E"/>
    <w:rsid w:val="00F140A1"/>
    <w:rsid w:val="00F14BB7"/>
    <w:rsid w:val="00F14BC1"/>
    <w:rsid w:val="00F14F6F"/>
    <w:rsid w:val="00F179C3"/>
    <w:rsid w:val="00F22F02"/>
    <w:rsid w:val="00F24876"/>
    <w:rsid w:val="00F249C1"/>
    <w:rsid w:val="00F30122"/>
    <w:rsid w:val="00F313C7"/>
    <w:rsid w:val="00F31954"/>
    <w:rsid w:val="00F32583"/>
    <w:rsid w:val="00F35D73"/>
    <w:rsid w:val="00F41E99"/>
    <w:rsid w:val="00F42156"/>
    <w:rsid w:val="00F44328"/>
    <w:rsid w:val="00F45BE7"/>
    <w:rsid w:val="00F46AC3"/>
    <w:rsid w:val="00F51476"/>
    <w:rsid w:val="00F51FEA"/>
    <w:rsid w:val="00F52036"/>
    <w:rsid w:val="00F543A2"/>
    <w:rsid w:val="00F5691C"/>
    <w:rsid w:val="00F569C2"/>
    <w:rsid w:val="00F60A42"/>
    <w:rsid w:val="00F613C4"/>
    <w:rsid w:val="00F61419"/>
    <w:rsid w:val="00F72091"/>
    <w:rsid w:val="00F7421E"/>
    <w:rsid w:val="00F74A5E"/>
    <w:rsid w:val="00F7597B"/>
    <w:rsid w:val="00F76338"/>
    <w:rsid w:val="00F764E4"/>
    <w:rsid w:val="00F7703D"/>
    <w:rsid w:val="00F807A0"/>
    <w:rsid w:val="00F816EF"/>
    <w:rsid w:val="00F81F83"/>
    <w:rsid w:val="00F8215E"/>
    <w:rsid w:val="00F826A7"/>
    <w:rsid w:val="00F84FFC"/>
    <w:rsid w:val="00F85593"/>
    <w:rsid w:val="00F85936"/>
    <w:rsid w:val="00F905E3"/>
    <w:rsid w:val="00F90F7C"/>
    <w:rsid w:val="00F926A4"/>
    <w:rsid w:val="00F93051"/>
    <w:rsid w:val="00F94481"/>
    <w:rsid w:val="00F953F2"/>
    <w:rsid w:val="00F97F98"/>
    <w:rsid w:val="00FA24BA"/>
    <w:rsid w:val="00FA2AB8"/>
    <w:rsid w:val="00FA2F9F"/>
    <w:rsid w:val="00FA3454"/>
    <w:rsid w:val="00FA5879"/>
    <w:rsid w:val="00FA64D5"/>
    <w:rsid w:val="00FB14E4"/>
    <w:rsid w:val="00FB1D12"/>
    <w:rsid w:val="00FB534D"/>
    <w:rsid w:val="00FB6568"/>
    <w:rsid w:val="00FC0995"/>
    <w:rsid w:val="00FC1A1A"/>
    <w:rsid w:val="00FC211C"/>
    <w:rsid w:val="00FC31EA"/>
    <w:rsid w:val="00FC520F"/>
    <w:rsid w:val="00FC5A16"/>
    <w:rsid w:val="00FC618A"/>
    <w:rsid w:val="00FC6223"/>
    <w:rsid w:val="00FC7024"/>
    <w:rsid w:val="00FD0607"/>
    <w:rsid w:val="00FD116C"/>
    <w:rsid w:val="00FD1E84"/>
    <w:rsid w:val="00FD3839"/>
    <w:rsid w:val="00FE0AAD"/>
    <w:rsid w:val="00FE1711"/>
    <w:rsid w:val="00FE32D0"/>
    <w:rsid w:val="00FE388D"/>
    <w:rsid w:val="00FE71E6"/>
    <w:rsid w:val="00FF05F4"/>
    <w:rsid w:val="00FF2985"/>
    <w:rsid w:val="00FF2A04"/>
    <w:rsid w:val="00FF37E1"/>
    <w:rsid w:val="00FF4120"/>
    <w:rsid w:val="00FF6034"/>
    <w:rsid w:val="00FF73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5D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B29"/>
    <w:rPr>
      <w:lang w:val="en-GB"/>
    </w:rPr>
  </w:style>
  <w:style w:type="paragraph" w:styleId="Heading1">
    <w:name w:val="heading 1"/>
    <w:basedOn w:val="Normal"/>
    <w:link w:val="Heading1Char"/>
    <w:uiPriority w:val="9"/>
    <w:qFormat/>
    <w:rsid w:val="004E3A0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E3A0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A16"/>
    <w:pPr>
      <w:ind w:left="720"/>
      <w:contextualSpacing/>
    </w:pPr>
  </w:style>
  <w:style w:type="paragraph" w:customStyle="1" w:styleId="Textbody">
    <w:name w:val="Text body"/>
    <w:basedOn w:val="Normal"/>
    <w:rsid w:val="00123D23"/>
    <w:pPr>
      <w:widowControl w:val="0"/>
      <w:suppressAutoHyphens/>
      <w:autoSpaceDN w:val="0"/>
      <w:spacing w:after="120"/>
      <w:textAlignment w:val="baseline"/>
    </w:pPr>
    <w:rPr>
      <w:rFonts w:ascii="Times New Roman" w:eastAsia="Arial Unicode MS" w:hAnsi="Times New Roman" w:cs="Arial Unicode MS"/>
      <w:kern w:val="3"/>
      <w:lang w:eastAsia="zh-CN" w:bidi="hi-IN"/>
    </w:rPr>
  </w:style>
  <w:style w:type="paragraph" w:styleId="NormalWeb">
    <w:name w:val="Normal (Web)"/>
    <w:basedOn w:val="Normal"/>
    <w:uiPriority w:val="99"/>
    <w:semiHidden/>
    <w:unhideWhenUsed/>
    <w:rsid w:val="00123D23"/>
    <w:pPr>
      <w:spacing w:before="100" w:beforeAutospacing="1" w:after="119"/>
    </w:pPr>
    <w:rPr>
      <w:rFonts w:ascii="Times" w:eastAsiaTheme="minorHAnsi" w:hAnsi="Times" w:cs="Times New Roman"/>
      <w:sz w:val="20"/>
      <w:szCs w:val="20"/>
    </w:rPr>
  </w:style>
  <w:style w:type="character" w:styleId="CommentReference">
    <w:name w:val="annotation reference"/>
    <w:basedOn w:val="DefaultParagraphFont"/>
    <w:unhideWhenUsed/>
    <w:rsid w:val="00D87AAA"/>
    <w:rPr>
      <w:sz w:val="16"/>
      <w:szCs w:val="16"/>
    </w:rPr>
  </w:style>
  <w:style w:type="paragraph" w:styleId="CommentText">
    <w:name w:val="annotation text"/>
    <w:basedOn w:val="Normal"/>
    <w:link w:val="CommentTextChar"/>
    <w:unhideWhenUsed/>
    <w:rsid w:val="00D87AAA"/>
    <w:pPr>
      <w:suppressAutoHyphens/>
    </w:pPr>
    <w:rPr>
      <w:rFonts w:ascii="Times New Roman" w:eastAsia="Arial Unicode MS" w:hAnsi="Times New Roman" w:cs="Arial Unicode MS"/>
      <w:kern w:val="1"/>
      <w:sz w:val="20"/>
      <w:szCs w:val="20"/>
      <w:lang w:eastAsia="hi-IN" w:bidi="hi-IN"/>
    </w:rPr>
  </w:style>
  <w:style w:type="character" w:customStyle="1" w:styleId="CommentTextChar">
    <w:name w:val="Comment Text Char"/>
    <w:basedOn w:val="DefaultParagraphFont"/>
    <w:link w:val="CommentText"/>
    <w:uiPriority w:val="99"/>
    <w:rsid w:val="00D87AAA"/>
    <w:rPr>
      <w:rFonts w:ascii="Times New Roman" w:eastAsia="Arial Unicode MS" w:hAnsi="Times New Roman" w:cs="Arial Unicode MS"/>
      <w:kern w:val="1"/>
      <w:sz w:val="20"/>
      <w:szCs w:val="20"/>
      <w:lang w:val="en-GB" w:eastAsia="hi-IN" w:bidi="hi-IN"/>
    </w:rPr>
  </w:style>
  <w:style w:type="paragraph" w:styleId="BalloonText">
    <w:name w:val="Balloon Text"/>
    <w:basedOn w:val="Normal"/>
    <w:link w:val="BalloonTextChar"/>
    <w:uiPriority w:val="99"/>
    <w:semiHidden/>
    <w:unhideWhenUsed/>
    <w:rsid w:val="00D87AAA"/>
    <w:rPr>
      <w:rFonts w:ascii="Lucida Grande" w:hAnsi="Lucida Grande"/>
      <w:sz w:val="18"/>
      <w:szCs w:val="18"/>
    </w:rPr>
  </w:style>
  <w:style w:type="character" w:customStyle="1" w:styleId="BalloonTextChar">
    <w:name w:val="Balloon Text Char"/>
    <w:basedOn w:val="DefaultParagraphFont"/>
    <w:link w:val="BalloonText"/>
    <w:uiPriority w:val="99"/>
    <w:semiHidden/>
    <w:rsid w:val="00D87AAA"/>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D87AAA"/>
    <w:pPr>
      <w:suppressAutoHyphens w:val="0"/>
    </w:pPr>
    <w:rPr>
      <w:rFonts w:asciiTheme="minorHAnsi" w:eastAsiaTheme="minorEastAsia" w:hAnsiTheme="minorHAnsi" w:cstheme="minorBidi"/>
      <w:b/>
      <w:bCs/>
      <w:kern w:val="0"/>
      <w:lang w:val="en-US" w:eastAsia="en-US" w:bidi="ar-SA"/>
    </w:rPr>
  </w:style>
  <w:style w:type="character" w:customStyle="1" w:styleId="CommentSubjectChar">
    <w:name w:val="Comment Subject Char"/>
    <w:basedOn w:val="CommentTextChar"/>
    <w:link w:val="CommentSubject"/>
    <w:uiPriority w:val="99"/>
    <w:semiHidden/>
    <w:rsid w:val="00D87AAA"/>
    <w:rPr>
      <w:rFonts w:ascii="Times New Roman" w:eastAsia="Arial Unicode MS" w:hAnsi="Times New Roman" w:cs="Arial Unicode MS"/>
      <w:b/>
      <w:bCs/>
      <w:kern w:val="1"/>
      <w:sz w:val="20"/>
      <w:szCs w:val="20"/>
      <w:lang w:val="en-GB" w:eastAsia="hi-IN" w:bidi="hi-IN"/>
    </w:rPr>
  </w:style>
  <w:style w:type="paragraph" w:customStyle="1" w:styleId="Standard">
    <w:name w:val="Standard"/>
    <w:rsid w:val="00D848CC"/>
    <w:pPr>
      <w:widowControl w:val="0"/>
      <w:suppressAutoHyphens/>
      <w:autoSpaceDN w:val="0"/>
      <w:textAlignment w:val="baseline"/>
    </w:pPr>
    <w:rPr>
      <w:rFonts w:ascii="Times New Roman" w:eastAsia="Arial Unicode MS" w:hAnsi="Times New Roman" w:cs="Arial Unicode MS"/>
      <w:kern w:val="3"/>
      <w:lang w:val="en-GB" w:eastAsia="zh-CN" w:bidi="hi-IN"/>
    </w:rPr>
  </w:style>
  <w:style w:type="paragraph" w:styleId="BodyTextIndent2">
    <w:name w:val="Body Text Indent 2"/>
    <w:basedOn w:val="Normal"/>
    <w:link w:val="BodyTextIndent2Char"/>
    <w:uiPriority w:val="99"/>
    <w:rsid w:val="009008BE"/>
    <w:pPr>
      <w:spacing w:line="480" w:lineRule="auto"/>
      <w:ind w:firstLine="7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9008BE"/>
    <w:rPr>
      <w:rFonts w:ascii="Times New Roman" w:eastAsia="Times New Roman" w:hAnsi="Times New Roman" w:cs="Times New Roman"/>
    </w:rPr>
  </w:style>
  <w:style w:type="character" w:customStyle="1" w:styleId="WW8Num5z1">
    <w:name w:val="WW8Num5z1"/>
    <w:rsid w:val="006551C9"/>
    <w:rPr>
      <w:rFonts w:ascii="Courier New" w:hAnsi="Courier New"/>
    </w:rPr>
  </w:style>
  <w:style w:type="character" w:customStyle="1" w:styleId="WW8Num16z3">
    <w:name w:val="WW8Num16z3"/>
    <w:rsid w:val="007B7DC5"/>
    <w:rPr>
      <w:rFonts w:ascii="Wingdings 2" w:hAnsi="Wingdings 2" w:cs="OpenSymbol"/>
    </w:rPr>
  </w:style>
  <w:style w:type="character" w:customStyle="1" w:styleId="singlehighlightclass">
    <w:name w:val="single_highlight_class"/>
    <w:basedOn w:val="DefaultParagraphFont"/>
    <w:rsid w:val="00EA494C"/>
  </w:style>
  <w:style w:type="character" w:styleId="Hyperlink">
    <w:name w:val="Hyperlink"/>
    <w:rsid w:val="00106CA1"/>
    <w:rPr>
      <w:color w:val="0000FF"/>
      <w:u w:val="single"/>
    </w:rPr>
  </w:style>
  <w:style w:type="paragraph" w:customStyle="1" w:styleId="Pa01">
    <w:name w:val="Pa0+1"/>
    <w:basedOn w:val="Normal"/>
    <w:next w:val="Normal"/>
    <w:uiPriority w:val="99"/>
    <w:rsid w:val="00FC6223"/>
    <w:pPr>
      <w:autoSpaceDE w:val="0"/>
      <w:autoSpaceDN w:val="0"/>
      <w:adjustRightInd w:val="0"/>
      <w:spacing w:line="221" w:lineRule="atLeast"/>
    </w:pPr>
    <w:rPr>
      <w:rFonts w:ascii="Akzidenz-Grotesk Std Bold" w:eastAsiaTheme="minorHAnsi" w:hAnsi="Akzidenz-Grotesk Std Bold"/>
    </w:rPr>
  </w:style>
  <w:style w:type="character" w:customStyle="1" w:styleId="A41">
    <w:name w:val="A4+1"/>
    <w:uiPriority w:val="99"/>
    <w:rsid w:val="00FC6223"/>
    <w:rPr>
      <w:rFonts w:cs="Akzidenz-Grotesk Std Bold"/>
      <w:b/>
      <w:bCs/>
      <w:color w:val="000000"/>
      <w:sz w:val="38"/>
      <w:szCs w:val="38"/>
    </w:rPr>
  </w:style>
  <w:style w:type="character" w:customStyle="1" w:styleId="A5">
    <w:name w:val="A5"/>
    <w:uiPriority w:val="99"/>
    <w:rsid w:val="00FC6223"/>
    <w:rPr>
      <w:rFonts w:ascii="Akzidenz-Grotesk Std Med" w:hAnsi="Akzidenz-Grotesk Std Med" w:cs="Akzidenz-Grotesk Std Med"/>
      <w:color w:val="000000"/>
      <w:sz w:val="32"/>
      <w:szCs w:val="32"/>
    </w:rPr>
  </w:style>
  <w:style w:type="character" w:styleId="FollowedHyperlink">
    <w:name w:val="FollowedHyperlink"/>
    <w:basedOn w:val="DefaultParagraphFont"/>
    <w:uiPriority w:val="99"/>
    <w:semiHidden/>
    <w:unhideWhenUsed/>
    <w:rsid w:val="00FC6223"/>
    <w:rPr>
      <w:color w:val="800080" w:themeColor="followedHyperlink"/>
      <w:u w:val="single"/>
    </w:rPr>
  </w:style>
  <w:style w:type="paragraph" w:styleId="Footer">
    <w:name w:val="footer"/>
    <w:basedOn w:val="Normal"/>
    <w:link w:val="FooterChar"/>
    <w:uiPriority w:val="99"/>
    <w:unhideWhenUsed/>
    <w:rsid w:val="008B4D1E"/>
    <w:pPr>
      <w:tabs>
        <w:tab w:val="center" w:pos="4320"/>
        <w:tab w:val="right" w:pos="8640"/>
      </w:tabs>
    </w:pPr>
  </w:style>
  <w:style w:type="character" w:customStyle="1" w:styleId="FooterChar">
    <w:name w:val="Footer Char"/>
    <w:basedOn w:val="DefaultParagraphFont"/>
    <w:link w:val="Footer"/>
    <w:uiPriority w:val="99"/>
    <w:rsid w:val="008B4D1E"/>
  </w:style>
  <w:style w:type="character" w:styleId="PageNumber">
    <w:name w:val="page number"/>
    <w:basedOn w:val="DefaultParagraphFont"/>
    <w:uiPriority w:val="99"/>
    <w:semiHidden/>
    <w:unhideWhenUsed/>
    <w:rsid w:val="008B4D1E"/>
  </w:style>
  <w:style w:type="paragraph" w:styleId="Header">
    <w:name w:val="header"/>
    <w:basedOn w:val="Normal"/>
    <w:link w:val="HeaderChar"/>
    <w:uiPriority w:val="99"/>
    <w:unhideWhenUsed/>
    <w:rsid w:val="00722D85"/>
    <w:pPr>
      <w:tabs>
        <w:tab w:val="center" w:pos="4320"/>
        <w:tab w:val="right" w:pos="8640"/>
      </w:tabs>
    </w:pPr>
  </w:style>
  <w:style w:type="character" w:customStyle="1" w:styleId="HeaderChar">
    <w:name w:val="Header Char"/>
    <w:basedOn w:val="DefaultParagraphFont"/>
    <w:link w:val="Header"/>
    <w:uiPriority w:val="99"/>
    <w:rsid w:val="00722D85"/>
  </w:style>
  <w:style w:type="paragraph" w:styleId="Revision">
    <w:name w:val="Revision"/>
    <w:hidden/>
    <w:uiPriority w:val="99"/>
    <w:semiHidden/>
    <w:rsid w:val="00D5566F"/>
  </w:style>
  <w:style w:type="paragraph" w:styleId="Title">
    <w:name w:val="Title"/>
    <w:basedOn w:val="Normal"/>
    <w:next w:val="Subtitle"/>
    <w:link w:val="TitleChar"/>
    <w:qFormat/>
    <w:rsid w:val="008E1C90"/>
    <w:pPr>
      <w:jc w:val="center"/>
    </w:pPr>
    <w:rPr>
      <w:rFonts w:ascii="Times" w:eastAsia="Times" w:hAnsi="Times" w:cs="Times New Roman"/>
      <w:b/>
      <w:bCs/>
      <w:i/>
      <w:kern w:val="1"/>
      <w:sz w:val="36"/>
      <w:szCs w:val="20"/>
      <w:u w:val="single"/>
      <w:lang w:eastAsia="ar-SA"/>
    </w:rPr>
  </w:style>
  <w:style w:type="character" w:customStyle="1" w:styleId="TitleChar">
    <w:name w:val="Title Char"/>
    <w:basedOn w:val="DefaultParagraphFont"/>
    <w:link w:val="Title"/>
    <w:rsid w:val="008E1C90"/>
    <w:rPr>
      <w:rFonts w:ascii="Times" w:eastAsia="Times" w:hAnsi="Times" w:cs="Times New Roman"/>
      <w:b/>
      <w:bCs/>
      <w:i/>
      <w:kern w:val="1"/>
      <w:sz w:val="36"/>
      <w:szCs w:val="20"/>
      <w:u w:val="single"/>
      <w:lang w:eastAsia="ar-SA"/>
    </w:rPr>
  </w:style>
  <w:style w:type="paragraph" w:styleId="Subtitle">
    <w:name w:val="Subtitle"/>
    <w:basedOn w:val="Normal"/>
    <w:next w:val="Normal"/>
    <w:link w:val="SubtitleChar"/>
    <w:uiPriority w:val="11"/>
    <w:qFormat/>
    <w:rsid w:val="008E1C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E1C90"/>
    <w:rPr>
      <w:rFonts w:asciiTheme="majorHAnsi" w:eastAsiaTheme="majorEastAsia" w:hAnsiTheme="majorHAnsi" w:cstheme="majorBidi"/>
      <w:i/>
      <w:iCs/>
      <w:color w:val="4F81BD" w:themeColor="accent1"/>
      <w:spacing w:val="15"/>
    </w:rPr>
  </w:style>
  <w:style w:type="paragraph" w:styleId="FootnoteText">
    <w:name w:val="footnote text"/>
    <w:basedOn w:val="Normal"/>
    <w:link w:val="FootnoteTextChar"/>
    <w:uiPriority w:val="99"/>
    <w:semiHidden/>
    <w:unhideWhenUsed/>
    <w:rsid w:val="00406415"/>
    <w:rPr>
      <w:sz w:val="20"/>
      <w:szCs w:val="20"/>
    </w:rPr>
  </w:style>
  <w:style w:type="character" w:customStyle="1" w:styleId="FootnoteTextChar">
    <w:name w:val="Footnote Text Char"/>
    <w:basedOn w:val="DefaultParagraphFont"/>
    <w:link w:val="FootnoteText"/>
    <w:uiPriority w:val="99"/>
    <w:semiHidden/>
    <w:rsid w:val="00406415"/>
    <w:rPr>
      <w:sz w:val="20"/>
      <w:szCs w:val="20"/>
      <w:lang w:val="en-GB"/>
    </w:rPr>
  </w:style>
  <w:style w:type="character" w:styleId="FootnoteReference">
    <w:name w:val="footnote reference"/>
    <w:basedOn w:val="DefaultParagraphFont"/>
    <w:uiPriority w:val="99"/>
    <w:semiHidden/>
    <w:unhideWhenUsed/>
    <w:rsid w:val="00406415"/>
    <w:rPr>
      <w:vertAlign w:val="superscript"/>
    </w:rPr>
  </w:style>
  <w:style w:type="character" w:customStyle="1" w:styleId="Heading1Char">
    <w:name w:val="Heading 1 Char"/>
    <w:basedOn w:val="DefaultParagraphFont"/>
    <w:link w:val="Heading1"/>
    <w:uiPriority w:val="9"/>
    <w:rsid w:val="004E3A08"/>
    <w:rPr>
      <w:rFonts w:ascii="Times" w:hAnsi="Times"/>
      <w:b/>
      <w:bCs/>
      <w:kern w:val="36"/>
      <w:sz w:val="48"/>
      <w:szCs w:val="48"/>
      <w:lang w:val="en-GB"/>
    </w:rPr>
  </w:style>
  <w:style w:type="character" w:customStyle="1" w:styleId="Heading2Char">
    <w:name w:val="Heading 2 Char"/>
    <w:basedOn w:val="DefaultParagraphFont"/>
    <w:link w:val="Heading2"/>
    <w:uiPriority w:val="9"/>
    <w:rsid w:val="004E3A08"/>
    <w:rPr>
      <w:rFonts w:ascii="Times" w:hAnsi="Times"/>
      <w:b/>
      <w:bCs/>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8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ckinseyonsociety.com/downloads/reports/Education/Worlds_School_Systems_Final.pdf" TargetMode="External"/><Relationship Id="rId18" Type="http://schemas.openxmlformats.org/officeDocument/2006/relationships/hyperlink" Target="http://www.beds.ac.uk/__data/assets/pdf_file/0003/83433/finnishmodel-110713-finland-v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oucea.education.ox.ac.uk/wordpress/wp-content/uploads/2011/10/Policy-Effects-of-PISA-OUCEA.pdf" TargetMode="External"/><Relationship Id="rId17" Type="http://schemas.openxmlformats.org/officeDocument/2006/relationships/hyperlink" Target="http://dx.doi.org/10.1787/9789264201118-en" TargetMode="External"/><Relationship Id="rId2" Type="http://schemas.openxmlformats.org/officeDocument/2006/relationships/customXml" Target="../customXml/item2.xml"/><Relationship Id="rId16" Type="http://schemas.openxmlformats.org/officeDocument/2006/relationships/hyperlink" Target="http://dx.doi.org/10.1787/9789264091450-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chung@smuc.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ckinseyonsociety.com/how-the-worlds-best-performing-schools-come-out-on-to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ewteachers.tes.co.uk/news/masters-pieces-gove-pulls-funding/456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bjectassociation.org.uk/newsitem.aspx?id=286"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newteachers.tes.co.uk/news/masters-pieces-gove-pulls-funding/45632" TargetMode="External"/><Relationship Id="rId2" Type="http://schemas.openxmlformats.org/officeDocument/2006/relationships/hyperlink" Target="http://webarchive.nationalarchives.gov.uk/20110316231736/http://tda.gov.uk/teacher/masters-in-teaching-and-learning/funding-change.aspx" TargetMode="External"/><Relationship Id="rId1" Type="http://schemas.openxmlformats.org/officeDocument/2006/relationships/hyperlink" Target="https://www.tes.com/article.aspx?storycode=6000649" TargetMode="External"/><Relationship Id="rId4" Type="http://schemas.openxmlformats.org/officeDocument/2006/relationships/hyperlink" Target="http://www.subjectassociation.org.uk/newsitem.aspx?id=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52FD96DFDAF4CB60FCB1051EC2D1A00AC8D9A6BFD4CB1469DCD3773A200EE24" ma:contentTypeVersion="0" ma:contentTypeDescription="Create a new document." ma:contentTypeScope="" ma:versionID="9ff350f7f126618c25bf37364343e21e">
  <xsd:schema xmlns:xsd="http://www.w3.org/2001/XMLSchema" xmlns:p="http://schemas.microsoft.com/office/2006/metadata/properties" targetNamespace="http://schemas.microsoft.com/office/2006/metadata/properties" ma:root="true" ma:fieldsID="da94526a4af143f533b8533062583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2203-087D-47D4-92F5-AE571641278E}">
  <ds:schemaRefs>
    <ds:schemaRef ds:uri="http://schemas.microsoft.com/sharepoint/v3/contenttype/forms"/>
  </ds:schemaRefs>
</ds:datastoreItem>
</file>

<file path=customXml/itemProps2.xml><?xml version="1.0" encoding="utf-8"?>
<ds:datastoreItem xmlns:ds="http://schemas.openxmlformats.org/officeDocument/2006/customXml" ds:itemID="{A04BBDF6-7314-49DE-85D8-C99DAC44DD7B}">
  <ds:schemaRefs>
    <ds:schemaRef ds:uri="http://schemas.microsoft.com/office/2006/metadata/properties"/>
  </ds:schemaRefs>
</ds:datastoreItem>
</file>

<file path=customXml/itemProps3.xml><?xml version="1.0" encoding="utf-8"?>
<ds:datastoreItem xmlns:ds="http://schemas.openxmlformats.org/officeDocument/2006/customXml" ds:itemID="{2C568D7E-AA65-4CA9-BC03-DB7F819D4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477106-BCA3-49FB-BE8F-352F667D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7251</Words>
  <Characters>41336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2016-04-27T10:25:00Z</dcterms:created>
  <dcterms:modified xsi:type="dcterms:W3CDTF">2016-04-27T10:25:00Z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0x0101000BA52FD96DFDAF4CB60FCB1051EC2D1A00AC8D9A6BFD4CB1469DCD3773A200EE24</vt:lpwstr>
  </property>
</Properties>
</file>