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7D431" w14:textId="77777777" w:rsidR="00EA67DF" w:rsidRDefault="00EA67DF" w:rsidP="00EA67DF">
      <w:pPr>
        <w:spacing w:line="480" w:lineRule="auto"/>
        <w:jc w:val="both"/>
        <w:rPr>
          <w:b/>
          <w:bCs/>
          <w:lang w:val="en-US"/>
        </w:rPr>
      </w:pPr>
      <w:bookmarkStart w:id="0" w:name="_GoBack"/>
      <w:bookmarkEnd w:id="0"/>
    </w:p>
    <w:p w14:paraId="4DC461EC" w14:textId="77777777" w:rsidR="00EA67DF" w:rsidRDefault="00EA67DF" w:rsidP="00EA67DF">
      <w:pPr>
        <w:spacing w:line="480" w:lineRule="auto"/>
        <w:jc w:val="both"/>
        <w:rPr>
          <w:b/>
          <w:bCs/>
          <w:lang w:val="en-US"/>
        </w:rPr>
      </w:pPr>
      <w:r>
        <w:rPr>
          <w:b/>
          <w:bCs/>
          <w:lang w:val="en-US"/>
        </w:rPr>
        <w:t>Amy Price</w:t>
      </w:r>
    </w:p>
    <w:p w14:paraId="01ED79F9" w14:textId="77777777" w:rsidR="00EA67DF" w:rsidRDefault="00EA67DF" w:rsidP="00EA67DF">
      <w:pPr>
        <w:spacing w:line="480" w:lineRule="auto"/>
        <w:jc w:val="both"/>
        <w:rPr>
          <w:b/>
          <w:bCs/>
          <w:lang w:val="en-US"/>
        </w:rPr>
      </w:pPr>
      <w:r>
        <w:rPr>
          <w:b/>
          <w:bCs/>
          <w:lang w:val="en-US"/>
        </w:rPr>
        <w:t>St. Mary’s University, Twickenham</w:t>
      </w:r>
    </w:p>
    <w:p w14:paraId="0E6CF3C4" w14:textId="77777777" w:rsidR="00EA67DF" w:rsidRDefault="00743BA8" w:rsidP="00EA67DF">
      <w:pPr>
        <w:spacing w:line="480" w:lineRule="auto"/>
        <w:jc w:val="both"/>
        <w:rPr>
          <w:b/>
          <w:bCs/>
          <w:lang w:val="en-US"/>
        </w:rPr>
      </w:pPr>
      <w:hyperlink r:id="rId7" w:history="1">
        <w:r w:rsidR="00EA67DF" w:rsidRPr="003B5E0B">
          <w:rPr>
            <w:rStyle w:val="Hyperlink"/>
            <w:b/>
            <w:bCs/>
            <w:lang w:val="en-US"/>
          </w:rPr>
          <w:t>amy.price@stmarys.ac.uk</w:t>
        </w:r>
      </w:hyperlink>
      <w:r w:rsidR="00EA67DF">
        <w:rPr>
          <w:b/>
          <w:bCs/>
          <w:lang w:val="en-US"/>
        </w:rPr>
        <w:t xml:space="preserve"> </w:t>
      </w:r>
    </w:p>
    <w:p w14:paraId="04D0636D" w14:textId="77777777" w:rsidR="00EA67DF" w:rsidRPr="00E831F0" w:rsidRDefault="00EA67DF" w:rsidP="00EA67DF">
      <w:pPr>
        <w:spacing w:line="480" w:lineRule="auto"/>
        <w:jc w:val="both"/>
        <w:rPr>
          <w:rFonts w:ascii="Calibri" w:hAnsi="Calibri"/>
        </w:rPr>
      </w:pPr>
    </w:p>
    <w:p w14:paraId="49830013" w14:textId="77777777" w:rsidR="00EA67DF" w:rsidRPr="002D4CE2" w:rsidRDefault="00EA67DF" w:rsidP="00EA67DF">
      <w:pPr>
        <w:spacing w:line="480" w:lineRule="auto"/>
        <w:jc w:val="both"/>
        <w:rPr>
          <w:b/>
          <w:sz w:val="22"/>
          <w:szCs w:val="22"/>
          <w:u w:val="single"/>
        </w:rPr>
      </w:pPr>
      <w:r w:rsidRPr="00E04995">
        <w:rPr>
          <w:b/>
          <w:sz w:val="22"/>
          <w:szCs w:val="22"/>
          <w:u w:val="single"/>
        </w:rPr>
        <w:t>Introduction</w:t>
      </w:r>
    </w:p>
    <w:p w14:paraId="41A6AA93" w14:textId="76123221" w:rsidR="00EA67DF" w:rsidRDefault="00EA67DF" w:rsidP="00EA67DF">
      <w:pPr>
        <w:widowControl w:val="0"/>
        <w:autoSpaceDE w:val="0"/>
        <w:autoSpaceDN w:val="0"/>
        <w:adjustRightInd w:val="0"/>
        <w:spacing w:line="480" w:lineRule="auto"/>
        <w:jc w:val="both"/>
        <w:rPr>
          <w:bCs/>
          <w:sz w:val="22"/>
          <w:szCs w:val="22"/>
          <w:lang w:val="en-US"/>
        </w:rPr>
      </w:pPr>
      <w:r>
        <w:rPr>
          <w:bCs/>
          <w:i/>
          <w:sz w:val="22"/>
          <w:szCs w:val="22"/>
          <w:lang w:val="en-US"/>
        </w:rPr>
        <w:t>‘</w:t>
      </w:r>
      <w:r w:rsidRPr="009D77DC">
        <w:rPr>
          <w:bCs/>
          <w:i/>
          <w:sz w:val="22"/>
          <w:szCs w:val="22"/>
          <w:lang w:val="en-US"/>
        </w:rPr>
        <w:t>How do you get someone to learn something long, hard, and complex and yet enjoy it?</w:t>
      </w:r>
      <w:r>
        <w:rPr>
          <w:bCs/>
          <w:i/>
          <w:sz w:val="22"/>
          <w:szCs w:val="22"/>
          <w:lang w:val="en-US"/>
        </w:rPr>
        <w:t>’</w:t>
      </w:r>
      <w:r w:rsidRPr="009D77DC">
        <w:rPr>
          <w:bCs/>
          <w:sz w:val="22"/>
          <w:szCs w:val="22"/>
          <w:lang w:val="en-US"/>
        </w:rPr>
        <w:t xml:space="preserve"> (Gee, 2007</w:t>
      </w:r>
      <w:r>
        <w:rPr>
          <w:bCs/>
          <w:sz w:val="22"/>
          <w:szCs w:val="22"/>
          <w:lang w:val="en-US"/>
        </w:rPr>
        <w:t>, pg. 2</w:t>
      </w:r>
      <w:r w:rsidRPr="009D77DC">
        <w:rPr>
          <w:bCs/>
          <w:sz w:val="22"/>
          <w:szCs w:val="22"/>
          <w:lang w:val="en-US"/>
        </w:rPr>
        <w:t>). This is the question that digital video game developers must consider, so that gamers are motivated to persevere through the game, and achieve the game’s overall goal.  McGonnigal’</w:t>
      </w:r>
      <w:r w:rsidR="002F2A65">
        <w:rPr>
          <w:bCs/>
          <w:sz w:val="22"/>
          <w:szCs w:val="22"/>
          <w:lang w:val="en-US"/>
        </w:rPr>
        <w:t>s (2011</w:t>
      </w:r>
      <w:r>
        <w:rPr>
          <w:bCs/>
          <w:sz w:val="22"/>
          <w:szCs w:val="22"/>
          <w:lang w:val="en-US"/>
        </w:rPr>
        <w:t xml:space="preserve">) statistics, which claim </w:t>
      </w:r>
      <w:r w:rsidRPr="009D77DC">
        <w:rPr>
          <w:sz w:val="22"/>
          <w:szCs w:val="22"/>
          <w:lang w:val="en-US"/>
        </w:rPr>
        <w:t>half a billion people worldwide play digital video games for at least an hour per day</w:t>
      </w:r>
      <w:r>
        <w:rPr>
          <w:bCs/>
          <w:sz w:val="22"/>
          <w:szCs w:val="22"/>
          <w:lang w:val="en-US"/>
        </w:rPr>
        <w:t>, suggest i</w:t>
      </w:r>
      <w:r w:rsidRPr="009D77DC">
        <w:rPr>
          <w:bCs/>
          <w:sz w:val="22"/>
          <w:szCs w:val="22"/>
          <w:lang w:val="en-US"/>
        </w:rPr>
        <w:t>t is evident</w:t>
      </w:r>
      <w:r>
        <w:rPr>
          <w:bCs/>
          <w:sz w:val="22"/>
          <w:szCs w:val="22"/>
          <w:lang w:val="en-US"/>
        </w:rPr>
        <w:t xml:space="preserve"> that </w:t>
      </w:r>
      <w:r w:rsidRPr="009D77DC">
        <w:rPr>
          <w:bCs/>
          <w:sz w:val="22"/>
          <w:szCs w:val="22"/>
          <w:lang w:val="en-US"/>
        </w:rPr>
        <w:t>digital video game developers are successful at enabling gamers to feel a</w:t>
      </w:r>
      <w:r>
        <w:rPr>
          <w:bCs/>
          <w:sz w:val="22"/>
          <w:szCs w:val="22"/>
          <w:lang w:val="en-US"/>
        </w:rPr>
        <w:t xml:space="preserve"> strong</w:t>
      </w:r>
      <w:r w:rsidRPr="009D77DC">
        <w:rPr>
          <w:bCs/>
          <w:sz w:val="22"/>
          <w:szCs w:val="22"/>
          <w:lang w:val="en-US"/>
        </w:rPr>
        <w:t xml:space="preserve"> desire to </w:t>
      </w:r>
      <w:r>
        <w:rPr>
          <w:bCs/>
          <w:sz w:val="22"/>
          <w:szCs w:val="22"/>
          <w:lang w:val="en-US"/>
        </w:rPr>
        <w:t>engage in digital video games. The same question should also be asked of those at the forefront of driving young people’s involvement in physical education and physical activity, if learners are to feel motivated to be active for life, which is the premise of the key stage th</w:t>
      </w:r>
      <w:r w:rsidR="003518DD">
        <w:rPr>
          <w:bCs/>
          <w:sz w:val="22"/>
          <w:szCs w:val="22"/>
          <w:lang w:val="en-US"/>
        </w:rPr>
        <w:t xml:space="preserve">ree and </w:t>
      </w:r>
      <w:r>
        <w:rPr>
          <w:bCs/>
          <w:sz w:val="22"/>
          <w:szCs w:val="22"/>
          <w:lang w:val="en-US"/>
        </w:rPr>
        <w:t>four national curriculum (2014) for physical education.</w:t>
      </w:r>
    </w:p>
    <w:p w14:paraId="31EAA2CB" w14:textId="77777777" w:rsidR="00EA67DF" w:rsidRDefault="00EA67DF" w:rsidP="00EA67DF">
      <w:pPr>
        <w:widowControl w:val="0"/>
        <w:autoSpaceDE w:val="0"/>
        <w:autoSpaceDN w:val="0"/>
        <w:adjustRightInd w:val="0"/>
        <w:spacing w:line="480" w:lineRule="auto"/>
        <w:jc w:val="both"/>
        <w:rPr>
          <w:bCs/>
          <w:sz w:val="22"/>
          <w:szCs w:val="22"/>
          <w:lang w:val="en-US"/>
        </w:rPr>
      </w:pPr>
    </w:p>
    <w:p w14:paraId="117413F9" w14:textId="77777777" w:rsidR="00EA67DF" w:rsidRDefault="00EA67DF" w:rsidP="00EA67DF">
      <w:pPr>
        <w:widowControl w:val="0"/>
        <w:autoSpaceDE w:val="0"/>
        <w:autoSpaceDN w:val="0"/>
        <w:adjustRightInd w:val="0"/>
        <w:spacing w:line="480" w:lineRule="auto"/>
        <w:jc w:val="both"/>
        <w:rPr>
          <w:bCs/>
          <w:sz w:val="22"/>
          <w:szCs w:val="22"/>
          <w:lang w:val="en-US"/>
        </w:rPr>
      </w:pPr>
      <w:r>
        <w:rPr>
          <w:bCs/>
          <w:sz w:val="22"/>
          <w:szCs w:val="22"/>
          <w:lang w:val="en-US"/>
        </w:rPr>
        <w:t>This case study investigates how one physical education practitioner integrates design features of digital video games into invasion games pedagogy, so that students are motivated to play and learn games.</w:t>
      </w:r>
    </w:p>
    <w:p w14:paraId="2D2F0336" w14:textId="77777777" w:rsidR="00EA67DF" w:rsidRDefault="00EA67DF" w:rsidP="00EA67DF">
      <w:pPr>
        <w:widowControl w:val="0"/>
        <w:autoSpaceDE w:val="0"/>
        <w:autoSpaceDN w:val="0"/>
        <w:adjustRightInd w:val="0"/>
        <w:spacing w:line="480" w:lineRule="auto"/>
        <w:jc w:val="both"/>
        <w:rPr>
          <w:bCs/>
          <w:sz w:val="22"/>
          <w:szCs w:val="22"/>
          <w:lang w:val="en-US"/>
        </w:rPr>
      </w:pPr>
    </w:p>
    <w:p w14:paraId="7F9AFA97" w14:textId="77777777" w:rsidR="00EA67DF" w:rsidRPr="002D4CE2" w:rsidRDefault="00EA67DF" w:rsidP="00EA67DF">
      <w:pPr>
        <w:widowControl w:val="0"/>
        <w:autoSpaceDE w:val="0"/>
        <w:autoSpaceDN w:val="0"/>
        <w:adjustRightInd w:val="0"/>
        <w:spacing w:line="480" w:lineRule="auto"/>
        <w:jc w:val="both"/>
        <w:rPr>
          <w:b/>
          <w:bCs/>
          <w:sz w:val="22"/>
          <w:szCs w:val="22"/>
          <w:u w:val="single"/>
          <w:lang w:val="en-US"/>
        </w:rPr>
      </w:pPr>
      <w:r>
        <w:rPr>
          <w:b/>
          <w:bCs/>
          <w:sz w:val="22"/>
          <w:szCs w:val="22"/>
          <w:u w:val="single"/>
          <w:lang w:val="en-US"/>
        </w:rPr>
        <w:t>Games: Long, hard and complex?</w:t>
      </w:r>
    </w:p>
    <w:p w14:paraId="778C7A19" w14:textId="1A543AED" w:rsidR="00EA67DF" w:rsidRDefault="00EA67DF" w:rsidP="00EA67DF">
      <w:pPr>
        <w:widowControl w:val="0"/>
        <w:autoSpaceDE w:val="0"/>
        <w:autoSpaceDN w:val="0"/>
        <w:adjustRightInd w:val="0"/>
        <w:spacing w:line="480" w:lineRule="auto"/>
        <w:jc w:val="both"/>
        <w:rPr>
          <w:bCs/>
          <w:sz w:val="22"/>
          <w:szCs w:val="22"/>
          <w:lang w:val="en-US"/>
        </w:rPr>
      </w:pPr>
      <w:r>
        <w:rPr>
          <w:bCs/>
          <w:sz w:val="22"/>
          <w:szCs w:val="22"/>
          <w:lang w:val="en-US"/>
        </w:rPr>
        <w:t xml:space="preserve">Indirect instructional models for physical education and sports coaching, such as Teaching Games for </w:t>
      </w:r>
      <w:r w:rsidR="003518DD">
        <w:rPr>
          <w:bCs/>
          <w:sz w:val="22"/>
          <w:szCs w:val="22"/>
          <w:lang w:val="en-US"/>
        </w:rPr>
        <w:t>Understanding (TGfU) (Bunker &amp;</w:t>
      </w:r>
      <w:r>
        <w:rPr>
          <w:bCs/>
          <w:sz w:val="22"/>
          <w:szCs w:val="22"/>
          <w:lang w:val="en-US"/>
        </w:rPr>
        <w:t xml:space="preserve"> Thorpe, 1982), the Tactical Games </w:t>
      </w:r>
      <w:r w:rsidR="003518DD">
        <w:rPr>
          <w:bCs/>
          <w:sz w:val="22"/>
          <w:szCs w:val="22"/>
          <w:lang w:val="en-US"/>
        </w:rPr>
        <w:t>Model (Griffin, Oslin &amp;</w:t>
      </w:r>
      <w:r>
        <w:rPr>
          <w:bCs/>
          <w:sz w:val="22"/>
          <w:szCs w:val="22"/>
          <w:lang w:val="en-US"/>
        </w:rPr>
        <w:t xml:space="preserve"> Mitchell, 1997), and Games Sense (Den Duyn, 1997) adopt a game centered approach to learning, which suggest that technical, tactical, physical and social development of the learner is interdependent and interconnected.  However, </w:t>
      </w:r>
      <w:r>
        <w:rPr>
          <w:bCs/>
          <w:sz w:val="22"/>
          <w:szCs w:val="22"/>
          <w:lang w:val="en-US"/>
        </w:rPr>
        <w:lastRenderedPageBreak/>
        <w:t xml:space="preserve">more importantly, all learning occurs within the context to which it is applied; within the game itself.  This approach to learning is known as situated learning (Lave, 1988), which values the opportunity to learn through application, and experiences of that application. With reference to Bloom’s (1956) taxonomy for learning within a game centered approach to teaching invasion games, </w:t>
      </w:r>
      <w:r w:rsidRPr="009B4E3E">
        <w:rPr>
          <w:bCs/>
          <w:sz w:val="22"/>
          <w:szCs w:val="22"/>
          <w:lang w:val="en-US"/>
        </w:rPr>
        <w:t>a situated learning perspective also enables learners to analyse, synthesise and evaluate application of skills within a game situation, whilst the game is happening.</w:t>
      </w:r>
      <w:r>
        <w:rPr>
          <w:bCs/>
          <w:sz w:val="22"/>
          <w:szCs w:val="22"/>
          <w:lang w:val="en-US"/>
        </w:rPr>
        <w:t xml:space="preserve">  This creates a learning environment that is authentic for a games player, because skills, decisions and reactions are performed quickly, and in relation to the actions of other players in the game. </w:t>
      </w:r>
    </w:p>
    <w:p w14:paraId="63350C0A" w14:textId="77777777" w:rsidR="00EA67DF" w:rsidRDefault="00EA67DF" w:rsidP="00EA67DF">
      <w:pPr>
        <w:widowControl w:val="0"/>
        <w:autoSpaceDE w:val="0"/>
        <w:autoSpaceDN w:val="0"/>
        <w:adjustRightInd w:val="0"/>
        <w:spacing w:line="480" w:lineRule="auto"/>
        <w:jc w:val="both"/>
        <w:rPr>
          <w:bCs/>
          <w:sz w:val="22"/>
          <w:szCs w:val="22"/>
          <w:lang w:val="en-US"/>
        </w:rPr>
      </w:pPr>
    </w:p>
    <w:p w14:paraId="051BB853" w14:textId="453758E7" w:rsidR="00EA67DF" w:rsidRDefault="00EA67DF" w:rsidP="00EA67DF">
      <w:pPr>
        <w:widowControl w:val="0"/>
        <w:autoSpaceDE w:val="0"/>
        <w:autoSpaceDN w:val="0"/>
        <w:adjustRightInd w:val="0"/>
        <w:spacing w:line="480" w:lineRule="auto"/>
        <w:jc w:val="both"/>
        <w:rPr>
          <w:bCs/>
          <w:sz w:val="22"/>
          <w:szCs w:val="22"/>
          <w:lang w:val="en-US"/>
        </w:rPr>
      </w:pPr>
      <w:r>
        <w:rPr>
          <w:bCs/>
          <w:sz w:val="22"/>
          <w:szCs w:val="22"/>
          <w:lang w:val="en-US"/>
        </w:rPr>
        <w:t>The success of the game player is therefore bound by making quick and meaningful actions, based upon the consequences of the actions from the other players in the game. Using Bloom’</w:t>
      </w:r>
      <w:r w:rsidR="003518DD">
        <w:rPr>
          <w:bCs/>
          <w:sz w:val="22"/>
          <w:szCs w:val="22"/>
          <w:lang w:val="en-US"/>
        </w:rPr>
        <w:t>s Revised Taxonomy (Anderson &amp;</w:t>
      </w:r>
      <w:r>
        <w:rPr>
          <w:bCs/>
          <w:sz w:val="22"/>
          <w:szCs w:val="22"/>
          <w:lang w:val="en-US"/>
        </w:rPr>
        <w:t xml:space="preserve"> Krathwohl, 2001), the greater challenge is to perform an action that will create (or help the team to create) a solution to the current game problem, which would consequently pose a problem for the opponent.  This idea of meaningful action is reminiscent of Schon’s (1991), reflection-in-action which</w:t>
      </w:r>
      <w:r w:rsidRPr="00CF3261">
        <w:rPr>
          <w:bCs/>
          <w:sz w:val="22"/>
          <w:szCs w:val="22"/>
          <w:lang w:val="en-US"/>
        </w:rPr>
        <w:t xml:space="preserve"> suggests that by reflecting in action, one is able to use previous and present game experiences to think about what action to take next in the game, and to take this act straight away.</w:t>
      </w:r>
      <w:r>
        <w:rPr>
          <w:bCs/>
          <w:sz w:val="22"/>
          <w:szCs w:val="22"/>
          <w:lang w:val="en-US"/>
        </w:rPr>
        <w:t xml:space="preserve"> By taking constructive action in the game, Rahimi (2013) informs that the game player is demonstrating their critical thinking skills.</w:t>
      </w:r>
    </w:p>
    <w:p w14:paraId="137AEFB8" w14:textId="77777777" w:rsidR="00EA67DF" w:rsidRDefault="00EA67DF" w:rsidP="00EA67DF">
      <w:pPr>
        <w:widowControl w:val="0"/>
        <w:autoSpaceDE w:val="0"/>
        <w:autoSpaceDN w:val="0"/>
        <w:adjustRightInd w:val="0"/>
        <w:spacing w:line="480" w:lineRule="auto"/>
        <w:jc w:val="both"/>
        <w:rPr>
          <w:bCs/>
          <w:sz w:val="22"/>
          <w:szCs w:val="22"/>
          <w:lang w:val="en-US"/>
        </w:rPr>
      </w:pPr>
    </w:p>
    <w:p w14:paraId="6E4B15B8" w14:textId="77777777" w:rsidR="00EA67DF" w:rsidRDefault="00EA67DF" w:rsidP="00EA67DF">
      <w:pPr>
        <w:widowControl w:val="0"/>
        <w:autoSpaceDE w:val="0"/>
        <w:autoSpaceDN w:val="0"/>
        <w:adjustRightInd w:val="0"/>
        <w:spacing w:line="480" w:lineRule="auto"/>
        <w:jc w:val="both"/>
        <w:rPr>
          <w:bCs/>
          <w:sz w:val="22"/>
          <w:szCs w:val="22"/>
          <w:lang w:val="en-US"/>
        </w:rPr>
      </w:pPr>
      <w:r>
        <w:rPr>
          <w:bCs/>
          <w:sz w:val="22"/>
          <w:szCs w:val="22"/>
          <w:lang w:val="en-US"/>
        </w:rPr>
        <w:t xml:space="preserve">Within a game centered approach, scholars argue there is no optimal technical performance model, and instead skills are performed in relation to the demands of the game situation (time, space, opponent, team mates). Consequently, the game players are less reliant on the teacher to provide performance feedback. Therefore, game players are encouraged to take independent action in the game using various means of performance feedback, but most notably, reflecting-in-action on the consequences of </w:t>
      </w:r>
      <w:r>
        <w:rPr>
          <w:bCs/>
          <w:sz w:val="22"/>
          <w:szCs w:val="22"/>
          <w:lang w:val="en-US"/>
        </w:rPr>
        <w:lastRenderedPageBreak/>
        <w:t xml:space="preserve">own and others actions. The context of games therefore aligns itself naturally to Vygotsky’s (1978) zone of proximal development, a learning theory that facilitates independent problem solving using measured and progressive support from a significant other. Within a game centered approach, the significant other could be teammates, opposition, the teacher, or even the game itself (depending on how it is designed). </w:t>
      </w:r>
    </w:p>
    <w:p w14:paraId="518D36AB" w14:textId="77777777" w:rsidR="00EA67DF" w:rsidRDefault="00EA67DF" w:rsidP="00EA67DF">
      <w:pPr>
        <w:widowControl w:val="0"/>
        <w:autoSpaceDE w:val="0"/>
        <w:autoSpaceDN w:val="0"/>
        <w:adjustRightInd w:val="0"/>
        <w:spacing w:line="480" w:lineRule="auto"/>
        <w:jc w:val="both"/>
        <w:rPr>
          <w:bCs/>
          <w:sz w:val="22"/>
          <w:szCs w:val="22"/>
          <w:lang w:val="en-US"/>
        </w:rPr>
      </w:pPr>
    </w:p>
    <w:p w14:paraId="31771DA8" w14:textId="086E9781" w:rsidR="00EA67DF" w:rsidRDefault="00EA67DF" w:rsidP="00EA67DF">
      <w:pPr>
        <w:widowControl w:val="0"/>
        <w:autoSpaceDE w:val="0"/>
        <w:autoSpaceDN w:val="0"/>
        <w:adjustRightInd w:val="0"/>
        <w:spacing w:line="480" w:lineRule="auto"/>
        <w:jc w:val="both"/>
        <w:rPr>
          <w:b/>
          <w:bCs/>
          <w:sz w:val="22"/>
          <w:szCs w:val="22"/>
          <w:u w:val="single"/>
          <w:lang w:val="en-US"/>
        </w:rPr>
      </w:pPr>
      <w:r w:rsidRPr="00AA5B3E">
        <w:rPr>
          <w:b/>
          <w:bCs/>
          <w:sz w:val="22"/>
          <w:szCs w:val="22"/>
          <w:u w:val="single"/>
          <w:lang w:val="en-US"/>
        </w:rPr>
        <w:t xml:space="preserve">Gee’s </w:t>
      </w:r>
      <w:r>
        <w:rPr>
          <w:b/>
          <w:bCs/>
          <w:sz w:val="22"/>
          <w:szCs w:val="22"/>
          <w:u w:val="single"/>
          <w:lang w:val="en-US"/>
        </w:rPr>
        <w:t xml:space="preserve">(2013) </w:t>
      </w:r>
      <w:r w:rsidR="00441BEF">
        <w:rPr>
          <w:b/>
          <w:bCs/>
          <w:sz w:val="22"/>
          <w:szCs w:val="22"/>
          <w:u w:val="single"/>
          <w:lang w:val="en-US"/>
        </w:rPr>
        <w:t>G</w:t>
      </w:r>
      <w:r>
        <w:rPr>
          <w:b/>
          <w:bCs/>
          <w:sz w:val="22"/>
          <w:szCs w:val="22"/>
          <w:u w:val="single"/>
          <w:lang w:val="en-US"/>
        </w:rPr>
        <w:t xml:space="preserve">ood </w:t>
      </w:r>
      <w:r w:rsidRPr="00AA5B3E">
        <w:rPr>
          <w:b/>
          <w:bCs/>
          <w:sz w:val="22"/>
          <w:szCs w:val="22"/>
          <w:u w:val="single"/>
          <w:lang w:val="en-US"/>
        </w:rPr>
        <w:t>G</w:t>
      </w:r>
      <w:r>
        <w:rPr>
          <w:b/>
          <w:bCs/>
          <w:sz w:val="22"/>
          <w:szCs w:val="22"/>
          <w:u w:val="single"/>
          <w:lang w:val="en-US"/>
        </w:rPr>
        <w:t xml:space="preserve">ame </w:t>
      </w:r>
      <w:r w:rsidRPr="00AA5B3E">
        <w:rPr>
          <w:b/>
          <w:bCs/>
          <w:sz w:val="22"/>
          <w:szCs w:val="22"/>
          <w:u w:val="single"/>
          <w:lang w:val="en-US"/>
        </w:rPr>
        <w:t>D</w:t>
      </w:r>
      <w:r>
        <w:rPr>
          <w:b/>
          <w:bCs/>
          <w:sz w:val="22"/>
          <w:szCs w:val="22"/>
          <w:u w:val="single"/>
          <w:lang w:val="en-US"/>
        </w:rPr>
        <w:t xml:space="preserve">esign </w:t>
      </w:r>
      <w:r w:rsidRPr="00AA5B3E">
        <w:rPr>
          <w:b/>
          <w:bCs/>
          <w:sz w:val="22"/>
          <w:szCs w:val="22"/>
          <w:u w:val="single"/>
          <w:lang w:val="en-US"/>
        </w:rPr>
        <w:t>F</w:t>
      </w:r>
      <w:r>
        <w:rPr>
          <w:b/>
          <w:bCs/>
          <w:sz w:val="22"/>
          <w:szCs w:val="22"/>
          <w:u w:val="single"/>
          <w:lang w:val="en-US"/>
        </w:rPr>
        <w:t>eatures</w:t>
      </w:r>
    </w:p>
    <w:p w14:paraId="41B98036" w14:textId="77777777" w:rsidR="00EA67DF" w:rsidRDefault="00EA67DF" w:rsidP="00EA67DF">
      <w:pPr>
        <w:widowControl w:val="0"/>
        <w:autoSpaceDE w:val="0"/>
        <w:autoSpaceDN w:val="0"/>
        <w:adjustRightInd w:val="0"/>
        <w:spacing w:line="480" w:lineRule="auto"/>
        <w:jc w:val="both"/>
        <w:rPr>
          <w:bCs/>
          <w:sz w:val="22"/>
          <w:szCs w:val="22"/>
          <w:lang w:val="en-US"/>
        </w:rPr>
      </w:pPr>
      <w:r>
        <w:rPr>
          <w:bCs/>
          <w:sz w:val="22"/>
          <w:szCs w:val="22"/>
          <w:lang w:val="en-US"/>
        </w:rPr>
        <w:t xml:space="preserve">The design of digital video games always uses a situated learning perspective, (Lave, 1988) which signifies Gee’s (2013) concept of meaningful action, resulting in children (and adults) feeling especially motivated to play video games. Gee (2013) highlights specific good game design features, which are considered </w:t>
      </w:r>
      <w:r w:rsidRPr="0047432C">
        <w:rPr>
          <w:bCs/>
          <w:sz w:val="22"/>
          <w:szCs w:val="22"/>
          <w:lang w:val="en-US"/>
        </w:rPr>
        <w:t>to have a high potential for learning, due to their ability to place the gamer in a state of Flow (</w:t>
      </w:r>
      <w:r>
        <w:rPr>
          <w:bCs/>
          <w:sz w:val="22"/>
          <w:szCs w:val="22"/>
          <w:lang w:val="en-US"/>
        </w:rPr>
        <w:t xml:space="preserve">Ciskszentmihalyi, </w:t>
      </w:r>
      <w:r w:rsidRPr="0047432C">
        <w:rPr>
          <w:bCs/>
          <w:sz w:val="22"/>
          <w:szCs w:val="22"/>
          <w:lang w:val="en-US"/>
        </w:rPr>
        <w:t>1975)</w:t>
      </w:r>
      <w:r>
        <w:rPr>
          <w:bCs/>
          <w:sz w:val="22"/>
          <w:szCs w:val="22"/>
          <w:lang w:val="en-US"/>
        </w:rPr>
        <w:t>. This is a psychological state whereby the gamer is totally immersed within the game, and consequently is more susceptible to enhancing learning or performance.  Gee’s (2013) good game design features are categorised into three learning principles: empowerment, problem solving and understanding.</w:t>
      </w:r>
    </w:p>
    <w:p w14:paraId="04786AB7" w14:textId="77777777" w:rsidR="00EA67DF" w:rsidRDefault="00EA67DF" w:rsidP="00EA67DF">
      <w:pPr>
        <w:widowControl w:val="0"/>
        <w:autoSpaceDE w:val="0"/>
        <w:autoSpaceDN w:val="0"/>
        <w:adjustRightInd w:val="0"/>
        <w:spacing w:line="480" w:lineRule="auto"/>
        <w:jc w:val="both"/>
        <w:rPr>
          <w:bCs/>
          <w:sz w:val="22"/>
          <w:szCs w:val="22"/>
          <w:lang w:val="en-US"/>
        </w:rPr>
      </w:pPr>
    </w:p>
    <w:p w14:paraId="1AA2B2D1" w14:textId="77777777" w:rsidR="00EA67DF" w:rsidRDefault="00EA67DF" w:rsidP="00EA67DF">
      <w:pPr>
        <w:widowControl w:val="0"/>
        <w:autoSpaceDE w:val="0"/>
        <w:autoSpaceDN w:val="0"/>
        <w:adjustRightInd w:val="0"/>
        <w:spacing w:line="480" w:lineRule="auto"/>
        <w:jc w:val="both"/>
        <w:rPr>
          <w:b/>
          <w:bCs/>
          <w:sz w:val="22"/>
          <w:szCs w:val="22"/>
          <w:u w:val="single"/>
          <w:lang w:val="en-US"/>
        </w:rPr>
      </w:pPr>
      <w:r w:rsidRPr="00C26095">
        <w:rPr>
          <w:b/>
          <w:bCs/>
          <w:sz w:val="22"/>
          <w:szCs w:val="22"/>
          <w:u w:val="single"/>
          <w:lang w:val="en-US"/>
        </w:rPr>
        <w:t>Op</w:t>
      </w:r>
      <w:r>
        <w:rPr>
          <w:b/>
          <w:bCs/>
          <w:sz w:val="22"/>
          <w:szCs w:val="22"/>
          <w:u w:val="single"/>
          <w:lang w:val="en-US"/>
        </w:rPr>
        <w:t>portunities: How can Gee’s (2013</w:t>
      </w:r>
      <w:r w:rsidRPr="00C26095">
        <w:rPr>
          <w:b/>
          <w:bCs/>
          <w:sz w:val="22"/>
          <w:szCs w:val="22"/>
          <w:u w:val="single"/>
          <w:lang w:val="en-US"/>
        </w:rPr>
        <w:t xml:space="preserve">) good game design features be implemented </w:t>
      </w:r>
      <w:r>
        <w:rPr>
          <w:b/>
          <w:bCs/>
          <w:sz w:val="22"/>
          <w:szCs w:val="22"/>
          <w:u w:val="single"/>
          <w:lang w:val="en-US"/>
        </w:rPr>
        <w:t>in invasion games pedagogy?</w:t>
      </w:r>
    </w:p>
    <w:p w14:paraId="4712E6F4" w14:textId="4272FA3D" w:rsidR="00791F4E" w:rsidRPr="00791F4E" w:rsidRDefault="00791F4E" w:rsidP="00EA67DF">
      <w:pPr>
        <w:widowControl w:val="0"/>
        <w:autoSpaceDE w:val="0"/>
        <w:autoSpaceDN w:val="0"/>
        <w:adjustRightInd w:val="0"/>
        <w:spacing w:line="480" w:lineRule="auto"/>
        <w:jc w:val="both"/>
        <w:rPr>
          <w:bCs/>
          <w:sz w:val="22"/>
          <w:szCs w:val="22"/>
          <w:lang w:val="en-US"/>
        </w:rPr>
      </w:pPr>
      <w:r w:rsidRPr="00791F4E">
        <w:rPr>
          <w:bCs/>
          <w:sz w:val="22"/>
          <w:szCs w:val="22"/>
          <w:lang w:val="en-US"/>
        </w:rPr>
        <w:t>Gee’s (2013) good game design</w:t>
      </w:r>
      <w:r>
        <w:rPr>
          <w:bCs/>
          <w:sz w:val="22"/>
          <w:szCs w:val="22"/>
          <w:lang w:val="en-US"/>
        </w:rPr>
        <w:t xml:space="preserve"> features can be categorised into three underpinning principle for learning. For this case, the principle of ‘Problem Solving’ will be used.</w:t>
      </w:r>
    </w:p>
    <w:p w14:paraId="6EB2C893" w14:textId="77777777" w:rsidR="00EA67DF" w:rsidRDefault="00EA67DF" w:rsidP="00EA67DF">
      <w:pPr>
        <w:widowControl w:val="0"/>
        <w:autoSpaceDE w:val="0"/>
        <w:autoSpaceDN w:val="0"/>
        <w:adjustRightInd w:val="0"/>
        <w:spacing w:line="480" w:lineRule="auto"/>
        <w:jc w:val="both"/>
        <w:rPr>
          <w:b/>
          <w:bCs/>
          <w:sz w:val="22"/>
          <w:szCs w:val="22"/>
          <w:u w:val="single"/>
          <w:lang w:val="en-US"/>
        </w:rPr>
      </w:pPr>
    </w:p>
    <w:p w14:paraId="5BC5A8A3" w14:textId="77777777" w:rsidR="00EA67DF" w:rsidRPr="00791F4E" w:rsidRDefault="00EA67DF" w:rsidP="00EA67DF">
      <w:pPr>
        <w:autoSpaceDE w:val="0"/>
        <w:autoSpaceDN w:val="0"/>
        <w:adjustRightInd w:val="0"/>
        <w:rPr>
          <w:rFonts w:cs="SymbolMT"/>
          <w:b/>
          <w:sz w:val="36"/>
          <w:szCs w:val="36"/>
          <w:u w:val="single"/>
        </w:rPr>
      </w:pPr>
      <w:r w:rsidRPr="00791F4E">
        <w:rPr>
          <w:rFonts w:cs="SymbolMT"/>
          <w:b/>
          <w:sz w:val="36"/>
          <w:szCs w:val="36"/>
          <w:u w:val="single"/>
        </w:rPr>
        <w:t>[Insert Figure One]</w:t>
      </w:r>
    </w:p>
    <w:p w14:paraId="48E34B28" w14:textId="77777777" w:rsidR="00EA67DF" w:rsidRPr="00A87244" w:rsidRDefault="00EA67DF" w:rsidP="00EA67DF">
      <w:pPr>
        <w:pStyle w:val="Header"/>
        <w:rPr>
          <w:sz w:val="16"/>
          <w:szCs w:val="16"/>
        </w:rPr>
      </w:pPr>
    </w:p>
    <w:p w14:paraId="76CABBF0" w14:textId="77777777" w:rsidR="00EA67DF" w:rsidRDefault="00EA67DF" w:rsidP="00EA67DF">
      <w:pPr>
        <w:widowControl w:val="0"/>
        <w:autoSpaceDE w:val="0"/>
        <w:autoSpaceDN w:val="0"/>
        <w:adjustRightInd w:val="0"/>
        <w:spacing w:line="480" w:lineRule="auto"/>
        <w:jc w:val="both"/>
        <w:rPr>
          <w:b/>
          <w:bCs/>
          <w:sz w:val="22"/>
          <w:szCs w:val="22"/>
          <w:u w:val="single"/>
          <w:lang w:val="en-US"/>
        </w:rPr>
      </w:pPr>
    </w:p>
    <w:p w14:paraId="5A98D5E7" w14:textId="77777777" w:rsidR="00EA67DF" w:rsidRDefault="00EA67DF" w:rsidP="00EA67DF">
      <w:pPr>
        <w:widowControl w:val="0"/>
        <w:autoSpaceDE w:val="0"/>
        <w:autoSpaceDN w:val="0"/>
        <w:adjustRightInd w:val="0"/>
        <w:spacing w:line="480" w:lineRule="auto"/>
        <w:jc w:val="both"/>
        <w:rPr>
          <w:b/>
          <w:bCs/>
          <w:sz w:val="22"/>
          <w:szCs w:val="22"/>
          <w:u w:val="single"/>
          <w:lang w:val="en-US"/>
        </w:rPr>
      </w:pPr>
      <w:r w:rsidRPr="00725118">
        <w:rPr>
          <w:b/>
          <w:bCs/>
          <w:sz w:val="22"/>
          <w:szCs w:val="22"/>
          <w:u w:val="single"/>
          <w:lang w:val="en-US"/>
        </w:rPr>
        <w:t xml:space="preserve">Measuring Learning in </w:t>
      </w:r>
      <w:r>
        <w:rPr>
          <w:b/>
          <w:bCs/>
          <w:sz w:val="22"/>
          <w:szCs w:val="22"/>
          <w:u w:val="single"/>
          <w:lang w:val="en-US"/>
        </w:rPr>
        <w:t xml:space="preserve">Invasion </w:t>
      </w:r>
      <w:r w:rsidRPr="00725118">
        <w:rPr>
          <w:b/>
          <w:bCs/>
          <w:sz w:val="22"/>
          <w:szCs w:val="22"/>
          <w:u w:val="single"/>
          <w:lang w:val="en-US"/>
        </w:rPr>
        <w:t>Games</w:t>
      </w:r>
      <w:r>
        <w:rPr>
          <w:b/>
          <w:bCs/>
          <w:sz w:val="22"/>
          <w:szCs w:val="22"/>
          <w:u w:val="single"/>
          <w:lang w:val="en-US"/>
        </w:rPr>
        <w:t>: Getting</w:t>
      </w:r>
      <w:r w:rsidRPr="00140094">
        <w:rPr>
          <w:b/>
          <w:bCs/>
          <w:sz w:val="22"/>
          <w:szCs w:val="22"/>
          <w:u w:val="single"/>
          <w:lang w:val="en-US"/>
        </w:rPr>
        <w:t xml:space="preserve"> </w:t>
      </w:r>
      <w:r>
        <w:rPr>
          <w:b/>
          <w:bCs/>
          <w:sz w:val="22"/>
          <w:szCs w:val="22"/>
          <w:u w:val="single"/>
          <w:lang w:val="en-US"/>
        </w:rPr>
        <w:t xml:space="preserve">students </w:t>
      </w:r>
      <w:r w:rsidRPr="00140094">
        <w:rPr>
          <w:b/>
          <w:bCs/>
          <w:sz w:val="22"/>
          <w:szCs w:val="22"/>
          <w:u w:val="single"/>
          <w:lang w:val="en-US"/>
        </w:rPr>
        <w:t xml:space="preserve">to </w:t>
      </w:r>
      <w:r w:rsidRPr="003D05B5">
        <w:rPr>
          <w:b/>
          <w:bCs/>
          <w:i/>
          <w:sz w:val="22"/>
          <w:szCs w:val="22"/>
          <w:u w:val="single"/>
          <w:lang w:val="en-US"/>
        </w:rPr>
        <w:t xml:space="preserve">learn </w:t>
      </w:r>
      <w:r w:rsidRPr="00140094">
        <w:rPr>
          <w:b/>
          <w:bCs/>
          <w:sz w:val="22"/>
          <w:szCs w:val="22"/>
          <w:u w:val="single"/>
          <w:lang w:val="en-US"/>
        </w:rPr>
        <w:t>something long, har</w:t>
      </w:r>
      <w:r>
        <w:rPr>
          <w:b/>
          <w:bCs/>
          <w:sz w:val="22"/>
          <w:szCs w:val="22"/>
          <w:u w:val="single"/>
          <w:lang w:val="en-US"/>
        </w:rPr>
        <w:t>d and complex, and yet enjoy it</w:t>
      </w:r>
    </w:p>
    <w:p w14:paraId="3452F887" w14:textId="7E0D7A59" w:rsidR="00EA67DF" w:rsidRDefault="00EA67DF" w:rsidP="00EA67DF">
      <w:pPr>
        <w:widowControl w:val="0"/>
        <w:autoSpaceDE w:val="0"/>
        <w:autoSpaceDN w:val="0"/>
        <w:adjustRightInd w:val="0"/>
        <w:spacing w:line="480" w:lineRule="auto"/>
        <w:jc w:val="both"/>
        <w:rPr>
          <w:bCs/>
          <w:sz w:val="22"/>
          <w:szCs w:val="22"/>
          <w:lang w:val="en-US"/>
        </w:rPr>
      </w:pPr>
      <w:r>
        <w:rPr>
          <w:bCs/>
          <w:sz w:val="22"/>
          <w:szCs w:val="22"/>
          <w:lang w:val="en-US"/>
        </w:rPr>
        <w:lastRenderedPageBreak/>
        <w:t xml:space="preserve">Pedagogy that is integrated with Gee’s (2013) good game design features has pedagogical similarities to the </w:t>
      </w:r>
      <w:r w:rsidR="003518DD">
        <w:rPr>
          <w:bCs/>
          <w:sz w:val="22"/>
          <w:szCs w:val="22"/>
          <w:lang w:val="en-US"/>
        </w:rPr>
        <w:t>game centred approach. Salen &amp;</w:t>
      </w:r>
      <w:r>
        <w:rPr>
          <w:bCs/>
          <w:sz w:val="22"/>
          <w:szCs w:val="22"/>
          <w:lang w:val="en-US"/>
        </w:rPr>
        <w:t xml:space="preserve"> Zimmerman (2004) describe games as a (calculated) balance between rules and freedom. The rules of the game are in place so that players can interpret the logic of the game </w:t>
      </w:r>
      <w:r w:rsidR="003518DD">
        <w:rPr>
          <w:bCs/>
          <w:sz w:val="22"/>
          <w:szCs w:val="22"/>
          <w:lang w:val="en-US"/>
        </w:rPr>
        <w:t>(Grehaigne, Richard &amp;</w:t>
      </w:r>
      <w:r w:rsidRPr="00AC1544">
        <w:rPr>
          <w:bCs/>
          <w:sz w:val="22"/>
          <w:szCs w:val="22"/>
          <w:lang w:val="en-US"/>
        </w:rPr>
        <w:t xml:space="preserve"> Griffin</w:t>
      </w:r>
      <w:r>
        <w:rPr>
          <w:bCs/>
          <w:sz w:val="22"/>
          <w:szCs w:val="22"/>
          <w:lang w:val="en-US"/>
        </w:rPr>
        <w:t xml:space="preserve">, </w:t>
      </w:r>
      <w:r w:rsidRPr="00AC1544">
        <w:rPr>
          <w:bCs/>
          <w:sz w:val="22"/>
          <w:szCs w:val="22"/>
          <w:lang w:val="en-US"/>
        </w:rPr>
        <w:t>2005),</w:t>
      </w:r>
      <w:r>
        <w:rPr>
          <w:bCs/>
          <w:sz w:val="22"/>
          <w:szCs w:val="22"/>
          <w:lang w:val="en-US"/>
        </w:rPr>
        <w:t xml:space="preserve"> whilst freedom in the game enables players to engage in critical thinking, in order to explore the most efficient way to solve a game problem. The freedom within a game is the reason why games have an element of unpredictability, whereby the context to which a skill or action is applied, is rarely the same. Subsequently, the process of measuring learning within games has</w:t>
      </w:r>
      <w:r w:rsidR="00351259">
        <w:rPr>
          <w:bCs/>
          <w:sz w:val="22"/>
          <w:szCs w:val="22"/>
          <w:lang w:val="en-US"/>
        </w:rPr>
        <w:t xml:space="preserve"> </w:t>
      </w:r>
      <w:r>
        <w:rPr>
          <w:bCs/>
          <w:sz w:val="22"/>
          <w:szCs w:val="22"/>
          <w:lang w:val="en-US"/>
        </w:rPr>
        <w:t xml:space="preserve">proven to be problematic </w:t>
      </w:r>
      <w:r w:rsidR="00351259">
        <w:rPr>
          <w:bCs/>
          <w:sz w:val="22"/>
          <w:szCs w:val="22"/>
          <w:lang w:val="en-US"/>
        </w:rPr>
        <w:t>(Memmert &amp; Harvey, 2008).</w:t>
      </w:r>
    </w:p>
    <w:p w14:paraId="6E152550" w14:textId="77777777" w:rsidR="00EA67DF" w:rsidRDefault="00EA67DF" w:rsidP="00EA67DF">
      <w:pPr>
        <w:widowControl w:val="0"/>
        <w:autoSpaceDE w:val="0"/>
        <w:autoSpaceDN w:val="0"/>
        <w:adjustRightInd w:val="0"/>
        <w:spacing w:line="480" w:lineRule="auto"/>
        <w:jc w:val="both"/>
        <w:rPr>
          <w:bCs/>
          <w:sz w:val="22"/>
          <w:szCs w:val="22"/>
          <w:lang w:val="en-US"/>
        </w:rPr>
      </w:pPr>
    </w:p>
    <w:p w14:paraId="3C4558D6" w14:textId="2498C171" w:rsidR="00EA67DF" w:rsidRPr="003A6C9E" w:rsidRDefault="00EA67DF" w:rsidP="00EA67DF">
      <w:pPr>
        <w:widowControl w:val="0"/>
        <w:autoSpaceDE w:val="0"/>
        <w:autoSpaceDN w:val="0"/>
        <w:adjustRightInd w:val="0"/>
        <w:spacing w:line="480" w:lineRule="auto"/>
        <w:jc w:val="both"/>
        <w:rPr>
          <w:bCs/>
          <w:sz w:val="22"/>
          <w:szCs w:val="22"/>
          <w:lang w:val="en-US"/>
        </w:rPr>
      </w:pPr>
      <w:r w:rsidRPr="00E5198B">
        <w:rPr>
          <w:bCs/>
          <w:sz w:val="22"/>
          <w:szCs w:val="22"/>
          <w:lang w:val="en-US"/>
        </w:rPr>
        <w:t xml:space="preserve">Learning </w:t>
      </w:r>
      <w:r>
        <w:rPr>
          <w:bCs/>
          <w:sz w:val="22"/>
          <w:szCs w:val="22"/>
          <w:lang w:val="en-US"/>
        </w:rPr>
        <w:t xml:space="preserve">in a </w:t>
      </w:r>
      <w:r w:rsidRPr="00E5198B">
        <w:rPr>
          <w:bCs/>
          <w:sz w:val="22"/>
          <w:szCs w:val="22"/>
          <w:lang w:val="en-US"/>
        </w:rPr>
        <w:t xml:space="preserve">digital video game is measured according to </w:t>
      </w:r>
      <w:r>
        <w:rPr>
          <w:bCs/>
          <w:sz w:val="22"/>
          <w:szCs w:val="22"/>
          <w:lang w:val="en-US"/>
        </w:rPr>
        <w:t>the gamer’s</w:t>
      </w:r>
      <w:r w:rsidRPr="00E5198B">
        <w:rPr>
          <w:bCs/>
          <w:sz w:val="22"/>
          <w:szCs w:val="22"/>
          <w:lang w:val="en-US"/>
        </w:rPr>
        <w:t xml:space="preserve"> progress through the game, and therefore assessment of learning </w:t>
      </w:r>
      <w:r>
        <w:rPr>
          <w:bCs/>
          <w:sz w:val="22"/>
          <w:szCs w:val="22"/>
          <w:lang w:val="en-US"/>
        </w:rPr>
        <w:t>(AfL)</w:t>
      </w:r>
      <w:r w:rsidR="003518DD">
        <w:rPr>
          <w:bCs/>
          <w:sz w:val="22"/>
          <w:szCs w:val="22"/>
          <w:lang w:val="en-US"/>
        </w:rPr>
        <w:t xml:space="preserve"> and assessment for learning (Ao</w:t>
      </w:r>
      <w:r w:rsidR="008D7223">
        <w:rPr>
          <w:bCs/>
          <w:sz w:val="22"/>
          <w:szCs w:val="22"/>
          <w:lang w:val="en-US"/>
        </w:rPr>
        <w:t>L)</w:t>
      </w:r>
      <w:r>
        <w:rPr>
          <w:bCs/>
          <w:sz w:val="22"/>
          <w:szCs w:val="22"/>
          <w:lang w:val="en-US"/>
        </w:rPr>
        <w:t xml:space="preserve"> occurs </w:t>
      </w:r>
      <w:r w:rsidRPr="00E5198B">
        <w:rPr>
          <w:bCs/>
          <w:sz w:val="22"/>
          <w:szCs w:val="22"/>
          <w:lang w:val="en-US"/>
        </w:rPr>
        <w:t xml:space="preserve">within the game itself.  </w:t>
      </w:r>
      <w:r>
        <w:rPr>
          <w:bCs/>
          <w:sz w:val="22"/>
          <w:szCs w:val="22"/>
          <w:lang w:val="en-US"/>
        </w:rPr>
        <w:t xml:space="preserve">When the gamer is finding the game particularly difficult, the game adapts to provide the gamer with feedback that is just in time and on demand (Gee, 2003). In this instance, the game is acting as the gamer’s significant other (Vygotsky, 1978), so that the gamer can maintain a state of Flow </w:t>
      </w:r>
      <w:r w:rsidRPr="0047432C">
        <w:rPr>
          <w:bCs/>
          <w:sz w:val="22"/>
          <w:szCs w:val="22"/>
          <w:lang w:val="en-US"/>
        </w:rPr>
        <w:t>(</w:t>
      </w:r>
      <w:r>
        <w:rPr>
          <w:bCs/>
          <w:sz w:val="22"/>
          <w:szCs w:val="22"/>
          <w:lang w:val="en-US"/>
        </w:rPr>
        <w:t xml:space="preserve">Ciskszentmihalyi, </w:t>
      </w:r>
      <w:r w:rsidRPr="0047432C">
        <w:rPr>
          <w:bCs/>
          <w:sz w:val="22"/>
          <w:szCs w:val="22"/>
          <w:lang w:val="en-US"/>
        </w:rPr>
        <w:t>1975)</w:t>
      </w:r>
      <w:r>
        <w:rPr>
          <w:bCs/>
          <w:sz w:val="22"/>
          <w:szCs w:val="22"/>
          <w:lang w:val="en-US"/>
        </w:rPr>
        <w:t xml:space="preserve">. </w:t>
      </w:r>
      <w:r w:rsidRPr="00E5198B">
        <w:rPr>
          <w:bCs/>
          <w:sz w:val="22"/>
          <w:szCs w:val="22"/>
          <w:lang w:val="en-US"/>
        </w:rPr>
        <w:t>The same principles apply in</w:t>
      </w:r>
      <w:r>
        <w:rPr>
          <w:bCs/>
          <w:sz w:val="22"/>
          <w:szCs w:val="22"/>
          <w:lang w:val="en-US"/>
        </w:rPr>
        <w:t xml:space="preserve"> physical education</w:t>
      </w:r>
      <w:r w:rsidRPr="00E5198B">
        <w:rPr>
          <w:bCs/>
          <w:sz w:val="22"/>
          <w:szCs w:val="22"/>
          <w:lang w:val="en-US"/>
        </w:rPr>
        <w:t xml:space="preserve">, although in order to break down the </w:t>
      </w:r>
      <w:r>
        <w:rPr>
          <w:bCs/>
          <w:sz w:val="22"/>
          <w:szCs w:val="22"/>
          <w:lang w:val="en-US"/>
        </w:rPr>
        <w:t xml:space="preserve">contextual </w:t>
      </w:r>
      <w:r w:rsidRPr="00E5198B">
        <w:rPr>
          <w:bCs/>
          <w:sz w:val="22"/>
          <w:szCs w:val="22"/>
          <w:lang w:val="en-US"/>
        </w:rPr>
        <w:t>complexities of</w:t>
      </w:r>
      <w:r>
        <w:rPr>
          <w:bCs/>
          <w:sz w:val="22"/>
          <w:szCs w:val="22"/>
          <w:lang w:val="en-US"/>
        </w:rPr>
        <w:t xml:space="preserve"> game play (time, space, positioning of opponents and team mates)</w:t>
      </w:r>
      <w:r w:rsidRPr="00E5198B">
        <w:rPr>
          <w:bCs/>
          <w:sz w:val="22"/>
          <w:szCs w:val="22"/>
          <w:lang w:val="en-US"/>
        </w:rPr>
        <w:t>, a practice-referenced approach has been adopted</w:t>
      </w:r>
      <w:r>
        <w:rPr>
          <w:bCs/>
          <w:sz w:val="22"/>
          <w:szCs w:val="22"/>
          <w:lang w:val="en-US"/>
        </w:rPr>
        <w:t>, which</w:t>
      </w:r>
      <w:r w:rsidRPr="00E5198B">
        <w:rPr>
          <w:rFonts w:ascii="Times New Roman" w:hAnsi="Times New Roman"/>
        </w:rPr>
        <w:t xml:space="preserve"> </w:t>
      </w:r>
      <w:r w:rsidR="003518DD">
        <w:rPr>
          <w:sz w:val="22"/>
          <w:szCs w:val="22"/>
        </w:rPr>
        <w:t>Rovegno, Nevett &amp;</w:t>
      </w:r>
      <w:r>
        <w:rPr>
          <w:sz w:val="22"/>
          <w:szCs w:val="22"/>
        </w:rPr>
        <w:t xml:space="preserve"> Babiarz (</w:t>
      </w:r>
      <w:r w:rsidRPr="00E5198B">
        <w:rPr>
          <w:sz w:val="22"/>
          <w:szCs w:val="22"/>
        </w:rPr>
        <w:t>2001</w:t>
      </w:r>
      <w:r w:rsidR="003518DD">
        <w:rPr>
          <w:sz w:val="22"/>
          <w:szCs w:val="22"/>
        </w:rPr>
        <w:t xml:space="preserve">), </w:t>
      </w:r>
      <w:r>
        <w:rPr>
          <w:sz w:val="22"/>
          <w:szCs w:val="22"/>
        </w:rPr>
        <w:t>Kirk (</w:t>
      </w:r>
      <w:r w:rsidRPr="00E5198B">
        <w:rPr>
          <w:sz w:val="22"/>
          <w:szCs w:val="22"/>
        </w:rPr>
        <w:t>2005)</w:t>
      </w:r>
      <w:r>
        <w:rPr>
          <w:sz w:val="22"/>
          <w:szCs w:val="22"/>
        </w:rPr>
        <w:t xml:space="preserve"> </w:t>
      </w:r>
      <w:r w:rsidR="003518DD">
        <w:rPr>
          <w:sz w:val="22"/>
          <w:szCs w:val="22"/>
        </w:rPr>
        <w:t>and MacPhail, Kirk &amp; Griffin (</w:t>
      </w:r>
      <w:r w:rsidR="003518DD" w:rsidRPr="00E5198B">
        <w:rPr>
          <w:sz w:val="22"/>
          <w:szCs w:val="22"/>
        </w:rPr>
        <w:t>2008</w:t>
      </w:r>
      <w:r w:rsidR="003518DD">
        <w:rPr>
          <w:sz w:val="22"/>
          <w:szCs w:val="22"/>
        </w:rPr>
        <w:t xml:space="preserve">) </w:t>
      </w:r>
      <w:r>
        <w:rPr>
          <w:sz w:val="22"/>
          <w:szCs w:val="22"/>
        </w:rPr>
        <w:t>recommend in order to reduce the number of variables that are to be examined</w:t>
      </w:r>
      <w:r>
        <w:rPr>
          <w:bCs/>
          <w:sz w:val="22"/>
          <w:szCs w:val="22"/>
          <w:lang w:val="en-US"/>
        </w:rPr>
        <w:t xml:space="preserve">. This </w:t>
      </w:r>
      <w:r w:rsidRPr="00E5198B">
        <w:rPr>
          <w:bCs/>
          <w:sz w:val="22"/>
          <w:szCs w:val="22"/>
          <w:lang w:val="en-US"/>
        </w:rPr>
        <w:t xml:space="preserve">means that </w:t>
      </w:r>
      <w:r w:rsidRPr="00E5198B">
        <w:rPr>
          <w:sz w:val="22"/>
          <w:szCs w:val="22"/>
        </w:rPr>
        <w:t>attacking play</w:t>
      </w:r>
      <w:r w:rsidR="008D7223">
        <w:rPr>
          <w:sz w:val="22"/>
          <w:szCs w:val="22"/>
        </w:rPr>
        <w:t xml:space="preserve"> has been </w:t>
      </w:r>
      <w:r>
        <w:rPr>
          <w:sz w:val="22"/>
          <w:szCs w:val="22"/>
        </w:rPr>
        <w:t>used as a ‘unit of work’, with the intention of contextualising the game player’s progress through the unit.</w:t>
      </w:r>
    </w:p>
    <w:p w14:paraId="4B6DDD70" w14:textId="77777777" w:rsidR="00EA67DF" w:rsidRDefault="00EA67DF" w:rsidP="00EA67DF">
      <w:pPr>
        <w:widowControl w:val="0"/>
        <w:autoSpaceDE w:val="0"/>
        <w:autoSpaceDN w:val="0"/>
        <w:adjustRightInd w:val="0"/>
        <w:spacing w:line="480" w:lineRule="auto"/>
        <w:jc w:val="both"/>
        <w:rPr>
          <w:bCs/>
          <w:sz w:val="22"/>
          <w:szCs w:val="22"/>
          <w:lang w:val="en-US"/>
        </w:rPr>
      </w:pPr>
    </w:p>
    <w:p w14:paraId="50D4E768" w14:textId="0C761E15" w:rsidR="00EA67DF" w:rsidRDefault="00441BEF" w:rsidP="00EA67DF">
      <w:pPr>
        <w:widowControl w:val="0"/>
        <w:autoSpaceDE w:val="0"/>
        <w:autoSpaceDN w:val="0"/>
        <w:adjustRightInd w:val="0"/>
        <w:spacing w:line="480" w:lineRule="auto"/>
        <w:jc w:val="both"/>
        <w:rPr>
          <w:b/>
          <w:bCs/>
          <w:sz w:val="22"/>
          <w:szCs w:val="22"/>
          <w:u w:val="single"/>
          <w:lang w:val="en-US"/>
        </w:rPr>
      </w:pPr>
      <w:r>
        <w:rPr>
          <w:b/>
          <w:bCs/>
          <w:sz w:val="22"/>
          <w:szCs w:val="22"/>
          <w:u w:val="single"/>
          <w:lang w:val="en-US"/>
        </w:rPr>
        <w:t>U</w:t>
      </w:r>
      <w:r w:rsidR="0090016A">
        <w:rPr>
          <w:b/>
          <w:bCs/>
          <w:sz w:val="22"/>
          <w:szCs w:val="22"/>
          <w:u w:val="single"/>
          <w:lang w:val="en-US"/>
        </w:rPr>
        <w:t>nit of Work</w:t>
      </w:r>
      <w:r>
        <w:rPr>
          <w:b/>
          <w:bCs/>
          <w:sz w:val="22"/>
          <w:szCs w:val="22"/>
          <w:u w:val="single"/>
          <w:lang w:val="en-US"/>
        </w:rPr>
        <w:t>: Considerations for future practice</w:t>
      </w:r>
    </w:p>
    <w:p w14:paraId="17B84778" w14:textId="72D05295" w:rsidR="00EB4A9C" w:rsidRDefault="00EA67DF" w:rsidP="00EB4A9C">
      <w:pPr>
        <w:widowControl w:val="0"/>
        <w:autoSpaceDE w:val="0"/>
        <w:autoSpaceDN w:val="0"/>
        <w:adjustRightInd w:val="0"/>
        <w:spacing w:line="480" w:lineRule="auto"/>
        <w:jc w:val="both"/>
        <w:rPr>
          <w:bCs/>
          <w:sz w:val="22"/>
          <w:szCs w:val="22"/>
          <w:lang w:val="en-US"/>
        </w:rPr>
      </w:pPr>
      <w:r>
        <w:rPr>
          <w:bCs/>
          <w:sz w:val="22"/>
          <w:szCs w:val="22"/>
          <w:lang w:val="en-US"/>
        </w:rPr>
        <w:t>Gee’s (2013</w:t>
      </w:r>
      <w:r w:rsidRPr="00B24684">
        <w:rPr>
          <w:bCs/>
          <w:sz w:val="22"/>
          <w:szCs w:val="22"/>
          <w:lang w:val="en-US"/>
        </w:rPr>
        <w:t>) good game design features</w:t>
      </w:r>
      <w:r w:rsidR="008D7223">
        <w:rPr>
          <w:bCs/>
          <w:sz w:val="22"/>
          <w:szCs w:val="22"/>
          <w:lang w:val="en-US"/>
        </w:rPr>
        <w:t xml:space="preserve"> were blended with a game centred </w:t>
      </w:r>
      <w:r w:rsidR="009C6588">
        <w:rPr>
          <w:bCs/>
          <w:sz w:val="22"/>
          <w:szCs w:val="22"/>
          <w:lang w:val="en-US"/>
        </w:rPr>
        <w:t xml:space="preserve">approach for </w:t>
      </w:r>
      <w:r w:rsidR="009C6588">
        <w:rPr>
          <w:bCs/>
          <w:sz w:val="22"/>
          <w:szCs w:val="22"/>
          <w:lang w:val="en-US"/>
        </w:rPr>
        <w:lastRenderedPageBreak/>
        <w:t xml:space="preserve">a key stage three physical education </w:t>
      </w:r>
      <w:r w:rsidR="008D7223">
        <w:rPr>
          <w:bCs/>
          <w:sz w:val="22"/>
          <w:szCs w:val="22"/>
          <w:lang w:val="en-US"/>
        </w:rPr>
        <w:t xml:space="preserve">unit of work </w:t>
      </w:r>
      <w:r w:rsidR="009C6588">
        <w:rPr>
          <w:bCs/>
          <w:sz w:val="22"/>
          <w:szCs w:val="22"/>
          <w:lang w:val="en-US"/>
        </w:rPr>
        <w:t xml:space="preserve">on attacking play in invasion games. </w:t>
      </w:r>
      <w:r w:rsidR="00EB4A9C">
        <w:rPr>
          <w:bCs/>
          <w:sz w:val="22"/>
          <w:szCs w:val="22"/>
          <w:lang w:val="en-US"/>
        </w:rPr>
        <w:t xml:space="preserve"> Informal observations of one game player over the course of the unit of work, raised the following questions: </w:t>
      </w:r>
    </w:p>
    <w:p w14:paraId="3B61445A" w14:textId="77777777" w:rsidR="00EB4A9C" w:rsidRDefault="00EB4A9C" w:rsidP="00EB4A9C">
      <w:pPr>
        <w:widowControl w:val="0"/>
        <w:autoSpaceDE w:val="0"/>
        <w:autoSpaceDN w:val="0"/>
        <w:adjustRightInd w:val="0"/>
        <w:spacing w:line="480" w:lineRule="auto"/>
        <w:jc w:val="both"/>
        <w:rPr>
          <w:b/>
          <w:bCs/>
          <w:sz w:val="22"/>
          <w:szCs w:val="22"/>
          <w:lang w:val="en-US"/>
        </w:rPr>
      </w:pPr>
    </w:p>
    <w:p w14:paraId="3CFD0F59" w14:textId="77777777" w:rsidR="00EB4A9C" w:rsidRDefault="00EB4A9C" w:rsidP="00EB4A9C">
      <w:pPr>
        <w:widowControl w:val="0"/>
        <w:autoSpaceDE w:val="0"/>
        <w:autoSpaceDN w:val="0"/>
        <w:adjustRightInd w:val="0"/>
        <w:spacing w:line="480" w:lineRule="auto"/>
        <w:jc w:val="both"/>
        <w:rPr>
          <w:bCs/>
          <w:sz w:val="22"/>
          <w:szCs w:val="22"/>
          <w:lang w:val="en-US"/>
        </w:rPr>
      </w:pPr>
      <w:r w:rsidRPr="00DC54E3">
        <w:rPr>
          <w:b/>
          <w:bCs/>
          <w:sz w:val="22"/>
          <w:szCs w:val="22"/>
          <w:lang w:val="en-US"/>
        </w:rPr>
        <w:t>Question</w:t>
      </w:r>
      <w:r>
        <w:rPr>
          <w:b/>
          <w:bCs/>
          <w:sz w:val="22"/>
          <w:szCs w:val="22"/>
          <w:lang w:val="en-US"/>
        </w:rPr>
        <w:t xml:space="preserve"> 1</w:t>
      </w:r>
      <w:r w:rsidRPr="00DC54E3">
        <w:rPr>
          <w:b/>
          <w:bCs/>
          <w:sz w:val="22"/>
          <w:szCs w:val="22"/>
          <w:lang w:val="en-US"/>
        </w:rPr>
        <w:t>:</w:t>
      </w:r>
      <w:r>
        <w:rPr>
          <w:bCs/>
          <w:sz w:val="22"/>
          <w:szCs w:val="22"/>
          <w:lang w:val="en-US"/>
        </w:rPr>
        <w:t xml:space="preserve"> To what extent does the game centred approach focus on </w:t>
      </w:r>
      <w:r w:rsidRPr="00547B73">
        <w:rPr>
          <w:bCs/>
          <w:i/>
          <w:sz w:val="22"/>
          <w:szCs w:val="22"/>
          <w:lang w:val="en-US"/>
        </w:rPr>
        <w:t>game design</w:t>
      </w:r>
      <w:r>
        <w:rPr>
          <w:bCs/>
          <w:sz w:val="22"/>
          <w:szCs w:val="22"/>
          <w:lang w:val="en-US"/>
        </w:rPr>
        <w:t xml:space="preserve"> as a means to embed learning? </w:t>
      </w:r>
    </w:p>
    <w:p w14:paraId="53428E7D" w14:textId="07588D7E" w:rsidR="00EB4A9C" w:rsidRDefault="00EB4A9C" w:rsidP="00EB4A9C">
      <w:pPr>
        <w:widowControl w:val="0"/>
        <w:autoSpaceDE w:val="0"/>
        <w:autoSpaceDN w:val="0"/>
        <w:adjustRightInd w:val="0"/>
        <w:spacing w:line="480" w:lineRule="auto"/>
        <w:jc w:val="both"/>
        <w:rPr>
          <w:bCs/>
          <w:sz w:val="22"/>
          <w:szCs w:val="22"/>
          <w:lang w:val="en-US"/>
        </w:rPr>
      </w:pPr>
      <w:r w:rsidRPr="00DC54E3">
        <w:rPr>
          <w:b/>
          <w:bCs/>
          <w:sz w:val="22"/>
          <w:szCs w:val="22"/>
          <w:lang w:val="en-US"/>
        </w:rPr>
        <w:t xml:space="preserve">Question 2: </w:t>
      </w:r>
      <w:r w:rsidR="00796788">
        <w:rPr>
          <w:bCs/>
          <w:sz w:val="22"/>
          <w:szCs w:val="22"/>
          <w:lang w:val="en-US"/>
        </w:rPr>
        <w:t>Is it possible that the game centred approach uses too much ‘play’ (or freedom), to the detriment of the game player?</w:t>
      </w:r>
    </w:p>
    <w:p w14:paraId="30E975CA" w14:textId="331A0663" w:rsidR="00796788" w:rsidRPr="00DC54E3" w:rsidRDefault="00796788" w:rsidP="00EB4A9C">
      <w:pPr>
        <w:widowControl w:val="0"/>
        <w:autoSpaceDE w:val="0"/>
        <w:autoSpaceDN w:val="0"/>
        <w:adjustRightInd w:val="0"/>
        <w:spacing w:line="480" w:lineRule="auto"/>
        <w:jc w:val="both"/>
        <w:rPr>
          <w:bCs/>
          <w:sz w:val="22"/>
          <w:szCs w:val="22"/>
          <w:lang w:val="en-US"/>
        </w:rPr>
      </w:pPr>
      <w:r w:rsidRPr="00796788">
        <w:rPr>
          <w:b/>
          <w:bCs/>
          <w:sz w:val="22"/>
          <w:szCs w:val="22"/>
          <w:lang w:val="en-US"/>
        </w:rPr>
        <w:t>Question 3:</w:t>
      </w:r>
      <w:r>
        <w:rPr>
          <w:bCs/>
          <w:sz w:val="22"/>
          <w:szCs w:val="22"/>
          <w:lang w:val="en-US"/>
        </w:rPr>
        <w:t xml:space="preserve"> How might the game centred approach use repetition</w:t>
      </w:r>
      <w:r w:rsidR="002F2A65">
        <w:rPr>
          <w:bCs/>
          <w:sz w:val="22"/>
          <w:szCs w:val="22"/>
          <w:lang w:val="en-US"/>
        </w:rPr>
        <w:t xml:space="preserve"> (through variation)</w:t>
      </w:r>
      <w:r>
        <w:rPr>
          <w:bCs/>
          <w:sz w:val="22"/>
          <w:szCs w:val="22"/>
          <w:lang w:val="en-US"/>
        </w:rPr>
        <w:t xml:space="preserve"> to enhance skill mastery?</w:t>
      </w:r>
    </w:p>
    <w:p w14:paraId="0C78F76A" w14:textId="77777777" w:rsidR="00EB4A9C" w:rsidRDefault="00EB4A9C" w:rsidP="00EB4A9C">
      <w:pPr>
        <w:widowControl w:val="0"/>
        <w:autoSpaceDE w:val="0"/>
        <w:autoSpaceDN w:val="0"/>
        <w:adjustRightInd w:val="0"/>
        <w:spacing w:line="480" w:lineRule="auto"/>
        <w:jc w:val="both"/>
        <w:rPr>
          <w:bCs/>
          <w:sz w:val="22"/>
          <w:szCs w:val="22"/>
          <w:lang w:val="en-US"/>
        </w:rPr>
      </w:pPr>
    </w:p>
    <w:p w14:paraId="01371217" w14:textId="28A19522" w:rsidR="00EA67DF" w:rsidRPr="00EB4A9C" w:rsidRDefault="00EA67DF" w:rsidP="00EB4A9C">
      <w:pPr>
        <w:widowControl w:val="0"/>
        <w:autoSpaceDE w:val="0"/>
        <w:autoSpaceDN w:val="0"/>
        <w:adjustRightInd w:val="0"/>
        <w:spacing w:line="480" w:lineRule="auto"/>
        <w:jc w:val="both"/>
        <w:rPr>
          <w:bCs/>
          <w:sz w:val="22"/>
          <w:szCs w:val="22"/>
          <w:lang w:val="en-US"/>
        </w:rPr>
      </w:pPr>
      <w:r w:rsidRPr="00EB4A9C">
        <w:rPr>
          <w:bCs/>
          <w:sz w:val="22"/>
          <w:szCs w:val="22"/>
          <w:lang w:val="en-US"/>
        </w:rPr>
        <w:t>Learning</w:t>
      </w:r>
      <w:r w:rsidR="009C6588" w:rsidRPr="00EB4A9C">
        <w:rPr>
          <w:bCs/>
          <w:sz w:val="22"/>
          <w:szCs w:val="22"/>
          <w:lang w:val="en-US"/>
        </w:rPr>
        <w:t xml:space="preserve"> in games</w:t>
      </w:r>
      <w:r w:rsidRPr="00EB4A9C">
        <w:rPr>
          <w:bCs/>
          <w:sz w:val="22"/>
          <w:szCs w:val="22"/>
          <w:lang w:val="en-US"/>
        </w:rPr>
        <w:t xml:space="preserve"> </w:t>
      </w:r>
      <w:r w:rsidR="009C6588" w:rsidRPr="00EB4A9C">
        <w:rPr>
          <w:bCs/>
          <w:sz w:val="22"/>
          <w:szCs w:val="22"/>
          <w:lang w:val="en-US"/>
        </w:rPr>
        <w:t>occurs in peaks and</w:t>
      </w:r>
      <w:r w:rsidR="00547B73">
        <w:rPr>
          <w:bCs/>
          <w:sz w:val="22"/>
          <w:szCs w:val="22"/>
          <w:lang w:val="en-US"/>
        </w:rPr>
        <w:t xml:space="preserve"> troughs; no skill performed is</w:t>
      </w:r>
      <w:r w:rsidR="009C6588" w:rsidRPr="00EB4A9C">
        <w:rPr>
          <w:bCs/>
          <w:sz w:val="22"/>
          <w:szCs w:val="22"/>
          <w:lang w:val="en-US"/>
        </w:rPr>
        <w:t xml:space="preserve"> ever the same. </w:t>
      </w:r>
      <w:r w:rsidR="00547B73">
        <w:rPr>
          <w:bCs/>
          <w:sz w:val="22"/>
          <w:szCs w:val="22"/>
          <w:lang w:val="en-US"/>
        </w:rPr>
        <w:t>In this unit of work, o</w:t>
      </w:r>
      <w:r w:rsidR="00C7762A">
        <w:rPr>
          <w:bCs/>
          <w:sz w:val="22"/>
          <w:szCs w:val="22"/>
          <w:lang w:val="en-US"/>
        </w:rPr>
        <w:t>nce the game player thought the problem was mastered, the game reacted back to pose something different (but similar), forcing</w:t>
      </w:r>
      <w:r w:rsidR="009C6588" w:rsidRPr="00EB4A9C">
        <w:rPr>
          <w:bCs/>
          <w:sz w:val="22"/>
          <w:szCs w:val="22"/>
          <w:lang w:val="en-US"/>
        </w:rPr>
        <w:t xml:space="preserve"> the game player to respond in another way. </w:t>
      </w:r>
      <w:r w:rsidR="00351259">
        <w:rPr>
          <w:bCs/>
          <w:sz w:val="22"/>
          <w:szCs w:val="22"/>
          <w:lang w:val="en-US"/>
        </w:rPr>
        <w:t>Nonlinear learning</w:t>
      </w:r>
      <w:r w:rsidR="009C6588" w:rsidRPr="00EB4A9C">
        <w:rPr>
          <w:bCs/>
          <w:sz w:val="22"/>
          <w:szCs w:val="22"/>
          <w:lang w:val="en-US"/>
        </w:rPr>
        <w:t xml:space="preserve"> (peaks and troughs) is characteristic of the ga</w:t>
      </w:r>
      <w:r w:rsidR="00674C42" w:rsidRPr="00EB4A9C">
        <w:rPr>
          <w:bCs/>
          <w:sz w:val="22"/>
          <w:szCs w:val="22"/>
          <w:lang w:val="en-US"/>
        </w:rPr>
        <w:t>me centred approach</w:t>
      </w:r>
      <w:r w:rsidR="00351259">
        <w:rPr>
          <w:bCs/>
          <w:sz w:val="22"/>
          <w:szCs w:val="22"/>
          <w:lang w:val="en-US"/>
        </w:rPr>
        <w:t xml:space="preserve"> (Chow &amp; Atencio, 2012)</w:t>
      </w:r>
      <w:r w:rsidR="00674C42" w:rsidRPr="00EB4A9C">
        <w:rPr>
          <w:bCs/>
          <w:sz w:val="22"/>
          <w:szCs w:val="22"/>
          <w:lang w:val="en-US"/>
        </w:rPr>
        <w:t>, due to the freedom in games for players to think and act. In digital games, players feel like they have freedom (which to some extent, they do), however, the careful design of games means that game players are actually engaging in a process of repetition (through variation).</w:t>
      </w:r>
      <w:r w:rsidR="00796788">
        <w:rPr>
          <w:bCs/>
          <w:sz w:val="22"/>
          <w:szCs w:val="22"/>
          <w:lang w:val="en-US"/>
        </w:rPr>
        <w:t xml:space="preserve"> The idea of repetition</w:t>
      </w:r>
      <w:r w:rsidR="003B4E94">
        <w:rPr>
          <w:bCs/>
          <w:sz w:val="22"/>
          <w:szCs w:val="22"/>
          <w:lang w:val="en-US"/>
        </w:rPr>
        <w:t xml:space="preserve"> in physical education practice is traditionally aligned to linear learning, using a skill-drill approach. This case study </w:t>
      </w:r>
      <w:r w:rsidR="00C03E97">
        <w:rPr>
          <w:bCs/>
          <w:sz w:val="22"/>
          <w:szCs w:val="22"/>
          <w:lang w:val="en-US"/>
        </w:rPr>
        <w:t>reflects on</w:t>
      </w:r>
      <w:r w:rsidR="00547B73">
        <w:rPr>
          <w:bCs/>
          <w:sz w:val="22"/>
          <w:szCs w:val="22"/>
          <w:lang w:val="en-US"/>
        </w:rPr>
        <w:t xml:space="preserve"> </w:t>
      </w:r>
      <w:r w:rsidR="003B4E94">
        <w:rPr>
          <w:bCs/>
          <w:sz w:val="22"/>
          <w:szCs w:val="22"/>
          <w:lang w:val="en-US"/>
        </w:rPr>
        <w:t>how Gee’s (2013) design features can be used</w:t>
      </w:r>
      <w:r w:rsidR="00C03E97">
        <w:rPr>
          <w:bCs/>
          <w:sz w:val="22"/>
          <w:szCs w:val="22"/>
          <w:lang w:val="en-US"/>
        </w:rPr>
        <w:t xml:space="preserve"> </w:t>
      </w:r>
      <w:r w:rsidR="00EF2493">
        <w:rPr>
          <w:bCs/>
          <w:sz w:val="22"/>
          <w:szCs w:val="22"/>
          <w:lang w:val="en-US"/>
        </w:rPr>
        <w:t xml:space="preserve">to provide repetition, whilst still </w:t>
      </w:r>
      <w:r w:rsidR="00351259">
        <w:rPr>
          <w:bCs/>
          <w:sz w:val="22"/>
          <w:szCs w:val="22"/>
          <w:lang w:val="en-US"/>
        </w:rPr>
        <w:t xml:space="preserve">working within a nonlinear pedagogical framework, namely a game centred approach. </w:t>
      </w:r>
    </w:p>
    <w:p w14:paraId="5E3AC521" w14:textId="77777777" w:rsidR="00EA67DF" w:rsidRDefault="00EA67DF" w:rsidP="00EA67DF">
      <w:pPr>
        <w:widowControl w:val="0"/>
        <w:autoSpaceDE w:val="0"/>
        <w:autoSpaceDN w:val="0"/>
        <w:adjustRightInd w:val="0"/>
        <w:spacing w:line="480" w:lineRule="auto"/>
        <w:jc w:val="both"/>
        <w:rPr>
          <w:bCs/>
          <w:sz w:val="22"/>
          <w:szCs w:val="22"/>
        </w:rPr>
      </w:pPr>
    </w:p>
    <w:p w14:paraId="0FA97B67" w14:textId="77777777" w:rsidR="00EA67DF" w:rsidRPr="00D602D9" w:rsidRDefault="00EA67DF" w:rsidP="00EA67DF">
      <w:pPr>
        <w:widowControl w:val="0"/>
        <w:autoSpaceDE w:val="0"/>
        <w:autoSpaceDN w:val="0"/>
        <w:adjustRightInd w:val="0"/>
        <w:spacing w:line="480" w:lineRule="auto"/>
        <w:jc w:val="both"/>
        <w:rPr>
          <w:b/>
          <w:bCs/>
          <w:i/>
          <w:sz w:val="22"/>
          <w:szCs w:val="22"/>
        </w:rPr>
      </w:pPr>
      <w:r>
        <w:rPr>
          <w:b/>
          <w:bCs/>
          <w:i/>
          <w:sz w:val="22"/>
          <w:szCs w:val="22"/>
        </w:rPr>
        <w:t>Gee (2013</w:t>
      </w:r>
      <w:r w:rsidRPr="00D602D9">
        <w:rPr>
          <w:b/>
          <w:bCs/>
          <w:i/>
          <w:sz w:val="22"/>
          <w:szCs w:val="22"/>
        </w:rPr>
        <w:t>) Cycle of Expertise</w:t>
      </w:r>
    </w:p>
    <w:p w14:paraId="0ED534E8" w14:textId="2F2C7824" w:rsidR="00C7762A" w:rsidRDefault="003B4E94" w:rsidP="00EA67DF">
      <w:pPr>
        <w:widowControl w:val="0"/>
        <w:autoSpaceDE w:val="0"/>
        <w:autoSpaceDN w:val="0"/>
        <w:adjustRightInd w:val="0"/>
        <w:spacing w:line="480" w:lineRule="auto"/>
        <w:jc w:val="both"/>
        <w:rPr>
          <w:bCs/>
          <w:sz w:val="22"/>
          <w:szCs w:val="22"/>
        </w:rPr>
      </w:pPr>
      <w:r>
        <w:rPr>
          <w:bCs/>
          <w:sz w:val="22"/>
          <w:szCs w:val="22"/>
        </w:rPr>
        <w:t xml:space="preserve">Gee’s (2013) </w:t>
      </w:r>
      <w:r w:rsidR="00C7762A">
        <w:rPr>
          <w:bCs/>
          <w:sz w:val="22"/>
          <w:szCs w:val="22"/>
        </w:rPr>
        <w:t>outlines the ‘Cycle of Expertise’ as a good game design feature</w:t>
      </w:r>
      <w:r w:rsidR="00791F4E">
        <w:rPr>
          <w:bCs/>
          <w:sz w:val="22"/>
          <w:szCs w:val="22"/>
        </w:rPr>
        <w:t>, that facilitates the learning principle of problem solving.</w:t>
      </w:r>
    </w:p>
    <w:p w14:paraId="0DE3E745" w14:textId="77777777" w:rsidR="00C7762A" w:rsidRDefault="00C7762A" w:rsidP="00EA67DF">
      <w:pPr>
        <w:widowControl w:val="0"/>
        <w:autoSpaceDE w:val="0"/>
        <w:autoSpaceDN w:val="0"/>
        <w:adjustRightInd w:val="0"/>
        <w:spacing w:line="480" w:lineRule="auto"/>
        <w:jc w:val="both"/>
        <w:rPr>
          <w:bCs/>
          <w:sz w:val="22"/>
          <w:szCs w:val="22"/>
        </w:rPr>
      </w:pPr>
    </w:p>
    <w:p w14:paraId="5EF23276" w14:textId="77777777" w:rsidR="00C7762A" w:rsidRPr="00C7762A" w:rsidRDefault="00C7762A" w:rsidP="00C7762A">
      <w:pPr>
        <w:widowControl w:val="0"/>
        <w:autoSpaceDE w:val="0"/>
        <w:autoSpaceDN w:val="0"/>
        <w:adjustRightInd w:val="0"/>
        <w:spacing w:after="240"/>
        <w:jc w:val="both"/>
        <w:rPr>
          <w:rFonts w:cs="Times"/>
          <w:sz w:val="22"/>
          <w:szCs w:val="22"/>
          <w:lang w:val="en-US"/>
        </w:rPr>
      </w:pPr>
      <w:r w:rsidRPr="00C7762A">
        <w:rPr>
          <w:rFonts w:cs="Times"/>
          <w:sz w:val="22"/>
          <w:szCs w:val="22"/>
          <w:lang w:val="en-US"/>
        </w:rPr>
        <w:t>a) Expertise is formed by repeating the practice of a skill until nearly automatic, then having those skills fail in ways that encourage the learner to re-think and re-learn</w:t>
      </w:r>
    </w:p>
    <w:p w14:paraId="0C86C60B" w14:textId="77777777" w:rsidR="00C7762A" w:rsidRPr="00C7762A" w:rsidRDefault="00C7762A" w:rsidP="00C7762A">
      <w:pPr>
        <w:widowControl w:val="0"/>
        <w:autoSpaceDE w:val="0"/>
        <w:autoSpaceDN w:val="0"/>
        <w:adjustRightInd w:val="0"/>
        <w:spacing w:after="240"/>
        <w:jc w:val="both"/>
        <w:rPr>
          <w:rFonts w:cs="Times"/>
          <w:sz w:val="22"/>
          <w:szCs w:val="22"/>
          <w:lang w:val="en-US"/>
        </w:rPr>
      </w:pPr>
      <w:r w:rsidRPr="00C7762A">
        <w:rPr>
          <w:rFonts w:cs="Times"/>
          <w:sz w:val="22"/>
          <w:szCs w:val="22"/>
          <w:lang w:val="en-US"/>
        </w:rPr>
        <w:t>b) Digital games are well paced; cycles of expertise include extended practice, tests of mastery, a new challenge, and then a new extended practice</w:t>
      </w:r>
    </w:p>
    <w:p w14:paraId="22E8BD12" w14:textId="0F167840" w:rsidR="003B4E94" w:rsidRDefault="00C7762A" w:rsidP="00EA67DF">
      <w:pPr>
        <w:widowControl w:val="0"/>
        <w:autoSpaceDE w:val="0"/>
        <w:autoSpaceDN w:val="0"/>
        <w:adjustRightInd w:val="0"/>
        <w:spacing w:line="480" w:lineRule="auto"/>
        <w:jc w:val="both"/>
        <w:rPr>
          <w:bCs/>
          <w:sz w:val="22"/>
          <w:szCs w:val="22"/>
        </w:rPr>
      </w:pPr>
      <w:r w:rsidRPr="00C7762A">
        <w:rPr>
          <w:rFonts w:cs="Times"/>
          <w:sz w:val="22"/>
          <w:szCs w:val="22"/>
          <w:lang w:val="en-US"/>
        </w:rPr>
        <w:t>c). Players require the ability to reflect on performance and learning</w:t>
      </w:r>
    </w:p>
    <w:p w14:paraId="61F7AA03" w14:textId="77777777" w:rsidR="00C7762A" w:rsidRDefault="00C7762A" w:rsidP="00EA67DF">
      <w:pPr>
        <w:widowControl w:val="0"/>
        <w:autoSpaceDE w:val="0"/>
        <w:autoSpaceDN w:val="0"/>
        <w:adjustRightInd w:val="0"/>
        <w:spacing w:line="480" w:lineRule="auto"/>
        <w:jc w:val="both"/>
        <w:rPr>
          <w:bCs/>
          <w:sz w:val="22"/>
          <w:szCs w:val="22"/>
        </w:rPr>
      </w:pPr>
    </w:p>
    <w:p w14:paraId="73EFCDEB" w14:textId="7542216F" w:rsidR="00EA67DF" w:rsidRDefault="00EA67DF" w:rsidP="00EA67DF">
      <w:pPr>
        <w:widowControl w:val="0"/>
        <w:autoSpaceDE w:val="0"/>
        <w:autoSpaceDN w:val="0"/>
        <w:adjustRightInd w:val="0"/>
        <w:spacing w:line="480" w:lineRule="auto"/>
        <w:jc w:val="both"/>
        <w:rPr>
          <w:bCs/>
          <w:sz w:val="22"/>
          <w:szCs w:val="22"/>
        </w:rPr>
      </w:pPr>
      <w:r>
        <w:rPr>
          <w:bCs/>
          <w:sz w:val="22"/>
          <w:szCs w:val="22"/>
        </w:rPr>
        <w:t>Gee’s (2013) cycle of expertise suggests that video games encourage practicing a skill, and then performing some kind of mastery test (usually defeating the ‘Boss’), followed by using this skill again under different problem based scenarios which encourage a ‘rethinking process’. In a game centred approach, the idea of ‘rethinking’ is one reason why learning and performance is not linear, and explains the critical thinking process of the game player to select, modify and apply skills to progress through the game.</w:t>
      </w:r>
    </w:p>
    <w:p w14:paraId="51BBB6B7" w14:textId="77777777" w:rsidR="00EA67DF" w:rsidRDefault="00EA67DF" w:rsidP="00EA67DF">
      <w:pPr>
        <w:widowControl w:val="0"/>
        <w:autoSpaceDE w:val="0"/>
        <w:autoSpaceDN w:val="0"/>
        <w:adjustRightInd w:val="0"/>
        <w:spacing w:line="480" w:lineRule="auto"/>
        <w:jc w:val="both"/>
        <w:rPr>
          <w:bCs/>
          <w:sz w:val="22"/>
          <w:szCs w:val="22"/>
        </w:rPr>
      </w:pPr>
    </w:p>
    <w:p w14:paraId="295D7E8C" w14:textId="77777777" w:rsidR="00EA67DF" w:rsidRDefault="00EA67DF" w:rsidP="00EA67DF">
      <w:pPr>
        <w:widowControl w:val="0"/>
        <w:autoSpaceDE w:val="0"/>
        <w:autoSpaceDN w:val="0"/>
        <w:adjustRightInd w:val="0"/>
        <w:spacing w:line="480" w:lineRule="auto"/>
        <w:jc w:val="both"/>
        <w:rPr>
          <w:b/>
          <w:bCs/>
          <w:sz w:val="22"/>
          <w:szCs w:val="22"/>
          <w:u w:val="single"/>
          <w:lang w:val="en-US"/>
        </w:rPr>
      </w:pPr>
      <w:r>
        <w:rPr>
          <w:b/>
          <w:bCs/>
          <w:sz w:val="22"/>
          <w:szCs w:val="22"/>
          <w:u w:val="single"/>
          <w:lang w:val="en-US"/>
        </w:rPr>
        <w:t>Conclusion</w:t>
      </w:r>
    </w:p>
    <w:p w14:paraId="02CC8233" w14:textId="3E6408BD" w:rsidR="00EA67DF" w:rsidRDefault="003518DD" w:rsidP="00EA67DF">
      <w:pPr>
        <w:widowControl w:val="0"/>
        <w:autoSpaceDE w:val="0"/>
        <w:autoSpaceDN w:val="0"/>
        <w:adjustRightInd w:val="0"/>
        <w:spacing w:line="480" w:lineRule="auto"/>
        <w:jc w:val="both"/>
        <w:rPr>
          <w:bCs/>
          <w:sz w:val="22"/>
          <w:szCs w:val="22"/>
          <w:lang w:val="en-US"/>
        </w:rPr>
      </w:pPr>
      <w:r>
        <w:rPr>
          <w:bCs/>
          <w:sz w:val="22"/>
          <w:szCs w:val="22"/>
          <w:lang w:val="en-US"/>
        </w:rPr>
        <w:t>Since Bunker &amp;</w:t>
      </w:r>
      <w:r w:rsidR="00EA67DF">
        <w:rPr>
          <w:bCs/>
          <w:sz w:val="22"/>
          <w:szCs w:val="22"/>
          <w:lang w:val="en-US"/>
        </w:rPr>
        <w:t xml:space="preserve"> Thorpe’s (1982) introduction to TGfU, the game centred approach, is still considered as innovative practice, despite it’s grounding in major learning </w:t>
      </w:r>
      <w:r w:rsidR="005F1B68">
        <w:rPr>
          <w:bCs/>
          <w:sz w:val="22"/>
          <w:szCs w:val="22"/>
          <w:lang w:val="en-US"/>
        </w:rPr>
        <w:t xml:space="preserve">theories, </w:t>
      </w:r>
      <w:r w:rsidR="00EA67DF">
        <w:rPr>
          <w:bCs/>
          <w:sz w:val="22"/>
          <w:szCs w:val="22"/>
          <w:lang w:val="en-US"/>
        </w:rPr>
        <w:t>such as Vygotsky (</w:t>
      </w:r>
      <w:r w:rsidR="005F1B68">
        <w:rPr>
          <w:bCs/>
          <w:sz w:val="22"/>
          <w:szCs w:val="22"/>
          <w:lang w:val="en-US"/>
        </w:rPr>
        <w:t xml:space="preserve">1978), Lave (1988) </w:t>
      </w:r>
      <w:r w:rsidR="00EA67DF">
        <w:rPr>
          <w:bCs/>
          <w:sz w:val="22"/>
          <w:szCs w:val="22"/>
          <w:lang w:val="en-US"/>
        </w:rPr>
        <w:t>and Schon</w:t>
      </w:r>
      <w:r>
        <w:rPr>
          <w:bCs/>
          <w:sz w:val="22"/>
          <w:szCs w:val="22"/>
          <w:lang w:val="en-US"/>
        </w:rPr>
        <w:t xml:space="preserve"> (1991). According to Harvey &amp;</w:t>
      </w:r>
      <w:r w:rsidR="00EA67DF">
        <w:rPr>
          <w:bCs/>
          <w:sz w:val="22"/>
          <w:szCs w:val="22"/>
          <w:lang w:val="en-US"/>
        </w:rPr>
        <w:t xml:space="preserve"> Jarrett’s (2013) review of literature concerning the game centred approach, the issue of assessment (for and of learning) is still an area that requires further investigation, in order to support the practice of physical education practitioners who adopt the game centred approach.</w:t>
      </w:r>
    </w:p>
    <w:p w14:paraId="7AABA0FC" w14:textId="77777777" w:rsidR="00EA67DF" w:rsidRDefault="00EA67DF" w:rsidP="00EA67DF">
      <w:pPr>
        <w:widowControl w:val="0"/>
        <w:autoSpaceDE w:val="0"/>
        <w:autoSpaceDN w:val="0"/>
        <w:adjustRightInd w:val="0"/>
        <w:spacing w:line="480" w:lineRule="auto"/>
        <w:jc w:val="both"/>
        <w:rPr>
          <w:bCs/>
          <w:sz w:val="22"/>
          <w:szCs w:val="22"/>
          <w:lang w:val="en-US"/>
        </w:rPr>
      </w:pPr>
    </w:p>
    <w:p w14:paraId="254BE82D" w14:textId="77777777" w:rsidR="00EA67DF" w:rsidRPr="00742524" w:rsidRDefault="00EA67DF" w:rsidP="00EA67DF">
      <w:pPr>
        <w:widowControl w:val="0"/>
        <w:autoSpaceDE w:val="0"/>
        <w:autoSpaceDN w:val="0"/>
        <w:adjustRightInd w:val="0"/>
        <w:spacing w:line="480" w:lineRule="auto"/>
        <w:jc w:val="both"/>
        <w:rPr>
          <w:bCs/>
          <w:sz w:val="22"/>
          <w:szCs w:val="22"/>
          <w:lang w:val="en-US"/>
        </w:rPr>
      </w:pPr>
      <w:r>
        <w:rPr>
          <w:bCs/>
          <w:sz w:val="22"/>
          <w:szCs w:val="22"/>
          <w:lang w:val="en-US"/>
        </w:rPr>
        <w:t xml:space="preserve">This case study proposes that physical education may be able to learn from the way good digital game designers use game design as a strategy to encompass both learning and assessment within the game itself, to create conditions where game players want to persevere to the game’s end goal. Hence, How can Gee’s (2013) good game design features be translated into a pedagogical instructional model for physical education </w:t>
      </w:r>
      <w:r>
        <w:rPr>
          <w:bCs/>
          <w:sz w:val="22"/>
          <w:szCs w:val="22"/>
          <w:lang w:val="en-US"/>
        </w:rPr>
        <w:lastRenderedPageBreak/>
        <w:t xml:space="preserve">practitioners? </w:t>
      </w:r>
    </w:p>
    <w:p w14:paraId="6C16BDDE" w14:textId="77777777" w:rsidR="00EA67DF" w:rsidRDefault="00EA67DF" w:rsidP="00EA67DF">
      <w:pPr>
        <w:widowControl w:val="0"/>
        <w:autoSpaceDE w:val="0"/>
        <w:autoSpaceDN w:val="0"/>
        <w:adjustRightInd w:val="0"/>
        <w:spacing w:line="480" w:lineRule="auto"/>
        <w:jc w:val="both"/>
        <w:rPr>
          <w:b/>
          <w:bCs/>
          <w:sz w:val="22"/>
          <w:szCs w:val="22"/>
          <w:u w:val="single"/>
          <w:lang w:val="en-US"/>
        </w:rPr>
      </w:pPr>
    </w:p>
    <w:p w14:paraId="3F7EDE57" w14:textId="77777777" w:rsidR="00EA67DF" w:rsidRDefault="00EA67DF" w:rsidP="00EA67DF">
      <w:pPr>
        <w:widowControl w:val="0"/>
        <w:autoSpaceDE w:val="0"/>
        <w:autoSpaceDN w:val="0"/>
        <w:adjustRightInd w:val="0"/>
        <w:jc w:val="both"/>
        <w:rPr>
          <w:b/>
          <w:bCs/>
          <w:sz w:val="22"/>
          <w:szCs w:val="22"/>
          <w:u w:val="single"/>
          <w:lang w:val="en-US"/>
        </w:rPr>
      </w:pPr>
      <w:r w:rsidRPr="009F44DC">
        <w:rPr>
          <w:b/>
          <w:bCs/>
          <w:sz w:val="22"/>
          <w:szCs w:val="22"/>
          <w:u w:val="single"/>
          <w:lang w:val="en-US"/>
        </w:rPr>
        <w:t>Reference List</w:t>
      </w:r>
    </w:p>
    <w:p w14:paraId="012490A4" w14:textId="77777777" w:rsidR="00EA67DF" w:rsidRPr="009F44DC" w:rsidRDefault="00EA67DF" w:rsidP="00EA67DF">
      <w:pPr>
        <w:widowControl w:val="0"/>
        <w:autoSpaceDE w:val="0"/>
        <w:autoSpaceDN w:val="0"/>
        <w:adjustRightInd w:val="0"/>
        <w:jc w:val="both"/>
        <w:rPr>
          <w:b/>
          <w:bCs/>
          <w:sz w:val="22"/>
          <w:szCs w:val="22"/>
          <w:u w:val="single"/>
          <w:lang w:val="en-US"/>
        </w:rPr>
      </w:pPr>
    </w:p>
    <w:p w14:paraId="72CD9FAB" w14:textId="77777777" w:rsidR="00EA67DF" w:rsidRPr="009F44DC" w:rsidRDefault="00EA67DF" w:rsidP="00EA67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22"/>
          <w:szCs w:val="22"/>
          <w:lang w:val="en-US"/>
        </w:rPr>
      </w:pPr>
      <w:r w:rsidRPr="009F44DC">
        <w:rPr>
          <w:rFonts w:cs="Helvetica"/>
          <w:sz w:val="22"/>
          <w:szCs w:val="22"/>
          <w:lang w:val="en-US"/>
        </w:rPr>
        <w:t xml:space="preserve">Anderson, L., and Krathwohl, D. A. (2001). </w:t>
      </w:r>
      <w:r w:rsidRPr="009F44DC">
        <w:rPr>
          <w:rFonts w:cs="Helvetica"/>
          <w:i/>
          <w:iCs/>
          <w:sz w:val="22"/>
          <w:szCs w:val="22"/>
          <w:lang w:val="en-US"/>
        </w:rPr>
        <w:t>Taxonomy for Learning, Teaching and Assessing: A Revision of Bloom's Taxonomy of Educational Objectives.</w:t>
      </w:r>
      <w:r w:rsidRPr="009F44DC">
        <w:rPr>
          <w:rFonts w:cs="Helvetica"/>
          <w:sz w:val="22"/>
          <w:szCs w:val="22"/>
          <w:lang w:val="en-US"/>
        </w:rPr>
        <w:t xml:space="preserve"> New York: Longman</w:t>
      </w:r>
    </w:p>
    <w:p w14:paraId="557356E3" w14:textId="77777777" w:rsidR="00EA67DF" w:rsidRPr="009F44DC" w:rsidRDefault="00EA67DF" w:rsidP="00EA67DF">
      <w:pPr>
        <w:widowControl w:val="0"/>
        <w:autoSpaceDE w:val="0"/>
        <w:autoSpaceDN w:val="0"/>
        <w:adjustRightInd w:val="0"/>
        <w:jc w:val="both"/>
        <w:rPr>
          <w:bCs/>
          <w:sz w:val="22"/>
          <w:szCs w:val="22"/>
        </w:rPr>
      </w:pPr>
    </w:p>
    <w:p w14:paraId="44D919E8" w14:textId="77777777" w:rsidR="00EA67DF" w:rsidRPr="009F44DC" w:rsidRDefault="00EA67DF" w:rsidP="00EA67DF">
      <w:pPr>
        <w:widowControl w:val="0"/>
        <w:autoSpaceDE w:val="0"/>
        <w:autoSpaceDN w:val="0"/>
        <w:adjustRightInd w:val="0"/>
        <w:jc w:val="both"/>
        <w:rPr>
          <w:bCs/>
          <w:sz w:val="22"/>
          <w:szCs w:val="22"/>
        </w:rPr>
      </w:pPr>
      <w:r w:rsidRPr="009F44DC">
        <w:rPr>
          <w:bCs/>
          <w:sz w:val="22"/>
          <w:szCs w:val="22"/>
        </w:rPr>
        <w:t>Bloom B. (1956). Taxonomy of Educational Objectives, Handbook I:</w:t>
      </w:r>
      <w:r w:rsidRPr="009F44DC">
        <w:rPr>
          <w:bCs/>
          <w:i/>
          <w:iCs/>
          <w:sz w:val="22"/>
          <w:szCs w:val="22"/>
        </w:rPr>
        <w:t xml:space="preserve"> The Cognitive Domain.</w:t>
      </w:r>
      <w:r w:rsidRPr="009F44DC">
        <w:rPr>
          <w:bCs/>
          <w:sz w:val="22"/>
          <w:szCs w:val="22"/>
        </w:rPr>
        <w:t xml:space="preserve"> New York: David McKay Co Inc.</w:t>
      </w:r>
    </w:p>
    <w:p w14:paraId="57C3B225" w14:textId="77777777" w:rsidR="00EA67DF" w:rsidRPr="009F44DC" w:rsidRDefault="00EA67DF" w:rsidP="00EA67DF">
      <w:pPr>
        <w:widowControl w:val="0"/>
        <w:autoSpaceDE w:val="0"/>
        <w:autoSpaceDN w:val="0"/>
        <w:adjustRightInd w:val="0"/>
        <w:jc w:val="both"/>
        <w:rPr>
          <w:bCs/>
          <w:sz w:val="22"/>
          <w:szCs w:val="22"/>
        </w:rPr>
      </w:pPr>
    </w:p>
    <w:p w14:paraId="09961F9E" w14:textId="77777777" w:rsidR="00EA67DF" w:rsidRDefault="00EA67DF" w:rsidP="00EA67DF">
      <w:pPr>
        <w:widowControl w:val="0"/>
        <w:autoSpaceDE w:val="0"/>
        <w:autoSpaceDN w:val="0"/>
        <w:adjustRightInd w:val="0"/>
        <w:jc w:val="both"/>
        <w:rPr>
          <w:bCs/>
          <w:sz w:val="22"/>
          <w:szCs w:val="22"/>
          <w:lang w:val="en-US"/>
        </w:rPr>
      </w:pPr>
      <w:r w:rsidRPr="009F44DC">
        <w:rPr>
          <w:bCs/>
          <w:sz w:val="22"/>
          <w:szCs w:val="22"/>
          <w:lang w:val="en-US"/>
        </w:rPr>
        <w:t xml:space="preserve">Bunker, D., and Thorpe, R. (1982). A model for the teaching of games in secondary schools. </w:t>
      </w:r>
      <w:r w:rsidRPr="009F44DC">
        <w:rPr>
          <w:bCs/>
          <w:i/>
          <w:iCs/>
          <w:sz w:val="22"/>
          <w:szCs w:val="22"/>
          <w:lang w:val="en-US"/>
        </w:rPr>
        <w:t>Bulletin of Physical Education</w:t>
      </w:r>
      <w:r w:rsidRPr="009F44DC">
        <w:rPr>
          <w:bCs/>
          <w:sz w:val="22"/>
          <w:szCs w:val="22"/>
          <w:lang w:val="en-US"/>
        </w:rPr>
        <w:t>, 18, 5–8.</w:t>
      </w:r>
    </w:p>
    <w:p w14:paraId="49D9ECBD" w14:textId="77777777" w:rsidR="003518DD" w:rsidRDefault="003518DD" w:rsidP="00EA67DF">
      <w:pPr>
        <w:widowControl w:val="0"/>
        <w:autoSpaceDE w:val="0"/>
        <w:autoSpaceDN w:val="0"/>
        <w:adjustRightInd w:val="0"/>
        <w:jc w:val="both"/>
        <w:rPr>
          <w:bCs/>
          <w:sz w:val="22"/>
          <w:szCs w:val="22"/>
          <w:lang w:val="en-US"/>
        </w:rPr>
      </w:pPr>
    </w:p>
    <w:p w14:paraId="5F47B2A2" w14:textId="1FEA0618" w:rsidR="00EA67DF" w:rsidRPr="003518DD" w:rsidRDefault="003518DD" w:rsidP="003518DD">
      <w:pPr>
        <w:widowControl w:val="0"/>
        <w:autoSpaceDE w:val="0"/>
        <w:autoSpaceDN w:val="0"/>
        <w:adjustRightInd w:val="0"/>
        <w:spacing w:after="240"/>
        <w:rPr>
          <w:rFonts w:asciiTheme="minorHAnsi" w:eastAsiaTheme="minorEastAsia" w:hAnsiTheme="minorHAnsi" w:cs="Times"/>
          <w:sz w:val="22"/>
          <w:szCs w:val="22"/>
          <w:lang w:val="en-US"/>
        </w:rPr>
      </w:pPr>
      <w:r>
        <w:rPr>
          <w:bCs/>
          <w:sz w:val="22"/>
          <w:szCs w:val="22"/>
          <w:lang w:val="en-US"/>
        </w:rPr>
        <w:t xml:space="preserve">Chow, J. Y., &amp; Atencio, M. (2012). Complex and nonlinear pedagogy and the implications for physical education. </w:t>
      </w:r>
      <w:r>
        <w:rPr>
          <w:bCs/>
          <w:i/>
          <w:sz w:val="22"/>
          <w:szCs w:val="22"/>
          <w:lang w:val="en-US"/>
        </w:rPr>
        <w:t>Sport, Education and</w:t>
      </w:r>
      <w:r w:rsidRPr="003518DD">
        <w:rPr>
          <w:bCs/>
          <w:i/>
          <w:sz w:val="22"/>
          <w:szCs w:val="22"/>
          <w:lang w:val="en-US"/>
        </w:rPr>
        <w:t xml:space="preserve"> </w:t>
      </w:r>
      <w:r w:rsidRPr="003518DD">
        <w:rPr>
          <w:rFonts w:asciiTheme="minorHAnsi" w:hAnsiTheme="minorHAnsi"/>
          <w:bCs/>
          <w:i/>
          <w:sz w:val="22"/>
          <w:szCs w:val="22"/>
          <w:lang w:val="en-US"/>
        </w:rPr>
        <w:t>Society,</w:t>
      </w:r>
      <w:r w:rsidRPr="003518DD">
        <w:rPr>
          <w:rFonts w:asciiTheme="minorHAnsi" w:hAnsiTheme="minorHAnsi"/>
          <w:bCs/>
          <w:sz w:val="22"/>
          <w:szCs w:val="22"/>
          <w:lang w:val="en-US"/>
        </w:rPr>
        <w:t xml:space="preserve"> </w:t>
      </w:r>
      <w:r>
        <w:rPr>
          <w:rFonts w:asciiTheme="minorHAnsi" w:eastAsiaTheme="minorEastAsia" w:hAnsiTheme="minorHAnsi" w:cs="Trebuchet MS"/>
          <w:sz w:val="22"/>
          <w:szCs w:val="22"/>
          <w:lang w:val="en-US"/>
        </w:rPr>
        <w:t xml:space="preserve">DOI: </w:t>
      </w:r>
      <w:r w:rsidRPr="003518DD">
        <w:rPr>
          <w:rFonts w:asciiTheme="minorHAnsi" w:eastAsiaTheme="minorEastAsia" w:hAnsiTheme="minorHAnsi" w:cs="Trebuchet MS"/>
          <w:sz w:val="22"/>
          <w:szCs w:val="22"/>
          <w:lang w:val="en-US"/>
        </w:rPr>
        <w:t xml:space="preserve">10.1080/13573322.2012.728528 </w:t>
      </w:r>
    </w:p>
    <w:p w14:paraId="5C9CE091" w14:textId="77777777" w:rsidR="00EA67DF" w:rsidRPr="009F44DC" w:rsidRDefault="00EA67DF" w:rsidP="00EA67DF">
      <w:pPr>
        <w:widowControl w:val="0"/>
        <w:autoSpaceDE w:val="0"/>
        <w:autoSpaceDN w:val="0"/>
        <w:adjustRightInd w:val="0"/>
        <w:jc w:val="both"/>
        <w:rPr>
          <w:bCs/>
          <w:sz w:val="22"/>
          <w:szCs w:val="22"/>
          <w:lang w:val="en-US"/>
        </w:rPr>
      </w:pPr>
      <w:r w:rsidRPr="009F44DC">
        <w:rPr>
          <w:bCs/>
          <w:sz w:val="22"/>
          <w:szCs w:val="22"/>
          <w:lang w:val="en-US"/>
        </w:rPr>
        <w:t xml:space="preserve">Csikszentmihalyi, M. (1975). </w:t>
      </w:r>
      <w:r w:rsidRPr="009F44DC">
        <w:rPr>
          <w:bCs/>
          <w:i/>
          <w:iCs/>
          <w:sz w:val="22"/>
          <w:szCs w:val="22"/>
          <w:lang w:val="en-US"/>
        </w:rPr>
        <w:t>The Psychology of Optimal Performance</w:t>
      </w:r>
      <w:r w:rsidRPr="009F44DC">
        <w:rPr>
          <w:bCs/>
          <w:sz w:val="22"/>
          <w:szCs w:val="22"/>
          <w:lang w:val="en-US"/>
        </w:rPr>
        <w:t>. New York: Oxon</w:t>
      </w:r>
    </w:p>
    <w:p w14:paraId="09601437" w14:textId="77777777" w:rsidR="00EA67DF" w:rsidRPr="009F44DC" w:rsidRDefault="00EA67DF" w:rsidP="00EA67DF">
      <w:pPr>
        <w:widowControl w:val="0"/>
        <w:autoSpaceDE w:val="0"/>
        <w:autoSpaceDN w:val="0"/>
        <w:adjustRightInd w:val="0"/>
        <w:jc w:val="both"/>
        <w:rPr>
          <w:bCs/>
          <w:sz w:val="22"/>
          <w:szCs w:val="22"/>
        </w:rPr>
      </w:pPr>
    </w:p>
    <w:p w14:paraId="45F426EC" w14:textId="77777777" w:rsidR="00EA67DF" w:rsidRPr="009F44DC" w:rsidRDefault="00EA67DF" w:rsidP="00EA67DF">
      <w:pPr>
        <w:widowControl w:val="0"/>
        <w:autoSpaceDE w:val="0"/>
        <w:autoSpaceDN w:val="0"/>
        <w:adjustRightInd w:val="0"/>
        <w:jc w:val="both"/>
        <w:rPr>
          <w:bCs/>
          <w:sz w:val="22"/>
          <w:szCs w:val="22"/>
          <w:lang w:val="en-US"/>
        </w:rPr>
      </w:pPr>
      <w:r w:rsidRPr="009F44DC">
        <w:rPr>
          <w:bCs/>
          <w:sz w:val="22"/>
          <w:szCs w:val="22"/>
          <w:lang w:val="en-US"/>
        </w:rPr>
        <w:t>Den Duyn, N. (1997). Games Sense: developing thinking players (Canberra, Australia, Australian Sports Commission).</w:t>
      </w:r>
    </w:p>
    <w:p w14:paraId="4285F444" w14:textId="77777777" w:rsidR="00EA67DF" w:rsidRPr="009F44DC" w:rsidRDefault="00EA67DF" w:rsidP="00EA67DF">
      <w:pPr>
        <w:widowControl w:val="0"/>
        <w:autoSpaceDE w:val="0"/>
        <w:autoSpaceDN w:val="0"/>
        <w:adjustRightInd w:val="0"/>
        <w:jc w:val="both"/>
        <w:rPr>
          <w:bCs/>
          <w:sz w:val="22"/>
          <w:szCs w:val="22"/>
        </w:rPr>
      </w:pPr>
    </w:p>
    <w:p w14:paraId="27F8A7F3" w14:textId="77777777" w:rsidR="00EA67DF" w:rsidRDefault="00EA67DF" w:rsidP="00EA67DF">
      <w:pPr>
        <w:widowControl w:val="0"/>
        <w:autoSpaceDE w:val="0"/>
        <w:autoSpaceDN w:val="0"/>
        <w:adjustRightInd w:val="0"/>
        <w:jc w:val="both"/>
        <w:rPr>
          <w:bCs/>
          <w:sz w:val="22"/>
          <w:szCs w:val="22"/>
        </w:rPr>
      </w:pPr>
      <w:r w:rsidRPr="009F44DC">
        <w:rPr>
          <w:bCs/>
          <w:sz w:val="22"/>
          <w:szCs w:val="22"/>
        </w:rPr>
        <w:t xml:space="preserve">Gee, J. (2003). </w:t>
      </w:r>
      <w:r w:rsidRPr="009F44DC">
        <w:rPr>
          <w:bCs/>
          <w:i/>
          <w:iCs/>
          <w:sz w:val="22"/>
          <w:szCs w:val="22"/>
        </w:rPr>
        <w:t>What videogames have to teach us about learning and literacy.</w:t>
      </w:r>
      <w:r w:rsidRPr="009F44DC">
        <w:rPr>
          <w:bCs/>
          <w:sz w:val="22"/>
          <w:szCs w:val="22"/>
        </w:rPr>
        <w:t xml:space="preserve"> New York: Palgrave Macmillan</w:t>
      </w:r>
    </w:p>
    <w:p w14:paraId="094FE78D" w14:textId="77777777" w:rsidR="00EA67DF" w:rsidRPr="00361319" w:rsidRDefault="00EA67DF" w:rsidP="00EA67DF">
      <w:pPr>
        <w:widowControl w:val="0"/>
        <w:autoSpaceDE w:val="0"/>
        <w:autoSpaceDN w:val="0"/>
        <w:adjustRightInd w:val="0"/>
        <w:jc w:val="both"/>
        <w:rPr>
          <w:bCs/>
          <w:sz w:val="22"/>
          <w:szCs w:val="22"/>
        </w:rPr>
      </w:pPr>
    </w:p>
    <w:p w14:paraId="5972D0A2" w14:textId="77777777" w:rsidR="00EA67DF" w:rsidRPr="00361319" w:rsidRDefault="00EA67DF" w:rsidP="00EA67DF">
      <w:pPr>
        <w:autoSpaceDE w:val="0"/>
        <w:autoSpaceDN w:val="0"/>
        <w:adjustRightInd w:val="0"/>
        <w:spacing w:line="360" w:lineRule="auto"/>
        <w:jc w:val="both"/>
        <w:rPr>
          <w:sz w:val="22"/>
          <w:szCs w:val="22"/>
          <w:lang w:val="en-US"/>
        </w:rPr>
      </w:pPr>
      <w:r w:rsidRPr="00361319">
        <w:rPr>
          <w:sz w:val="22"/>
          <w:szCs w:val="22"/>
          <w:lang w:val="en-US"/>
        </w:rPr>
        <w:t xml:space="preserve">Gee, J. (2013). </w:t>
      </w:r>
      <w:r w:rsidRPr="00361319">
        <w:rPr>
          <w:i/>
          <w:sz w:val="22"/>
          <w:szCs w:val="22"/>
          <w:lang w:val="en-US"/>
        </w:rPr>
        <w:t>Good Video Games and Learning - Second Edition</w:t>
      </w:r>
      <w:r w:rsidRPr="00361319">
        <w:rPr>
          <w:sz w:val="22"/>
          <w:szCs w:val="22"/>
          <w:lang w:val="en-US"/>
        </w:rPr>
        <w:t xml:space="preserve">. New </w:t>
      </w:r>
      <w:r>
        <w:rPr>
          <w:sz w:val="22"/>
          <w:szCs w:val="22"/>
          <w:lang w:val="en-US"/>
        </w:rPr>
        <w:t>York: Peter Lang Publishing Inc</w:t>
      </w:r>
    </w:p>
    <w:p w14:paraId="24BAAA79" w14:textId="77777777" w:rsidR="00EA67DF" w:rsidRPr="009F44DC" w:rsidRDefault="00EA67DF" w:rsidP="00EA67DF">
      <w:pPr>
        <w:widowControl w:val="0"/>
        <w:autoSpaceDE w:val="0"/>
        <w:autoSpaceDN w:val="0"/>
        <w:adjustRightInd w:val="0"/>
        <w:jc w:val="both"/>
        <w:rPr>
          <w:bCs/>
          <w:sz w:val="22"/>
          <w:szCs w:val="22"/>
        </w:rPr>
      </w:pPr>
    </w:p>
    <w:p w14:paraId="282AB2B5" w14:textId="77777777" w:rsidR="00EA67DF" w:rsidRPr="009F44DC" w:rsidRDefault="00EA67DF" w:rsidP="00EA67DF">
      <w:pPr>
        <w:widowControl w:val="0"/>
        <w:autoSpaceDE w:val="0"/>
        <w:autoSpaceDN w:val="0"/>
        <w:adjustRightInd w:val="0"/>
        <w:rPr>
          <w:sz w:val="22"/>
          <w:szCs w:val="22"/>
          <w:lang w:val="en-US"/>
        </w:rPr>
      </w:pPr>
      <w:r w:rsidRPr="009F44DC">
        <w:rPr>
          <w:sz w:val="22"/>
          <w:szCs w:val="22"/>
          <w:lang w:val="en-US"/>
        </w:rPr>
        <w:t xml:space="preserve">Grehaigne, J. F., Richard, J. F., &amp; Griffin, L. (2005). </w:t>
      </w:r>
      <w:r w:rsidRPr="009F44DC">
        <w:rPr>
          <w:i/>
          <w:sz w:val="22"/>
          <w:szCs w:val="22"/>
          <w:lang w:val="en-US"/>
        </w:rPr>
        <w:t>Teaching and learning team sports and games.</w:t>
      </w:r>
      <w:r w:rsidRPr="009F44DC">
        <w:rPr>
          <w:sz w:val="22"/>
          <w:szCs w:val="22"/>
          <w:lang w:val="en-US"/>
        </w:rPr>
        <w:t xml:space="preserve"> New York: RoutledgeFalmer.</w:t>
      </w:r>
    </w:p>
    <w:p w14:paraId="09169FED" w14:textId="77777777" w:rsidR="00EA67DF" w:rsidRPr="009F44DC" w:rsidRDefault="00EA67DF" w:rsidP="00EA67DF">
      <w:pPr>
        <w:widowControl w:val="0"/>
        <w:autoSpaceDE w:val="0"/>
        <w:autoSpaceDN w:val="0"/>
        <w:adjustRightInd w:val="0"/>
        <w:jc w:val="both"/>
        <w:rPr>
          <w:bCs/>
          <w:sz w:val="22"/>
          <w:szCs w:val="22"/>
          <w:lang w:val="en-US"/>
        </w:rPr>
      </w:pPr>
    </w:p>
    <w:p w14:paraId="4401F63A" w14:textId="77777777" w:rsidR="00EA67DF" w:rsidRPr="009F44DC" w:rsidRDefault="00EA67DF" w:rsidP="00EA67DF">
      <w:pPr>
        <w:widowControl w:val="0"/>
        <w:autoSpaceDE w:val="0"/>
        <w:autoSpaceDN w:val="0"/>
        <w:adjustRightInd w:val="0"/>
        <w:jc w:val="both"/>
        <w:rPr>
          <w:bCs/>
          <w:sz w:val="22"/>
          <w:szCs w:val="22"/>
          <w:lang w:val="en-US"/>
        </w:rPr>
      </w:pPr>
      <w:r w:rsidRPr="009F44DC">
        <w:rPr>
          <w:bCs/>
          <w:sz w:val="22"/>
          <w:szCs w:val="22"/>
          <w:lang w:val="en-US"/>
        </w:rPr>
        <w:t xml:space="preserve">Griffin, L., Oslin, J., and Mitchell, S. (1997). An analysis of two instructional approaches to teaching net games. </w:t>
      </w:r>
      <w:r w:rsidRPr="009F44DC">
        <w:rPr>
          <w:bCs/>
          <w:i/>
          <w:iCs/>
          <w:sz w:val="22"/>
          <w:szCs w:val="22"/>
          <w:lang w:val="en-US"/>
        </w:rPr>
        <w:t>Research Quarterly for Exercise and Sport</w:t>
      </w:r>
      <w:r w:rsidRPr="009F44DC">
        <w:rPr>
          <w:bCs/>
          <w:sz w:val="22"/>
          <w:szCs w:val="22"/>
          <w:lang w:val="en-US"/>
        </w:rPr>
        <w:t xml:space="preserve">, </w:t>
      </w:r>
      <w:r w:rsidRPr="009F44DC">
        <w:rPr>
          <w:b/>
          <w:bCs/>
          <w:sz w:val="22"/>
          <w:szCs w:val="22"/>
          <w:lang w:val="en-US"/>
        </w:rPr>
        <w:t>A-</w:t>
      </w:r>
      <w:r w:rsidRPr="009F44DC">
        <w:rPr>
          <w:bCs/>
          <w:sz w:val="22"/>
          <w:szCs w:val="22"/>
          <w:lang w:val="en-US"/>
        </w:rPr>
        <w:t>64.</w:t>
      </w:r>
    </w:p>
    <w:p w14:paraId="1A4FF294" w14:textId="77777777" w:rsidR="00EA67DF" w:rsidRPr="009F44DC" w:rsidRDefault="00EA67DF" w:rsidP="00EA67DF">
      <w:pPr>
        <w:widowControl w:val="0"/>
        <w:autoSpaceDE w:val="0"/>
        <w:autoSpaceDN w:val="0"/>
        <w:adjustRightInd w:val="0"/>
        <w:jc w:val="both"/>
        <w:rPr>
          <w:bCs/>
          <w:sz w:val="22"/>
          <w:szCs w:val="22"/>
        </w:rPr>
      </w:pPr>
    </w:p>
    <w:p w14:paraId="0819D3A3" w14:textId="77777777" w:rsidR="00EA67DF" w:rsidRPr="009F44DC" w:rsidRDefault="00EA67DF" w:rsidP="00EA67DF">
      <w:pPr>
        <w:widowControl w:val="0"/>
        <w:autoSpaceDE w:val="0"/>
        <w:autoSpaceDN w:val="0"/>
        <w:adjustRightInd w:val="0"/>
        <w:jc w:val="both"/>
        <w:rPr>
          <w:bCs/>
          <w:sz w:val="22"/>
          <w:szCs w:val="22"/>
        </w:rPr>
      </w:pPr>
      <w:r w:rsidRPr="009F44DC">
        <w:rPr>
          <w:bCs/>
          <w:sz w:val="22"/>
          <w:szCs w:val="22"/>
        </w:rPr>
        <w:t xml:space="preserve">Harvey, S. and Jarrett, K. (2013). A review of the game-centred approaches to teaching and coaching literature since 2006, </w:t>
      </w:r>
      <w:r w:rsidRPr="009F44DC">
        <w:rPr>
          <w:bCs/>
          <w:i/>
          <w:iCs/>
          <w:sz w:val="22"/>
          <w:szCs w:val="22"/>
        </w:rPr>
        <w:t>Physical Education and Sport Pedagogy</w:t>
      </w:r>
      <w:r w:rsidRPr="009F44DC">
        <w:rPr>
          <w:bCs/>
          <w:sz w:val="22"/>
          <w:szCs w:val="22"/>
        </w:rPr>
        <w:t xml:space="preserve">. </w:t>
      </w:r>
    </w:p>
    <w:p w14:paraId="61D8CCB6" w14:textId="77777777" w:rsidR="00EA67DF" w:rsidRPr="009F44DC" w:rsidRDefault="00EA67DF" w:rsidP="00EA67DF">
      <w:pPr>
        <w:widowControl w:val="0"/>
        <w:autoSpaceDE w:val="0"/>
        <w:autoSpaceDN w:val="0"/>
        <w:adjustRightInd w:val="0"/>
        <w:jc w:val="both"/>
        <w:rPr>
          <w:bCs/>
          <w:sz w:val="22"/>
          <w:szCs w:val="22"/>
        </w:rPr>
      </w:pPr>
    </w:p>
    <w:p w14:paraId="55323A4F" w14:textId="77777777" w:rsidR="00EA67DF" w:rsidRPr="009F44DC" w:rsidRDefault="00EA67DF" w:rsidP="00EA67DF">
      <w:pPr>
        <w:widowControl w:val="0"/>
        <w:autoSpaceDE w:val="0"/>
        <w:autoSpaceDN w:val="0"/>
        <w:adjustRightInd w:val="0"/>
        <w:jc w:val="both"/>
        <w:rPr>
          <w:bCs/>
          <w:sz w:val="22"/>
          <w:szCs w:val="22"/>
        </w:rPr>
      </w:pPr>
      <w:r w:rsidRPr="009F44DC">
        <w:rPr>
          <w:bCs/>
          <w:sz w:val="22"/>
          <w:szCs w:val="22"/>
        </w:rPr>
        <w:t xml:space="preserve">Harvey, S., C. Cushion, and Massa-Gonzalez. A. (2010). Learning a New Method: Teaching Games for Understanding in the Coaches’ Eyes. </w:t>
      </w:r>
      <w:r w:rsidRPr="009F44DC">
        <w:rPr>
          <w:bCs/>
          <w:i/>
          <w:iCs/>
          <w:sz w:val="22"/>
          <w:szCs w:val="22"/>
        </w:rPr>
        <w:t>Physical Education and Sport Pedagogy</w:t>
      </w:r>
      <w:r w:rsidRPr="009F44DC">
        <w:rPr>
          <w:bCs/>
          <w:sz w:val="22"/>
          <w:szCs w:val="22"/>
        </w:rPr>
        <w:t xml:space="preserve">, </w:t>
      </w:r>
      <w:r w:rsidRPr="009F44DC">
        <w:rPr>
          <w:b/>
          <w:bCs/>
          <w:sz w:val="22"/>
          <w:szCs w:val="22"/>
        </w:rPr>
        <w:t>15</w:t>
      </w:r>
      <w:r w:rsidRPr="009F44DC">
        <w:rPr>
          <w:bCs/>
          <w:sz w:val="22"/>
          <w:szCs w:val="22"/>
        </w:rPr>
        <w:t>, 361–382.</w:t>
      </w:r>
    </w:p>
    <w:p w14:paraId="02F3BA86" w14:textId="77777777" w:rsidR="00EA67DF" w:rsidRPr="009F44DC" w:rsidRDefault="00EA67DF" w:rsidP="00EA67DF">
      <w:pPr>
        <w:widowControl w:val="0"/>
        <w:autoSpaceDE w:val="0"/>
        <w:autoSpaceDN w:val="0"/>
        <w:adjustRightInd w:val="0"/>
        <w:jc w:val="both"/>
        <w:rPr>
          <w:bCs/>
          <w:sz w:val="22"/>
          <w:szCs w:val="22"/>
        </w:rPr>
      </w:pPr>
    </w:p>
    <w:p w14:paraId="5B4767A4" w14:textId="77777777" w:rsidR="00EA67DF" w:rsidRPr="009F44DC" w:rsidRDefault="00EA67DF" w:rsidP="00EA67DF">
      <w:pPr>
        <w:widowControl w:val="0"/>
        <w:autoSpaceDE w:val="0"/>
        <w:autoSpaceDN w:val="0"/>
        <w:adjustRightInd w:val="0"/>
        <w:jc w:val="both"/>
        <w:rPr>
          <w:bCs/>
          <w:sz w:val="22"/>
          <w:szCs w:val="22"/>
        </w:rPr>
      </w:pPr>
      <w:r w:rsidRPr="009F44DC">
        <w:rPr>
          <w:bCs/>
          <w:sz w:val="22"/>
          <w:szCs w:val="22"/>
        </w:rPr>
        <w:t xml:space="preserve">Kirk, D., and MacPhail, A. (2002) Teaching Games for Understanding and Situated Learning: Rethinking the Bunker-Thorpe Model. </w:t>
      </w:r>
      <w:r w:rsidRPr="009F44DC">
        <w:rPr>
          <w:bCs/>
          <w:i/>
          <w:iCs/>
          <w:sz w:val="22"/>
          <w:szCs w:val="22"/>
        </w:rPr>
        <w:t>Journal of Teaching in Physical Education,</w:t>
      </w:r>
      <w:r w:rsidRPr="009F44DC">
        <w:rPr>
          <w:b/>
          <w:bCs/>
          <w:sz w:val="22"/>
          <w:szCs w:val="22"/>
        </w:rPr>
        <w:t xml:space="preserve"> 21,</w:t>
      </w:r>
      <w:r w:rsidRPr="009F44DC">
        <w:rPr>
          <w:bCs/>
          <w:sz w:val="22"/>
          <w:szCs w:val="22"/>
        </w:rPr>
        <w:t xml:space="preserve"> 177-192.</w:t>
      </w:r>
    </w:p>
    <w:p w14:paraId="5D5FEAED" w14:textId="77777777" w:rsidR="00EA67DF" w:rsidRPr="009F44DC" w:rsidRDefault="00EA67DF" w:rsidP="00EA67DF">
      <w:pPr>
        <w:widowControl w:val="0"/>
        <w:autoSpaceDE w:val="0"/>
        <w:autoSpaceDN w:val="0"/>
        <w:adjustRightInd w:val="0"/>
        <w:jc w:val="both"/>
        <w:rPr>
          <w:bCs/>
          <w:sz w:val="22"/>
          <w:szCs w:val="22"/>
        </w:rPr>
      </w:pPr>
    </w:p>
    <w:p w14:paraId="43C4699A" w14:textId="77777777" w:rsidR="00EA67DF" w:rsidRPr="009F44DC" w:rsidRDefault="00EA67DF" w:rsidP="00EA67DF">
      <w:pPr>
        <w:widowControl w:val="0"/>
        <w:autoSpaceDE w:val="0"/>
        <w:autoSpaceDN w:val="0"/>
        <w:adjustRightInd w:val="0"/>
        <w:jc w:val="both"/>
        <w:rPr>
          <w:bCs/>
          <w:sz w:val="22"/>
          <w:szCs w:val="22"/>
          <w:lang w:val="en-US"/>
        </w:rPr>
      </w:pPr>
      <w:r w:rsidRPr="009F44DC">
        <w:rPr>
          <w:bCs/>
          <w:sz w:val="22"/>
          <w:szCs w:val="22"/>
          <w:lang w:val="en-US"/>
        </w:rPr>
        <w:t xml:space="preserve">Lave, J. (1988). </w:t>
      </w:r>
      <w:r w:rsidRPr="009F44DC">
        <w:rPr>
          <w:bCs/>
          <w:i/>
          <w:iCs/>
          <w:sz w:val="22"/>
          <w:szCs w:val="22"/>
          <w:lang w:val="en-US"/>
        </w:rPr>
        <w:t xml:space="preserve">Cognition in Practice: Mind, mathematics, and culture in everyday life. </w:t>
      </w:r>
      <w:r w:rsidRPr="009F44DC">
        <w:rPr>
          <w:bCs/>
          <w:sz w:val="22"/>
          <w:szCs w:val="22"/>
          <w:lang w:val="en-US"/>
        </w:rPr>
        <w:t>Cambridge, UK: Cambridge University Press.</w:t>
      </w:r>
    </w:p>
    <w:p w14:paraId="61141B2D" w14:textId="77777777" w:rsidR="00EA67DF" w:rsidRPr="009F44DC" w:rsidRDefault="00EA67DF" w:rsidP="00EA67DF">
      <w:pPr>
        <w:widowControl w:val="0"/>
        <w:autoSpaceDE w:val="0"/>
        <w:autoSpaceDN w:val="0"/>
        <w:adjustRightInd w:val="0"/>
        <w:jc w:val="both"/>
        <w:rPr>
          <w:bCs/>
          <w:sz w:val="22"/>
          <w:szCs w:val="22"/>
        </w:rPr>
      </w:pPr>
    </w:p>
    <w:p w14:paraId="5B636C35" w14:textId="77777777" w:rsidR="00EA67DF" w:rsidRPr="009F44DC" w:rsidRDefault="00EA67DF" w:rsidP="00EA67DF">
      <w:pPr>
        <w:widowControl w:val="0"/>
        <w:autoSpaceDE w:val="0"/>
        <w:autoSpaceDN w:val="0"/>
        <w:adjustRightInd w:val="0"/>
        <w:jc w:val="both"/>
        <w:rPr>
          <w:bCs/>
          <w:sz w:val="22"/>
          <w:szCs w:val="22"/>
          <w:lang w:val="en-US"/>
        </w:rPr>
      </w:pPr>
      <w:r w:rsidRPr="009F44DC">
        <w:rPr>
          <w:bCs/>
          <w:sz w:val="22"/>
          <w:szCs w:val="22"/>
          <w:lang w:val="en-US"/>
        </w:rPr>
        <w:t xml:space="preserve">Light, R., and Fawns, R. (2003). Knowing the game: Integrating speech and action through TGfU. </w:t>
      </w:r>
      <w:r w:rsidRPr="009F44DC">
        <w:rPr>
          <w:bCs/>
          <w:i/>
          <w:iCs/>
          <w:sz w:val="22"/>
          <w:szCs w:val="22"/>
          <w:lang w:val="en-US"/>
        </w:rPr>
        <w:t xml:space="preserve">Quest, </w:t>
      </w:r>
      <w:r w:rsidRPr="009F44DC">
        <w:rPr>
          <w:b/>
          <w:bCs/>
          <w:sz w:val="22"/>
          <w:szCs w:val="22"/>
          <w:lang w:val="en-US"/>
        </w:rPr>
        <w:t xml:space="preserve">55, </w:t>
      </w:r>
      <w:r w:rsidRPr="009F44DC">
        <w:rPr>
          <w:bCs/>
          <w:sz w:val="22"/>
          <w:szCs w:val="22"/>
          <w:lang w:val="en-US"/>
        </w:rPr>
        <w:t>161-176.</w:t>
      </w:r>
    </w:p>
    <w:p w14:paraId="103B0573" w14:textId="77777777" w:rsidR="00EA67DF" w:rsidRPr="009F44DC" w:rsidRDefault="00EA67DF" w:rsidP="00EA67DF">
      <w:pPr>
        <w:widowControl w:val="0"/>
        <w:autoSpaceDE w:val="0"/>
        <w:autoSpaceDN w:val="0"/>
        <w:adjustRightInd w:val="0"/>
        <w:jc w:val="both"/>
        <w:rPr>
          <w:bCs/>
          <w:sz w:val="22"/>
          <w:szCs w:val="22"/>
        </w:rPr>
      </w:pPr>
    </w:p>
    <w:p w14:paraId="434CB83C" w14:textId="77777777" w:rsidR="00EA67DF" w:rsidRPr="009F44DC" w:rsidRDefault="00EA67DF" w:rsidP="00EA67DF">
      <w:pPr>
        <w:widowControl w:val="0"/>
        <w:autoSpaceDE w:val="0"/>
        <w:autoSpaceDN w:val="0"/>
        <w:adjustRightInd w:val="0"/>
        <w:jc w:val="both"/>
        <w:rPr>
          <w:bCs/>
          <w:sz w:val="22"/>
          <w:szCs w:val="22"/>
        </w:rPr>
      </w:pPr>
      <w:r w:rsidRPr="009F44DC">
        <w:rPr>
          <w:bCs/>
          <w:sz w:val="22"/>
          <w:szCs w:val="22"/>
        </w:rPr>
        <w:lastRenderedPageBreak/>
        <w:t xml:space="preserve">Salen, K., and Zimmerman, E. (2004). </w:t>
      </w:r>
      <w:r w:rsidRPr="009F44DC">
        <w:rPr>
          <w:bCs/>
          <w:i/>
          <w:iCs/>
          <w:sz w:val="22"/>
          <w:szCs w:val="22"/>
        </w:rPr>
        <w:t>Rules of play: Game design fundamentals</w:t>
      </w:r>
      <w:r w:rsidRPr="009F44DC">
        <w:rPr>
          <w:bCs/>
          <w:sz w:val="22"/>
          <w:szCs w:val="22"/>
        </w:rPr>
        <w:t>. Cambridge, MA: The MIT Press</w:t>
      </w:r>
    </w:p>
    <w:p w14:paraId="7144BD1F" w14:textId="77777777" w:rsidR="00EA67DF" w:rsidRPr="009F44DC" w:rsidRDefault="00EA67DF" w:rsidP="00EA67DF">
      <w:pPr>
        <w:widowControl w:val="0"/>
        <w:autoSpaceDE w:val="0"/>
        <w:autoSpaceDN w:val="0"/>
        <w:adjustRightInd w:val="0"/>
        <w:jc w:val="both"/>
        <w:rPr>
          <w:bCs/>
          <w:sz w:val="22"/>
          <w:szCs w:val="22"/>
        </w:rPr>
      </w:pPr>
    </w:p>
    <w:p w14:paraId="75183A9B" w14:textId="77777777" w:rsidR="00EA67DF" w:rsidRPr="009F44DC" w:rsidRDefault="00EA67DF" w:rsidP="00EA67DF">
      <w:pPr>
        <w:widowControl w:val="0"/>
        <w:autoSpaceDE w:val="0"/>
        <w:autoSpaceDN w:val="0"/>
        <w:adjustRightInd w:val="0"/>
        <w:jc w:val="both"/>
        <w:rPr>
          <w:bCs/>
          <w:sz w:val="22"/>
          <w:szCs w:val="22"/>
          <w:lang w:val="en-US"/>
        </w:rPr>
      </w:pPr>
      <w:r w:rsidRPr="009F44DC">
        <w:rPr>
          <w:bCs/>
          <w:sz w:val="22"/>
          <w:szCs w:val="22"/>
          <w:lang w:val="en-US"/>
        </w:rPr>
        <w:t xml:space="preserve">Schön, D. (1991) </w:t>
      </w:r>
      <w:r w:rsidRPr="009F44DC">
        <w:rPr>
          <w:bCs/>
          <w:i/>
          <w:iCs/>
          <w:sz w:val="22"/>
          <w:szCs w:val="22"/>
          <w:lang w:val="en-US"/>
        </w:rPr>
        <w:t>The Reflective Turn: Case Studies In and On Educational Practice</w:t>
      </w:r>
      <w:r w:rsidRPr="009F44DC">
        <w:rPr>
          <w:bCs/>
          <w:sz w:val="22"/>
          <w:szCs w:val="22"/>
          <w:lang w:val="en-US"/>
        </w:rPr>
        <w:t>, New York: Teachers Press, Columbia University.</w:t>
      </w:r>
    </w:p>
    <w:p w14:paraId="3D8D3F53" w14:textId="77777777" w:rsidR="00EA67DF" w:rsidRPr="009F44DC" w:rsidRDefault="00EA67DF" w:rsidP="00EA67DF">
      <w:pPr>
        <w:widowControl w:val="0"/>
        <w:autoSpaceDE w:val="0"/>
        <w:autoSpaceDN w:val="0"/>
        <w:adjustRightInd w:val="0"/>
        <w:jc w:val="both"/>
        <w:rPr>
          <w:bCs/>
          <w:sz w:val="22"/>
          <w:szCs w:val="22"/>
        </w:rPr>
      </w:pPr>
    </w:p>
    <w:p w14:paraId="6EC32618" w14:textId="77777777" w:rsidR="00EA67DF" w:rsidRPr="009F44DC" w:rsidRDefault="00EA67DF" w:rsidP="00EA67DF">
      <w:pPr>
        <w:widowControl w:val="0"/>
        <w:autoSpaceDE w:val="0"/>
        <w:autoSpaceDN w:val="0"/>
        <w:adjustRightInd w:val="0"/>
        <w:jc w:val="both"/>
        <w:rPr>
          <w:bCs/>
          <w:sz w:val="22"/>
          <w:szCs w:val="22"/>
        </w:rPr>
      </w:pPr>
      <w:r w:rsidRPr="009F44DC">
        <w:rPr>
          <w:bCs/>
          <w:sz w:val="22"/>
          <w:szCs w:val="22"/>
        </w:rPr>
        <w:t xml:space="preserve">MacPhail, A., D. Kirk, and L. Griffin. (2008). Throwing and Catching as Relational Skills in Game Play: Situated Learning in a Modified Game Unit. </w:t>
      </w:r>
      <w:r w:rsidRPr="009F44DC">
        <w:rPr>
          <w:bCs/>
          <w:i/>
          <w:iCs/>
          <w:sz w:val="22"/>
          <w:szCs w:val="22"/>
        </w:rPr>
        <w:t>Journal of Teaching in Physical Education,</w:t>
      </w:r>
      <w:r w:rsidRPr="009F44DC">
        <w:rPr>
          <w:bCs/>
          <w:sz w:val="22"/>
          <w:szCs w:val="22"/>
        </w:rPr>
        <w:t xml:space="preserve"> </w:t>
      </w:r>
      <w:r w:rsidRPr="009F44DC">
        <w:rPr>
          <w:b/>
          <w:bCs/>
          <w:sz w:val="22"/>
          <w:szCs w:val="22"/>
        </w:rPr>
        <w:t>27,</w:t>
      </w:r>
      <w:r w:rsidRPr="009F44DC">
        <w:rPr>
          <w:bCs/>
          <w:sz w:val="22"/>
          <w:szCs w:val="22"/>
        </w:rPr>
        <w:t xml:space="preserve"> 100–115.</w:t>
      </w:r>
    </w:p>
    <w:p w14:paraId="4F9969D8" w14:textId="77777777" w:rsidR="00EA67DF" w:rsidRPr="009F44DC" w:rsidRDefault="00EA67DF" w:rsidP="00EA67DF">
      <w:pPr>
        <w:widowControl w:val="0"/>
        <w:autoSpaceDE w:val="0"/>
        <w:autoSpaceDN w:val="0"/>
        <w:adjustRightInd w:val="0"/>
        <w:jc w:val="both"/>
        <w:rPr>
          <w:bCs/>
          <w:sz w:val="22"/>
          <w:szCs w:val="22"/>
        </w:rPr>
      </w:pPr>
    </w:p>
    <w:p w14:paraId="4B7E5883" w14:textId="5FA97E29" w:rsidR="00EA67DF" w:rsidRDefault="002F2A65" w:rsidP="00EA67DF">
      <w:pPr>
        <w:widowControl w:val="0"/>
        <w:autoSpaceDE w:val="0"/>
        <w:autoSpaceDN w:val="0"/>
        <w:adjustRightInd w:val="0"/>
        <w:jc w:val="both"/>
        <w:rPr>
          <w:bCs/>
          <w:sz w:val="22"/>
          <w:szCs w:val="22"/>
          <w:lang w:val="en-US"/>
        </w:rPr>
      </w:pPr>
      <w:r>
        <w:rPr>
          <w:bCs/>
          <w:sz w:val="22"/>
          <w:szCs w:val="22"/>
          <w:lang w:val="en-US"/>
        </w:rPr>
        <w:t>McGonigal, J. (2011</w:t>
      </w:r>
      <w:r w:rsidR="00EA67DF" w:rsidRPr="009F44DC">
        <w:rPr>
          <w:bCs/>
          <w:sz w:val="22"/>
          <w:szCs w:val="22"/>
          <w:lang w:val="en-US"/>
        </w:rPr>
        <w:t>). Gaming Can Make a Better World [Online]. Available at</w:t>
      </w:r>
      <w:r w:rsidR="00EA67DF" w:rsidRPr="00A615A1">
        <w:rPr>
          <w:bCs/>
          <w:sz w:val="22"/>
          <w:szCs w:val="22"/>
          <w:lang w:val="en-US"/>
        </w:rPr>
        <w:t xml:space="preserve">: </w:t>
      </w:r>
      <w:hyperlink r:id="rId8" w:history="1">
        <w:r w:rsidR="00EA67DF" w:rsidRPr="007F08A4">
          <w:rPr>
            <w:rStyle w:val="Hyperlink"/>
            <w:bCs/>
            <w:sz w:val="22"/>
            <w:szCs w:val="22"/>
            <w:lang w:val="en-US"/>
          </w:rPr>
          <w:t>http://www.ted.com/talks/jane_mcgonigal_gaming_can_make_a_be_er_world.html</w:t>
        </w:r>
      </w:hyperlink>
      <w:r w:rsidR="00EA67DF">
        <w:rPr>
          <w:bCs/>
          <w:sz w:val="22"/>
          <w:szCs w:val="22"/>
          <w:u w:val="single"/>
          <w:lang w:val="en-US"/>
        </w:rPr>
        <w:t xml:space="preserve"> </w:t>
      </w:r>
      <w:r w:rsidR="00EA67DF" w:rsidRPr="009F44DC">
        <w:rPr>
          <w:bCs/>
          <w:sz w:val="22"/>
          <w:szCs w:val="22"/>
          <w:lang w:val="en-US"/>
        </w:rPr>
        <w:t>[Accessed 10 April 2014].</w:t>
      </w:r>
    </w:p>
    <w:p w14:paraId="00A23677" w14:textId="77777777" w:rsidR="00351259" w:rsidRDefault="00351259" w:rsidP="00EA67DF">
      <w:pPr>
        <w:widowControl w:val="0"/>
        <w:autoSpaceDE w:val="0"/>
        <w:autoSpaceDN w:val="0"/>
        <w:adjustRightInd w:val="0"/>
        <w:jc w:val="both"/>
        <w:rPr>
          <w:bCs/>
          <w:sz w:val="22"/>
          <w:szCs w:val="22"/>
          <w:lang w:val="en-US"/>
        </w:rPr>
      </w:pPr>
    </w:p>
    <w:p w14:paraId="6A103158" w14:textId="2A4F937D" w:rsidR="00351259" w:rsidRPr="009F44DC" w:rsidRDefault="00351259" w:rsidP="00EA67DF">
      <w:pPr>
        <w:widowControl w:val="0"/>
        <w:autoSpaceDE w:val="0"/>
        <w:autoSpaceDN w:val="0"/>
        <w:adjustRightInd w:val="0"/>
        <w:jc w:val="both"/>
        <w:rPr>
          <w:bCs/>
          <w:sz w:val="22"/>
          <w:szCs w:val="22"/>
          <w:lang w:val="en-US"/>
        </w:rPr>
      </w:pPr>
      <w:r w:rsidRPr="003518DD">
        <w:rPr>
          <w:bCs/>
          <w:sz w:val="22"/>
          <w:szCs w:val="22"/>
          <w:lang w:val="en-US"/>
        </w:rPr>
        <w:t xml:space="preserve">Memmert, D., &amp; Harvey, S. (2008). The Game Performance Assessment Instrument (GPAI): Some concerns and solutions for further development. </w:t>
      </w:r>
      <w:r w:rsidR="003518DD" w:rsidRPr="003518DD">
        <w:rPr>
          <w:bCs/>
          <w:i/>
          <w:sz w:val="22"/>
          <w:szCs w:val="22"/>
          <w:lang w:val="en-US"/>
        </w:rPr>
        <w:t>Journal</w:t>
      </w:r>
      <w:r w:rsidRPr="003518DD">
        <w:rPr>
          <w:bCs/>
          <w:i/>
          <w:sz w:val="22"/>
          <w:szCs w:val="22"/>
          <w:lang w:val="en-US"/>
        </w:rPr>
        <w:t xml:space="preserve"> of</w:t>
      </w:r>
      <w:r w:rsidR="003518DD" w:rsidRPr="003518DD">
        <w:rPr>
          <w:bCs/>
          <w:i/>
          <w:sz w:val="22"/>
          <w:szCs w:val="22"/>
          <w:lang w:val="en-US"/>
        </w:rPr>
        <w:t xml:space="preserve"> Teaching in Physical Education,</w:t>
      </w:r>
      <w:r w:rsidR="003518DD" w:rsidRPr="003518DD">
        <w:rPr>
          <w:bCs/>
          <w:sz w:val="22"/>
          <w:szCs w:val="22"/>
          <w:lang w:val="en-US"/>
        </w:rPr>
        <w:t xml:space="preserve"> </w:t>
      </w:r>
      <w:r w:rsidR="003518DD" w:rsidRPr="003518DD">
        <w:rPr>
          <w:b/>
          <w:bCs/>
          <w:sz w:val="22"/>
          <w:szCs w:val="22"/>
          <w:lang w:val="en-US"/>
        </w:rPr>
        <w:t>27,</w:t>
      </w:r>
      <w:r w:rsidR="003518DD" w:rsidRPr="003518DD">
        <w:rPr>
          <w:bCs/>
          <w:sz w:val="22"/>
          <w:szCs w:val="22"/>
          <w:lang w:val="en-US"/>
        </w:rPr>
        <w:t xml:space="preserve"> 220-240.</w:t>
      </w:r>
      <w:r w:rsidR="003518DD">
        <w:rPr>
          <w:bCs/>
          <w:sz w:val="22"/>
          <w:szCs w:val="22"/>
          <w:lang w:val="en-US"/>
        </w:rPr>
        <w:t xml:space="preserve"> </w:t>
      </w:r>
    </w:p>
    <w:p w14:paraId="491679A6" w14:textId="77777777" w:rsidR="00EA67DF" w:rsidRPr="009F44DC" w:rsidRDefault="00EA67DF" w:rsidP="00EA67DF">
      <w:pPr>
        <w:widowControl w:val="0"/>
        <w:autoSpaceDE w:val="0"/>
        <w:autoSpaceDN w:val="0"/>
        <w:adjustRightInd w:val="0"/>
        <w:jc w:val="both"/>
        <w:rPr>
          <w:bCs/>
          <w:sz w:val="22"/>
          <w:szCs w:val="22"/>
          <w:lang w:val="en-US"/>
        </w:rPr>
      </w:pPr>
    </w:p>
    <w:p w14:paraId="7E45A9E5" w14:textId="77777777" w:rsidR="00EA67DF" w:rsidRPr="009F44DC" w:rsidRDefault="00EA67DF" w:rsidP="00EA67DF">
      <w:pPr>
        <w:widowControl w:val="0"/>
        <w:autoSpaceDE w:val="0"/>
        <w:autoSpaceDN w:val="0"/>
        <w:adjustRightInd w:val="0"/>
        <w:jc w:val="both"/>
        <w:rPr>
          <w:bCs/>
          <w:sz w:val="22"/>
          <w:szCs w:val="22"/>
          <w:lang w:val="en-US"/>
        </w:rPr>
      </w:pPr>
      <w:r>
        <w:rPr>
          <w:bCs/>
          <w:sz w:val="22"/>
          <w:szCs w:val="22"/>
          <w:lang w:val="en-US"/>
        </w:rPr>
        <w:t xml:space="preserve">National </w:t>
      </w:r>
      <w:r w:rsidRPr="009F44DC">
        <w:rPr>
          <w:bCs/>
          <w:sz w:val="22"/>
          <w:szCs w:val="22"/>
          <w:lang w:val="en-US"/>
        </w:rPr>
        <w:t xml:space="preserve">Curriculum </w:t>
      </w:r>
      <w:r>
        <w:rPr>
          <w:bCs/>
          <w:sz w:val="22"/>
          <w:szCs w:val="22"/>
          <w:lang w:val="en-US"/>
        </w:rPr>
        <w:t xml:space="preserve">(2014) </w:t>
      </w:r>
      <w:r w:rsidRPr="009F44DC">
        <w:rPr>
          <w:bCs/>
          <w:sz w:val="22"/>
          <w:szCs w:val="22"/>
          <w:lang w:val="en-US"/>
        </w:rPr>
        <w:t>Physical Education for K</w:t>
      </w:r>
      <w:r>
        <w:rPr>
          <w:bCs/>
          <w:sz w:val="22"/>
          <w:szCs w:val="22"/>
          <w:lang w:val="en-US"/>
        </w:rPr>
        <w:t xml:space="preserve">ey Stages Three and Four [Online]. Available at: </w:t>
      </w:r>
      <w:hyperlink r:id="rId9" w:history="1">
        <w:r w:rsidRPr="007F08A4">
          <w:rPr>
            <w:rStyle w:val="Hyperlink"/>
            <w:bCs/>
            <w:sz w:val="22"/>
            <w:szCs w:val="22"/>
            <w:lang w:val="en-US"/>
          </w:rPr>
          <w:t>https://www.gov.uk/government/uploads/system/uploads/attachment_data/file/239086/SECONDARY_national_curriculum_-_Physical_education.pdf</w:t>
        </w:r>
      </w:hyperlink>
      <w:r>
        <w:rPr>
          <w:bCs/>
          <w:sz w:val="22"/>
          <w:szCs w:val="22"/>
          <w:lang w:val="en-US"/>
        </w:rPr>
        <w:t xml:space="preserve"> [Accessed 10 April 2014].</w:t>
      </w:r>
    </w:p>
    <w:p w14:paraId="5193B92A" w14:textId="77777777" w:rsidR="00EA67DF" w:rsidRPr="009F44DC" w:rsidRDefault="00EA67DF" w:rsidP="00EA67DF">
      <w:pPr>
        <w:widowControl w:val="0"/>
        <w:autoSpaceDE w:val="0"/>
        <w:autoSpaceDN w:val="0"/>
        <w:adjustRightInd w:val="0"/>
        <w:jc w:val="both"/>
        <w:rPr>
          <w:bCs/>
          <w:sz w:val="22"/>
          <w:szCs w:val="22"/>
          <w:lang w:val="en-US"/>
        </w:rPr>
      </w:pPr>
    </w:p>
    <w:p w14:paraId="2B336D94" w14:textId="77777777" w:rsidR="00EA67DF" w:rsidRPr="009F44DC" w:rsidRDefault="00EA67DF" w:rsidP="00EA67DF">
      <w:pPr>
        <w:widowControl w:val="0"/>
        <w:autoSpaceDE w:val="0"/>
        <w:autoSpaceDN w:val="0"/>
        <w:adjustRightInd w:val="0"/>
        <w:jc w:val="both"/>
        <w:rPr>
          <w:bCs/>
          <w:sz w:val="22"/>
          <w:szCs w:val="22"/>
          <w:lang w:val="en-US"/>
        </w:rPr>
      </w:pPr>
      <w:r>
        <w:rPr>
          <w:bCs/>
          <w:sz w:val="22"/>
          <w:szCs w:val="22"/>
          <w:lang w:val="en-US"/>
        </w:rPr>
        <w:t xml:space="preserve">Rahimi, F. </w:t>
      </w:r>
      <w:r w:rsidRPr="009F44DC">
        <w:rPr>
          <w:bCs/>
          <w:sz w:val="22"/>
          <w:szCs w:val="22"/>
          <w:lang w:val="en-US"/>
        </w:rPr>
        <w:t>(2013)</w:t>
      </w:r>
      <w:r>
        <w:rPr>
          <w:bCs/>
          <w:sz w:val="22"/>
          <w:szCs w:val="22"/>
          <w:lang w:val="en-US"/>
        </w:rPr>
        <w:t xml:space="preserve">. Critical Pedagogy: The building blocks and the crumbling blocks. </w:t>
      </w:r>
      <w:r w:rsidRPr="00A615A1">
        <w:rPr>
          <w:bCs/>
          <w:i/>
          <w:sz w:val="22"/>
          <w:szCs w:val="22"/>
          <w:lang w:val="en-US"/>
        </w:rPr>
        <w:t>International Journal of Language Learning and Applied Linguistics World</w:t>
      </w:r>
      <w:r>
        <w:rPr>
          <w:bCs/>
          <w:sz w:val="22"/>
          <w:szCs w:val="22"/>
          <w:lang w:val="en-US"/>
        </w:rPr>
        <w:t xml:space="preserve">, </w:t>
      </w:r>
      <w:r w:rsidRPr="00A615A1">
        <w:rPr>
          <w:b/>
          <w:bCs/>
          <w:sz w:val="22"/>
          <w:szCs w:val="22"/>
          <w:lang w:val="en-US"/>
        </w:rPr>
        <w:t>4,</w:t>
      </w:r>
      <w:r>
        <w:rPr>
          <w:bCs/>
          <w:sz w:val="22"/>
          <w:szCs w:val="22"/>
          <w:lang w:val="en-US"/>
        </w:rPr>
        <w:t xml:space="preserve"> 178-184.</w:t>
      </w:r>
    </w:p>
    <w:p w14:paraId="6EFFA120" w14:textId="77777777" w:rsidR="00EA67DF" w:rsidRPr="009F44DC" w:rsidRDefault="00EA67DF" w:rsidP="00EA67DF">
      <w:pPr>
        <w:widowControl w:val="0"/>
        <w:autoSpaceDE w:val="0"/>
        <w:autoSpaceDN w:val="0"/>
        <w:adjustRightInd w:val="0"/>
        <w:jc w:val="both"/>
        <w:rPr>
          <w:bCs/>
          <w:sz w:val="22"/>
          <w:szCs w:val="22"/>
          <w:lang w:val="en-US"/>
        </w:rPr>
      </w:pPr>
    </w:p>
    <w:p w14:paraId="5FD54B13" w14:textId="77777777" w:rsidR="00EA67DF" w:rsidRPr="009F44DC" w:rsidRDefault="00EA67DF" w:rsidP="00EA67DF">
      <w:pPr>
        <w:widowControl w:val="0"/>
        <w:autoSpaceDE w:val="0"/>
        <w:autoSpaceDN w:val="0"/>
        <w:adjustRightInd w:val="0"/>
        <w:jc w:val="both"/>
        <w:rPr>
          <w:bCs/>
          <w:sz w:val="22"/>
          <w:szCs w:val="22"/>
        </w:rPr>
      </w:pPr>
      <w:r w:rsidRPr="009F44DC">
        <w:rPr>
          <w:bCs/>
          <w:sz w:val="22"/>
          <w:szCs w:val="22"/>
        </w:rPr>
        <w:t xml:space="preserve">Vygotsky, L. (1978). </w:t>
      </w:r>
      <w:r w:rsidRPr="009F44DC">
        <w:rPr>
          <w:bCs/>
          <w:i/>
          <w:iCs/>
          <w:sz w:val="22"/>
          <w:szCs w:val="22"/>
        </w:rPr>
        <w:t xml:space="preserve">Mind in society: The development of higher psychological processes. </w:t>
      </w:r>
      <w:r w:rsidRPr="009F44DC">
        <w:rPr>
          <w:bCs/>
          <w:sz w:val="22"/>
          <w:szCs w:val="22"/>
        </w:rPr>
        <w:t>Cambridge, MA: Harvard University Press</w:t>
      </w:r>
    </w:p>
    <w:p w14:paraId="14ADFAE3" w14:textId="77777777" w:rsidR="00EA67DF" w:rsidRPr="009F44DC" w:rsidRDefault="00EA67DF" w:rsidP="00EA67DF">
      <w:pPr>
        <w:widowControl w:val="0"/>
        <w:autoSpaceDE w:val="0"/>
        <w:autoSpaceDN w:val="0"/>
        <w:adjustRightInd w:val="0"/>
        <w:jc w:val="both"/>
        <w:rPr>
          <w:bCs/>
          <w:sz w:val="22"/>
          <w:szCs w:val="22"/>
        </w:rPr>
      </w:pPr>
    </w:p>
    <w:p w14:paraId="717E87EA" w14:textId="77777777" w:rsidR="00EA67DF" w:rsidRPr="009F44DC" w:rsidRDefault="00EA67DF" w:rsidP="00EA67DF">
      <w:pPr>
        <w:widowControl w:val="0"/>
        <w:autoSpaceDE w:val="0"/>
        <w:autoSpaceDN w:val="0"/>
        <w:adjustRightInd w:val="0"/>
        <w:jc w:val="both"/>
        <w:rPr>
          <w:bCs/>
          <w:sz w:val="22"/>
          <w:szCs w:val="22"/>
        </w:rPr>
      </w:pPr>
    </w:p>
    <w:p w14:paraId="1E3117B8" w14:textId="77777777" w:rsidR="00EA67DF" w:rsidRPr="009F44DC" w:rsidRDefault="00EA67DF" w:rsidP="00EA67DF">
      <w:pPr>
        <w:widowControl w:val="0"/>
        <w:autoSpaceDE w:val="0"/>
        <w:autoSpaceDN w:val="0"/>
        <w:adjustRightInd w:val="0"/>
        <w:jc w:val="both"/>
        <w:rPr>
          <w:bCs/>
          <w:sz w:val="22"/>
          <w:szCs w:val="22"/>
          <w:lang w:val="en-US"/>
        </w:rPr>
      </w:pPr>
    </w:p>
    <w:p w14:paraId="5C679D1F" w14:textId="77777777" w:rsidR="006D01A0" w:rsidRDefault="006D01A0"/>
    <w:sectPr w:rsidR="006D01A0" w:rsidSect="00F70DD8">
      <w:headerReference w:type="even" r:id="rId10"/>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1A59C" w14:textId="77777777" w:rsidR="00743BA8" w:rsidRDefault="00743BA8">
      <w:r>
        <w:separator/>
      </w:r>
    </w:p>
  </w:endnote>
  <w:endnote w:type="continuationSeparator" w:id="0">
    <w:p w14:paraId="3CF73DD4" w14:textId="77777777" w:rsidR="00743BA8" w:rsidRDefault="00743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ymbolMT">
    <w:altName w:val="Times New Roman"/>
    <w:panose1 w:val="00000000000000000000"/>
    <w:charset w:val="A1"/>
    <w:family w:val="auto"/>
    <w:notTrueType/>
    <w:pitch w:val="default"/>
    <w:sig w:usb0="00000081" w:usb1="00000000" w:usb2="00000000" w:usb3="00000000" w:csb0="00000008" w:csb1="00000000"/>
  </w:font>
  <w:font w:name="Times">
    <w:panose1 w:val="02020603050405020304"/>
    <w:charset w:val="00"/>
    <w:family w:val="auto"/>
    <w:pitch w:val="variable"/>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7E3FB" w14:textId="77777777" w:rsidR="00351259" w:rsidRDefault="00351259" w:rsidP="00F70D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21E329" w14:textId="77777777" w:rsidR="00351259" w:rsidRDefault="00351259" w:rsidP="00F70D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AE370" w14:textId="77777777" w:rsidR="00351259" w:rsidRDefault="00351259" w:rsidP="00F70D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4EEE">
      <w:rPr>
        <w:rStyle w:val="PageNumber"/>
        <w:noProof/>
      </w:rPr>
      <w:t>2</w:t>
    </w:r>
    <w:r>
      <w:rPr>
        <w:rStyle w:val="PageNumber"/>
      </w:rPr>
      <w:fldChar w:fldCharType="end"/>
    </w:r>
  </w:p>
  <w:p w14:paraId="2A842451" w14:textId="77777777" w:rsidR="00351259" w:rsidRDefault="00351259" w:rsidP="00F70DD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6147D" w14:textId="77777777" w:rsidR="00743BA8" w:rsidRDefault="00743BA8">
      <w:r>
        <w:separator/>
      </w:r>
    </w:p>
  </w:footnote>
  <w:footnote w:type="continuationSeparator" w:id="0">
    <w:p w14:paraId="441DF66C" w14:textId="77777777" w:rsidR="00743BA8" w:rsidRDefault="00743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39FB5" w14:textId="77777777" w:rsidR="00351259" w:rsidRDefault="00351259" w:rsidP="00F70DD8">
    <w:pPr>
      <w:pStyle w:val="Header"/>
      <w:tabs>
        <w:tab w:val="clear" w:pos="4320"/>
        <w:tab w:val="clear" w:pos="8640"/>
        <w:tab w:val="center" w:pos="4150"/>
        <w:tab w:val="right" w:pos="8300"/>
      </w:tabs>
    </w:pPr>
    <w:r>
      <w:t>[Type text]</w:t>
    </w:r>
    <w:r>
      <w:tab/>
      <w:t>[Type text]</w:t>
    </w:r>
    <w:r>
      <w:tab/>
      <w:t>[Type text]</w:t>
    </w:r>
  </w:p>
  <w:p w14:paraId="3C129661" w14:textId="77777777" w:rsidR="00351259" w:rsidRDefault="003512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3F4B04"/>
    <w:multiLevelType w:val="hybridMultilevel"/>
    <w:tmpl w:val="52FE4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7DF"/>
    <w:rsid w:val="000A4EEE"/>
    <w:rsid w:val="002F2A65"/>
    <w:rsid w:val="00346AE9"/>
    <w:rsid w:val="00351259"/>
    <w:rsid w:val="003518DD"/>
    <w:rsid w:val="003B4E94"/>
    <w:rsid w:val="00441BEF"/>
    <w:rsid w:val="00547B73"/>
    <w:rsid w:val="005F1B68"/>
    <w:rsid w:val="00674C42"/>
    <w:rsid w:val="006D01A0"/>
    <w:rsid w:val="00743BA8"/>
    <w:rsid w:val="007523AF"/>
    <w:rsid w:val="00791F4E"/>
    <w:rsid w:val="00796788"/>
    <w:rsid w:val="008D7223"/>
    <w:rsid w:val="0090016A"/>
    <w:rsid w:val="009A210E"/>
    <w:rsid w:val="009C6588"/>
    <w:rsid w:val="009D2390"/>
    <w:rsid w:val="00C03E97"/>
    <w:rsid w:val="00C7762A"/>
    <w:rsid w:val="00DC0802"/>
    <w:rsid w:val="00DC54E3"/>
    <w:rsid w:val="00E64FB1"/>
    <w:rsid w:val="00EA67DF"/>
    <w:rsid w:val="00EB4A9C"/>
    <w:rsid w:val="00EF2493"/>
    <w:rsid w:val="00F70DD8"/>
    <w:rsid w:val="00F86E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B9C0C"/>
  <w14:defaultImageDpi w14:val="300"/>
  <w15:docId w15:val="{54A06FA0-C68C-4A6C-BACA-65F45A7E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7DF"/>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7DF"/>
    <w:pPr>
      <w:tabs>
        <w:tab w:val="center" w:pos="4320"/>
        <w:tab w:val="right" w:pos="8640"/>
      </w:tabs>
    </w:pPr>
  </w:style>
  <w:style w:type="character" w:customStyle="1" w:styleId="HeaderChar">
    <w:name w:val="Header Char"/>
    <w:basedOn w:val="DefaultParagraphFont"/>
    <w:link w:val="Header"/>
    <w:uiPriority w:val="99"/>
    <w:rsid w:val="00EA67DF"/>
    <w:rPr>
      <w:rFonts w:ascii="Cambria" w:eastAsia="MS Mincho" w:hAnsi="Cambria" w:cs="Times New Roman"/>
    </w:rPr>
  </w:style>
  <w:style w:type="paragraph" w:styleId="Footer">
    <w:name w:val="footer"/>
    <w:basedOn w:val="Normal"/>
    <w:link w:val="FooterChar"/>
    <w:uiPriority w:val="99"/>
    <w:unhideWhenUsed/>
    <w:rsid w:val="00EA67DF"/>
    <w:pPr>
      <w:tabs>
        <w:tab w:val="center" w:pos="4320"/>
        <w:tab w:val="right" w:pos="8640"/>
      </w:tabs>
    </w:pPr>
  </w:style>
  <w:style w:type="character" w:customStyle="1" w:styleId="FooterChar">
    <w:name w:val="Footer Char"/>
    <w:basedOn w:val="DefaultParagraphFont"/>
    <w:link w:val="Footer"/>
    <w:uiPriority w:val="99"/>
    <w:rsid w:val="00EA67DF"/>
    <w:rPr>
      <w:rFonts w:ascii="Cambria" w:eastAsia="MS Mincho" w:hAnsi="Cambria" w:cs="Times New Roman"/>
    </w:rPr>
  </w:style>
  <w:style w:type="character" w:styleId="PageNumber">
    <w:name w:val="page number"/>
    <w:basedOn w:val="DefaultParagraphFont"/>
    <w:uiPriority w:val="99"/>
    <w:semiHidden/>
    <w:unhideWhenUsed/>
    <w:rsid w:val="00EA67DF"/>
  </w:style>
  <w:style w:type="character" w:styleId="Hyperlink">
    <w:name w:val="Hyperlink"/>
    <w:uiPriority w:val="99"/>
    <w:unhideWhenUsed/>
    <w:rsid w:val="00EA67DF"/>
    <w:rPr>
      <w:color w:val="0000FF"/>
      <w:u w:val="single"/>
    </w:rPr>
  </w:style>
  <w:style w:type="paragraph" w:styleId="ListParagraph">
    <w:name w:val="List Paragraph"/>
    <w:basedOn w:val="Normal"/>
    <w:uiPriority w:val="34"/>
    <w:qFormat/>
    <w:rsid w:val="009C6588"/>
    <w:pPr>
      <w:ind w:left="720"/>
      <w:contextualSpacing/>
    </w:pPr>
  </w:style>
  <w:style w:type="table" w:styleId="TableGrid">
    <w:name w:val="Table Grid"/>
    <w:basedOn w:val="TableNormal"/>
    <w:uiPriority w:val="59"/>
    <w:rsid w:val="00C77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d.com/talks/jane_mcgonigal_gaming_can_make_a_be_er_world.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y.price@stmarys.ac.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uploads/system/uploads/attachment_data/file/239086/SECONDARY_national_curriculum_-_Physical_educat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Price</dc:creator>
  <cp:keywords/>
  <dc:description/>
  <cp:lastModifiedBy>Kevin Sanders</cp:lastModifiedBy>
  <cp:revision>2</cp:revision>
  <dcterms:created xsi:type="dcterms:W3CDTF">2016-06-13T11:52:00Z</dcterms:created>
  <dcterms:modified xsi:type="dcterms:W3CDTF">2016-06-13T11:52:00Z</dcterms:modified>
</cp:coreProperties>
</file>