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90" w:rsidRPr="00813D90" w:rsidRDefault="00813D90" w:rsidP="00813D90">
      <w:pPr>
        <w:spacing w:line="480" w:lineRule="auto"/>
      </w:pPr>
      <w:bookmarkStart w:id="0" w:name="_GoBack"/>
      <w:bookmarkEnd w:id="0"/>
      <w:r>
        <w:t xml:space="preserve">**Published in </w:t>
      </w:r>
      <w:r>
        <w:rPr>
          <w:i/>
          <w:iCs/>
        </w:rPr>
        <w:t>Journal of Biblical Literature</w:t>
      </w:r>
      <w:r>
        <w:t xml:space="preserve"> 134.4 (2015): 791–811.</w:t>
      </w:r>
    </w:p>
    <w:p w:rsidR="00813D90" w:rsidRDefault="00813D90" w:rsidP="000D0D59">
      <w:pPr>
        <w:spacing w:line="480" w:lineRule="auto"/>
        <w:jc w:val="center"/>
      </w:pPr>
    </w:p>
    <w:p w:rsidR="009E4D00" w:rsidRPr="00D20324" w:rsidRDefault="00013CE7" w:rsidP="000D0D59">
      <w:pPr>
        <w:spacing w:line="480" w:lineRule="auto"/>
        <w:jc w:val="center"/>
      </w:pPr>
      <w:r w:rsidRPr="00D20324">
        <w:t>The Oddity of the Reference to Jesus in Acts 4:13b</w:t>
      </w:r>
    </w:p>
    <w:p w:rsidR="0021419C" w:rsidRDefault="0021419C" w:rsidP="000D0D59">
      <w:pPr>
        <w:spacing w:line="480" w:lineRule="auto"/>
        <w:jc w:val="center"/>
      </w:pPr>
      <w:r w:rsidRPr="00D20324">
        <w:t>Chris Keith</w:t>
      </w:r>
    </w:p>
    <w:p w:rsidR="00C44A89" w:rsidRPr="00D20324" w:rsidRDefault="00C44A89" w:rsidP="000D0D59">
      <w:pPr>
        <w:spacing w:line="480" w:lineRule="auto"/>
        <w:jc w:val="center"/>
      </w:pPr>
      <w:r>
        <w:t>chris.keith@stmarys.ac.uk</w:t>
      </w:r>
    </w:p>
    <w:p w:rsidR="0021419C" w:rsidRPr="00642384" w:rsidRDefault="0021419C" w:rsidP="000D0D59">
      <w:pPr>
        <w:spacing w:line="480" w:lineRule="auto"/>
        <w:jc w:val="center"/>
      </w:pPr>
      <w:r w:rsidRPr="00D20324">
        <w:t>St Mary’s University</w:t>
      </w:r>
      <w:r w:rsidR="001826C4">
        <w:t>, Twickenham</w:t>
      </w:r>
    </w:p>
    <w:p w:rsidR="009E4D00" w:rsidRPr="00D20324" w:rsidRDefault="009E4D00" w:rsidP="000D0D59">
      <w:pPr>
        <w:spacing w:line="480" w:lineRule="auto"/>
        <w:jc w:val="center"/>
      </w:pPr>
    </w:p>
    <w:p w:rsidR="00835069" w:rsidRPr="00835069" w:rsidRDefault="00835069" w:rsidP="001866F1">
      <w:pPr>
        <w:spacing w:line="480" w:lineRule="auto"/>
      </w:pPr>
      <w:r>
        <w:t xml:space="preserve">ABSTRACT:  This essay argues that Luke’s strong association of Jesus with the manual-labor class in Acts 4:13b, and specifically with the disciples’ “illiteracy” and “unlearnedness,” is out of step with a sustained redactional strategy in his Gospel, whereby he consistently removed the Gospel of Mark’s associations of Jesus with the manual-labor class and offered an alternative image of Jesus as a scribal-literate teacher.  This redactional strategy is particularly clear in Mark’s and Luke’s different portrayals of Jesus as a synagogue teacher.  Acts 4:13b may constitute a Lukan cameo of the Markan Jesus, but, regardless of this possibility, Acts 4:13b presents a moment of discontinuity between Luke’s Gospel and Acts that has been overlooked.  The primary purpose of this article is to articulate the oddity of Luke’s interpretive choice in Acts 4:13b in light of his other images of Jesus and his portrayal of the Spirit in Luke-Acts.  The essays closes with a possible solution: Luke has, in his Gospel, portrayed Jesus in </w:t>
      </w:r>
      <w:r>
        <w:rPr>
          <w:i/>
          <w:iCs/>
        </w:rPr>
        <w:t>imago Pauli</w:t>
      </w:r>
      <w:r>
        <w:t>.</w:t>
      </w:r>
    </w:p>
    <w:p w:rsidR="00835069" w:rsidRDefault="00835069" w:rsidP="001866F1">
      <w:pPr>
        <w:spacing w:line="480" w:lineRule="auto"/>
      </w:pPr>
    </w:p>
    <w:p w:rsidR="00885AA1" w:rsidRPr="00D20324" w:rsidRDefault="00F5662A" w:rsidP="001866F1">
      <w:pPr>
        <w:spacing w:line="480" w:lineRule="auto"/>
        <w:rPr>
          <w:rFonts w:cs="Times New Roman"/>
        </w:rPr>
      </w:pPr>
      <w:r w:rsidRPr="00D20324">
        <w:t xml:space="preserve">Previous scholarship on </w:t>
      </w:r>
      <w:r w:rsidR="0075470C" w:rsidRPr="00D20324">
        <w:t xml:space="preserve">Acts 4:13 has </w:t>
      </w:r>
      <w:r w:rsidRPr="00D20324">
        <w:t xml:space="preserve">focused </w:t>
      </w:r>
      <w:r w:rsidR="00213CA1" w:rsidRPr="00D20324">
        <w:t xml:space="preserve">primarily </w:t>
      </w:r>
      <w:r w:rsidRPr="00D20324">
        <w:t xml:space="preserve">upon the Sanhedrin’s references to </w:t>
      </w:r>
      <w:r w:rsidR="00232479" w:rsidRPr="00D20324">
        <w:t>Peter and John as “illiterate” (</w:t>
      </w:r>
      <w:r w:rsidR="001866F1" w:rsidRPr="00D20324">
        <w:rPr>
          <w:rFonts w:ascii="SBL Greek" w:hAnsi="SBL Greek"/>
          <w:lang w:val="el-GR"/>
        </w:rPr>
        <w:t>ἀγράμματοι</w:t>
      </w:r>
      <w:r w:rsidR="00232479" w:rsidRPr="00D20324">
        <w:t>) and “untrained” (</w:t>
      </w:r>
      <w:r w:rsidR="001866F1" w:rsidRPr="00D20324">
        <w:rPr>
          <w:rFonts w:ascii="SBL Greek" w:hAnsi="SBL Greek"/>
        </w:rPr>
        <w:t>ἰ</w:t>
      </w:r>
      <w:r w:rsidR="001866F1" w:rsidRPr="00D20324">
        <w:rPr>
          <w:rFonts w:ascii="SBL Greek" w:hAnsi="SBL Greek" w:cs="Times New Roman"/>
          <w:lang w:val="el-GR"/>
        </w:rPr>
        <w:t>διῶται</w:t>
      </w:r>
      <w:r w:rsidR="00232479" w:rsidRPr="00D20324">
        <w:t>)</w:t>
      </w:r>
      <w:r w:rsidR="00F932E5" w:rsidRPr="00D20324">
        <w:t xml:space="preserve"> men</w:t>
      </w:r>
      <w:r w:rsidR="00213CA1" w:rsidRPr="00D20324">
        <w:t>.</w:t>
      </w:r>
      <w:r w:rsidRPr="00D20324">
        <w:t xml:space="preserve"> </w:t>
      </w:r>
      <w:r w:rsidR="00213CA1" w:rsidRPr="00D20324">
        <w:t xml:space="preserve"> </w:t>
      </w:r>
      <w:r w:rsidR="00B279EC" w:rsidRPr="00D20324">
        <w:rPr>
          <w:rFonts w:cs="Times New Roman"/>
        </w:rPr>
        <w:t>This essay will shift the focus</w:t>
      </w:r>
      <w:r w:rsidR="00C23025" w:rsidRPr="00D20324">
        <w:rPr>
          <w:rFonts w:cs="Times New Roman"/>
        </w:rPr>
        <w:t xml:space="preserve"> of critical interpretation</w:t>
      </w:r>
      <w:r w:rsidR="00B279EC" w:rsidRPr="00D20324">
        <w:rPr>
          <w:rFonts w:cs="Times New Roman"/>
        </w:rPr>
        <w:t xml:space="preserve"> to the </w:t>
      </w:r>
      <w:r w:rsidR="001948B3" w:rsidRPr="00D20324">
        <w:rPr>
          <w:rFonts w:cs="Times New Roman"/>
        </w:rPr>
        <w:t xml:space="preserve">neglected </w:t>
      </w:r>
      <w:r w:rsidR="00C23025" w:rsidRPr="00D20324">
        <w:rPr>
          <w:rFonts w:cs="Times New Roman"/>
        </w:rPr>
        <w:t xml:space="preserve">second half of Acts 4:13 where Luke notes that, on the basis of </w:t>
      </w:r>
      <w:r w:rsidR="00213CA1" w:rsidRPr="00D20324">
        <w:rPr>
          <w:rFonts w:cs="Times New Roman"/>
        </w:rPr>
        <w:t xml:space="preserve">Peter’s speech and </w:t>
      </w:r>
      <w:r w:rsidR="002B3783" w:rsidRPr="00D20324">
        <w:rPr>
          <w:rFonts w:cs="Times New Roman"/>
        </w:rPr>
        <w:t>the disciples’</w:t>
      </w:r>
      <w:r w:rsidR="00AF57B5" w:rsidRPr="00D20324">
        <w:rPr>
          <w:rFonts w:cs="Times New Roman"/>
        </w:rPr>
        <w:t xml:space="preserve"> </w:t>
      </w:r>
      <w:r w:rsidR="00A44B7D" w:rsidRPr="00D20324">
        <w:rPr>
          <w:rFonts w:cs="Times New Roman"/>
        </w:rPr>
        <w:t>illiteracy</w:t>
      </w:r>
      <w:r w:rsidR="00C23025" w:rsidRPr="00D20324">
        <w:rPr>
          <w:rFonts w:cs="Times New Roman"/>
        </w:rPr>
        <w:t xml:space="preserve">, </w:t>
      </w:r>
      <w:r w:rsidR="00BB1150" w:rsidRPr="00D20324">
        <w:rPr>
          <w:rFonts w:cs="Times New Roman"/>
        </w:rPr>
        <w:t>the Jewish leadership</w:t>
      </w:r>
      <w:r w:rsidR="00213CA1" w:rsidRPr="00D20324">
        <w:rPr>
          <w:rFonts w:cs="Times New Roman"/>
        </w:rPr>
        <w:t xml:space="preserve"> recognized them as companions of Jesus.</w:t>
      </w:r>
      <w:r w:rsidR="00C23025" w:rsidRPr="00D20324">
        <w:rPr>
          <w:rFonts w:cs="Times New Roman"/>
        </w:rPr>
        <w:t xml:space="preserve">  Scholars almost universally </w:t>
      </w:r>
      <w:r w:rsidR="00895ACA" w:rsidRPr="00D20324">
        <w:rPr>
          <w:rFonts w:cs="Times New Roman"/>
        </w:rPr>
        <w:t xml:space="preserve">have </w:t>
      </w:r>
      <w:r w:rsidR="00C23025" w:rsidRPr="00D20324">
        <w:rPr>
          <w:rFonts w:cs="Times New Roman"/>
        </w:rPr>
        <w:t>take</w:t>
      </w:r>
      <w:r w:rsidR="00895ACA" w:rsidRPr="00D20324">
        <w:rPr>
          <w:rFonts w:cs="Times New Roman"/>
        </w:rPr>
        <w:t xml:space="preserve">n this </w:t>
      </w:r>
      <w:r w:rsidR="00895ACA" w:rsidRPr="00D20324">
        <w:rPr>
          <w:rFonts w:cs="Times New Roman"/>
        </w:rPr>
        <w:lastRenderedPageBreak/>
        <w:t>statement</w:t>
      </w:r>
      <w:r w:rsidR="005C0960" w:rsidRPr="00D20324">
        <w:rPr>
          <w:rFonts w:cs="Times New Roman"/>
        </w:rPr>
        <w:t xml:space="preserve"> concerning </w:t>
      </w:r>
      <w:r w:rsidR="00E65AC3" w:rsidRPr="00D20324">
        <w:rPr>
          <w:rFonts w:cs="Times New Roman"/>
        </w:rPr>
        <w:t xml:space="preserve">Jesus </w:t>
      </w:r>
      <w:r w:rsidR="00A44B7D" w:rsidRPr="00D20324">
        <w:rPr>
          <w:rFonts w:cs="Times New Roman"/>
        </w:rPr>
        <w:t>an</w:t>
      </w:r>
      <w:r w:rsidR="005C0960" w:rsidRPr="00D20324">
        <w:rPr>
          <w:rFonts w:cs="Times New Roman"/>
        </w:rPr>
        <w:t>d his disciples</w:t>
      </w:r>
      <w:r w:rsidR="00895ACA" w:rsidRPr="00D20324">
        <w:rPr>
          <w:rFonts w:cs="Times New Roman"/>
        </w:rPr>
        <w:t xml:space="preserve"> as a straightforward and</w:t>
      </w:r>
      <w:r w:rsidR="00C23025" w:rsidRPr="00D20324">
        <w:rPr>
          <w:rFonts w:cs="Times New Roman"/>
        </w:rPr>
        <w:t xml:space="preserve"> obvious deduction</w:t>
      </w:r>
      <w:r w:rsidR="0021425A" w:rsidRPr="00D20324">
        <w:rPr>
          <w:rFonts w:cs="Times New Roman"/>
        </w:rPr>
        <w:t xml:space="preserve"> on the part</w:t>
      </w:r>
      <w:r w:rsidR="00E65AC3" w:rsidRPr="00D20324">
        <w:rPr>
          <w:rFonts w:cs="Times New Roman"/>
        </w:rPr>
        <w:t>s</w:t>
      </w:r>
      <w:r w:rsidR="0021425A" w:rsidRPr="00D20324">
        <w:rPr>
          <w:rFonts w:cs="Times New Roman"/>
        </w:rPr>
        <w:t xml:space="preserve"> of the Jewish leaders</w:t>
      </w:r>
      <w:r w:rsidR="00895ACA" w:rsidRPr="00D20324">
        <w:rPr>
          <w:rFonts w:cs="Times New Roman"/>
        </w:rPr>
        <w:t xml:space="preserve"> in the narrative world of Luke-Acts</w:t>
      </w:r>
      <w:r w:rsidR="005C0960" w:rsidRPr="00D20324">
        <w:rPr>
          <w:rFonts w:cs="Times New Roman"/>
        </w:rPr>
        <w:t xml:space="preserve"> and</w:t>
      </w:r>
      <w:r w:rsidR="0021425A" w:rsidRPr="00D20324">
        <w:rPr>
          <w:rFonts w:cs="Times New Roman"/>
        </w:rPr>
        <w:t xml:space="preserve"> the </w:t>
      </w:r>
      <w:r w:rsidR="00847AD9" w:rsidRPr="00D20324">
        <w:rPr>
          <w:rFonts w:cs="Times New Roman"/>
        </w:rPr>
        <w:t>audience</w:t>
      </w:r>
      <w:r w:rsidR="0021425A" w:rsidRPr="00D20324">
        <w:rPr>
          <w:rFonts w:cs="Times New Roman"/>
        </w:rPr>
        <w:t xml:space="preserve"> of Acts</w:t>
      </w:r>
      <w:r w:rsidR="00895ACA" w:rsidRPr="00D20324">
        <w:rPr>
          <w:rFonts w:cs="Times New Roman"/>
        </w:rPr>
        <w:t xml:space="preserve"> engaging that world </w:t>
      </w:r>
      <w:r w:rsidR="00847AD9" w:rsidRPr="00D20324">
        <w:rPr>
          <w:rFonts w:cs="Times New Roman"/>
        </w:rPr>
        <w:t>as readers</w:t>
      </w:r>
      <w:r w:rsidR="00C23025" w:rsidRPr="00D20324">
        <w:rPr>
          <w:rFonts w:cs="Times New Roman"/>
        </w:rPr>
        <w:t>.  In contrast, I will here</w:t>
      </w:r>
      <w:r w:rsidR="0075470C" w:rsidRPr="00D20324">
        <w:rPr>
          <w:rFonts w:cs="Times New Roman"/>
        </w:rPr>
        <w:t xml:space="preserve"> </w:t>
      </w:r>
      <w:r w:rsidR="00213CA1" w:rsidRPr="00D20324">
        <w:rPr>
          <w:rFonts w:cs="Times New Roman"/>
        </w:rPr>
        <w:t>argue</w:t>
      </w:r>
      <w:r w:rsidR="0075470C" w:rsidRPr="00D20324">
        <w:rPr>
          <w:rFonts w:cs="Times New Roman"/>
        </w:rPr>
        <w:t xml:space="preserve"> that the</w:t>
      </w:r>
      <w:r w:rsidR="001948B3" w:rsidRPr="00D20324">
        <w:rPr>
          <w:rFonts w:cs="Times New Roman"/>
        </w:rPr>
        <w:t xml:space="preserve"> </w:t>
      </w:r>
      <w:r w:rsidR="005C0960" w:rsidRPr="00D20324">
        <w:rPr>
          <w:rFonts w:cs="Times New Roman"/>
        </w:rPr>
        <w:t xml:space="preserve">Lukan </w:t>
      </w:r>
      <w:r w:rsidR="001948B3" w:rsidRPr="00D20324">
        <w:rPr>
          <w:rFonts w:cs="Times New Roman"/>
        </w:rPr>
        <w:t>comment</w:t>
      </w:r>
      <w:r w:rsidR="00E31D14" w:rsidRPr="00D20324">
        <w:rPr>
          <w:rFonts w:cs="Times New Roman"/>
        </w:rPr>
        <w:t xml:space="preserve"> that the </w:t>
      </w:r>
      <w:r w:rsidR="00BB1150" w:rsidRPr="00D20324">
        <w:rPr>
          <w:rFonts w:cs="Times New Roman"/>
        </w:rPr>
        <w:t>Sanhedrin</w:t>
      </w:r>
      <w:r w:rsidR="00E31D14" w:rsidRPr="00D20324">
        <w:rPr>
          <w:rFonts w:cs="Times New Roman"/>
        </w:rPr>
        <w:t xml:space="preserve"> recognizes Peter and John as companions of Jesus on the basis of their illiteracy, unlearnedness, and rhetorical performance</w:t>
      </w:r>
      <w:r w:rsidR="001948B3" w:rsidRPr="00D20324">
        <w:rPr>
          <w:rFonts w:cs="Times New Roman"/>
        </w:rPr>
        <w:t xml:space="preserve"> is far fr</w:t>
      </w:r>
      <w:r w:rsidR="0025599D" w:rsidRPr="00D20324">
        <w:rPr>
          <w:rFonts w:cs="Times New Roman"/>
        </w:rPr>
        <w:t>om straightforward and</w:t>
      </w:r>
      <w:r w:rsidR="0075470C" w:rsidRPr="00D20324">
        <w:rPr>
          <w:rFonts w:cs="Times New Roman"/>
        </w:rPr>
        <w:t xml:space="preserve"> is, in fact,</w:t>
      </w:r>
      <w:r w:rsidR="001948B3" w:rsidRPr="00D20324">
        <w:rPr>
          <w:rFonts w:cs="Times New Roman"/>
        </w:rPr>
        <w:t xml:space="preserve"> </w:t>
      </w:r>
      <w:r w:rsidR="00BB1150" w:rsidRPr="00D20324">
        <w:rPr>
          <w:rFonts w:cs="Times New Roman"/>
        </w:rPr>
        <w:t>contrary to</w:t>
      </w:r>
      <w:r w:rsidR="000B3376" w:rsidRPr="00D20324">
        <w:rPr>
          <w:rFonts w:cs="Times New Roman"/>
        </w:rPr>
        <w:t xml:space="preserve"> </w:t>
      </w:r>
      <w:r w:rsidR="00717334" w:rsidRPr="00D20324">
        <w:rPr>
          <w:rFonts w:cs="Times New Roman"/>
        </w:rPr>
        <w:t xml:space="preserve">at least one </w:t>
      </w:r>
      <w:r w:rsidR="000B3376" w:rsidRPr="00D20324">
        <w:rPr>
          <w:rFonts w:cs="Times New Roman"/>
        </w:rPr>
        <w:t>interpretive agenda</w:t>
      </w:r>
      <w:r w:rsidR="001948B3" w:rsidRPr="00D20324">
        <w:rPr>
          <w:rFonts w:cs="Times New Roman"/>
        </w:rPr>
        <w:t xml:space="preserve"> that Luke has</w:t>
      </w:r>
      <w:r w:rsidR="00BB1150" w:rsidRPr="00D20324">
        <w:rPr>
          <w:rFonts w:cs="Times New Roman"/>
        </w:rPr>
        <w:t xml:space="preserve"> worked carefully to forward in his Gospel</w:t>
      </w:r>
      <w:r w:rsidR="00A45540" w:rsidRPr="00D20324">
        <w:rPr>
          <w:rFonts w:cs="Times New Roman"/>
        </w:rPr>
        <w:t xml:space="preserve">. </w:t>
      </w:r>
    </w:p>
    <w:p w:rsidR="00C47260" w:rsidRPr="00D20324" w:rsidRDefault="00885AA1" w:rsidP="00717334">
      <w:pPr>
        <w:spacing w:line="480" w:lineRule="auto"/>
        <w:ind w:firstLine="720"/>
        <w:rPr>
          <w:rFonts w:cs="Times New Roman"/>
        </w:rPr>
      </w:pPr>
      <w:r w:rsidRPr="00D20324">
        <w:rPr>
          <w:rFonts w:cs="Times New Roman"/>
        </w:rPr>
        <w:t>Precisely</w:t>
      </w:r>
      <w:r w:rsidR="00811D73" w:rsidRPr="00D20324">
        <w:rPr>
          <w:rFonts w:cs="Times New Roman"/>
        </w:rPr>
        <w:t xml:space="preserve"> which Lukan narrative agenda the reference to Jesus in Acts 4:13b seems to run against depends </w:t>
      </w:r>
      <w:r w:rsidRPr="00D20324">
        <w:rPr>
          <w:rFonts w:cs="Times New Roman"/>
        </w:rPr>
        <w:t xml:space="preserve">upon whether Luke </w:t>
      </w:r>
      <w:r w:rsidR="003C2C28" w:rsidRPr="00D20324">
        <w:rPr>
          <w:rFonts w:cs="Times New Roman"/>
        </w:rPr>
        <w:t xml:space="preserve">indicates </w:t>
      </w:r>
      <w:r w:rsidRPr="00D20324">
        <w:rPr>
          <w:rFonts w:cs="Times New Roman"/>
        </w:rPr>
        <w:t xml:space="preserve">that the </w:t>
      </w:r>
      <w:r w:rsidR="003C2C28" w:rsidRPr="00D20324">
        <w:rPr>
          <w:rFonts w:cs="Times New Roman"/>
        </w:rPr>
        <w:t>Sanhedrin</w:t>
      </w:r>
      <w:r w:rsidRPr="00D20324">
        <w:rPr>
          <w:rFonts w:cs="Times New Roman"/>
        </w:rPr>
        <w:t xml:space="preserve"> </w:t>
      </w:r>
      <w:r w:rsidR="003C2C28" w:rsidRPr="00D20324">
        <w:rPr>
          <w:rFonts w:cs="Times New Roman"/>
        </w:rPr>
        <w:t>r</w:t>
      </w:r>
      <w:r w:rsidRPr="00D20324">
        <w:rPr>
          <w:rFonts w:cs="Times New Roman"/>
        </w:rPr>
        <w:t>ecognized Peter and John as companions of Jesus</w:t>
      </w:r>
      <w:r w:rsidR="00A45540" w:rsidRPr="00D20324">
        <w:rPr>
          <w:rFonts w:cs="Times New Roman"/>
        </w:rPr>
        <w:t xml:space="preserve"> as a result of their illiteracy and unlearnedness</w:t>
      </w:r>
      <w:r w:rsidRPr="00D20324">
        <w:rPr>
          <w:rFonts w:cs="Times New Roman"/>
        </w:rPr>
        <w:t xml:space="preserve"> because (1) Jesus himself was illiterate and unlearned or (2) </w:t>
      </w:r>
      <w:r w:rsidR="00717334" w:rsidRPr="00D20324">
        <w:rPr>
          <w:rFonts w:cs="Times New Roman"/>
        </w:rPr>
        <w:t>irrespective</w:t>
      </w:r>
      <w:r w:rsidRPr="00D20324">
        <w:rPr>
          <w:rFonts w:cs="Times New Roman"/>
        </w:rPr>
        <w:t xml:space="preserve"> of Jesus’ status, h</w:t>
      </w:r>
      <w:r w:rsidR="00E65AC3" w:rsidRPr="00D20324">
        <w:rPr>
          <w:rFonts w:cs="Times New Roman"/>
        </w:rPr>
        <w:t xml:space="preserve">e was known to have </w:t>
      </w:r>
      <w:r w:rsidR="00A44B7D" w:rsidRPr="00D20324">
        <w:rPr>
          <w:rFonts w:cs="Times New Roman"/>
        </w:rPr>
        <w:t xml:space="preserve">followers </w:t>
      </w:r>
      <w:r w:rsidR="00E65AC3" w:rsidRPr="00D20324">
        <w:rPr>
          <w:rFonts w:cs="Times New Roman"/>
        </w:rPr>
        <w:t xml:space="preserve">who </w:t>
      </w:r>
      <w:r w:rsidR="00A44B7D" w:rsidRPr="00D20324">
        <w:rPr>
          <w:rFonts w:cs="Times New Roman"/>
        </w:rPr>
        <w:t>were illiterate and unlearned</w:t>
      </w:r>
      <w:r w:rsidRPr="00D20324">
        <w:rPr>
          <w:rFonts w:cs="Times New Roman"/>
        </w:rPr>
        <w:t>.</w:t>
      </w:r>
      <w:r w:rsidR="00811D73" w:rsidRPr="00D20324">
        <w:rPr>
          <w:rFonts w:cs="Times New Roman"/>
        </w:rPr>
        <w:t xml:space="preserve">  If the first </w:t>
      </w:r>
      <w:r w:rsidR="00A45540" w:rsidRPr="00D20324">
        <w:rPr>
          <w:rFonts w:cs="Times New Roman"/>
        </w:rPr>
        <w:t>possibility</w:t>
      </w:r>
      <w:r w:rsidR="00811D73" w:rsidRPr="00D20324">
        <w:rPr>
          <w:rFonts w:cs="Times New Roman"/>
        </w:rPr>
        <w:t xml:space="preserve"> reflects Luke’s thoughts, Acts 4:13b constitutes, I </w:t>
      </w:r>
      <w:r w:rsidR="00E65AC3" w:rsidRPr="00D20324">
        <w:rPr>
          <w:rFonts w:cs="Times New Roman"/>
        </w:rPr>
        <w:t xml:space="preserve">will </w:t>
      </w:r>
      <w:r w:rsidR="00811D73" w:rsidRPr="00D20324">
        <w:rPr>
          <w:rFonts w:cs="Times New Roman"/>
        </w:rPr>
        <w:t>argue below, a Lukan cameo of the Markan Jesus</w:t>
      </w:r>
      <w:r w:rsidR="00E31D14" w:rsidRPr="00D20324">
        <w:rPr>
          <w:rFonts w:cs="Times New Roman"/>
        </w:rPr>
        <w:t xml:space="preserve"> and thus an overlooked instance of Luke’s dependence upon Mark’s Gospel</w:t>
      </w:r>
      <w:r w:rsidR="00811D73" w:rsidRPr="00D20324">
        <w:rPr>
          <w:rFonts w:cs="Times New Roman"/>
        </w:rPr>
        <w:t xml:space="preserve">.  If the second </w:t>
      </w:r>
      <w:r w:rsidR="00A45540" w:rsidRPr="00D20324">
        <w:rPr>
          <w:rFonts w:cs="Times New Roman"/>
        </w:rPr>
        <w:t>possibility</w:t>
      </w:r>
      <w:r w:rsidR="00811D73" w:rsidRPr="00D20324">
        <w:rPr>
          <w:rFonts w:cs="Times New Roman"/>
        </w:rPr>
        <w:t xml:space="preserve"> reflects Luke’s thoug</w:t>
      </w:r>
      <w:r w:rsidR="00A44B7D" w:rsidRPr="00D20324">
        <w:rPr>
          <w:rFonts w:cs="Times New Roman"/>
        </w:rPr>
        <w:t>hts, Acts 4:13b indicates Luke’s deliberate choice not</w:t>
      </w:r>
      <w:r w:rsidR="00811D73" w:rsidRPr="00D20324">
        <w:rPr>
          <w:rFonts w:cs="Times New Roman"/>
        </w:rPr>
        <w:t xml:space="preserve"> to apply to Jesus the same </w:t>
      </w:r>
      <w:r w:rsidR="00811D73" w:rsidRPr="00D20324">
        <w:rPr>
          <w:rFonts w:cs="Times New Roman"/>
          <w:i/>
        </w:rPr>
        <w:t>pneuma</w:t>
      </w:r>
      <w:r w:rsidR="00811D73" w:rsidRPr="00D20324">
        <w:rPr>
          <w:rFonts w:cs="Times New Roman"/>
        </w:rPr>
        <w:t xml:space="preserve"> apologetic that he applies to Peter and John</w:t>
      </w:r>
      <w:r w:rsidR="000B3376" w:rsidRPr="00D20324">
        <w:rPr>
          <w:rFonts w:cs="Times New Roman"/>
        </w:rPr>
        <w:t xml:space="preserve"> </w:t>
      </w:r>
      <w:r w:rsidR="00717334" w:rsidRPr="00D20324">
        <w:rPr>
          <w:rFonts w:cs="Times New Roman"/>
        </w:rPr>
        <w:t xml:space="preserve">in </w:t>
      </w:r>
      <w:r w:rsidR="000B3376" w:rsidRPr="00D20324">
        <w:rPr>
          <w:rFonts w:cs="Times New Roman"/>
        </w:rPr>
        <w:t>Acts 4:8, 13</w:t>
      </w:r>
      <w:r w:rsidR="00811D73" w:rsidRPr="00D20324">
        <w:rPr>
          <w:rFonts w:cs="Times New Roman"/>
        </w:rPr>
        <w:t>.</w:t>
      </w:r>
      <w:r w:rsidR="00B4217A" w:rsidRPr="00D20324">
        <w:rPr>
          <w:rStyle w:val="FootnoteReference"/>
          <w:rFonts w:cs="Times New Roman"/>
        </w:rPr>
        <w:footnoteReference w:id="1"/>
      </w:r>
      <w:r w:rsidR="00811D73" w:rsidRPr="00D20324">
        <w:rPr>
          <w:rFonts w:cs="Times New Roman"/>
        </w:rPr>
        <w:t xml:space="preserve">  It should </w:t>
      </w:r>
      <w:r w:rsidR="00213CA1" w:rsidRPr="00D20324">
        <w:rPr>
          <w:rFonts w:cs="Times New Roman"/>
        </w:rPr>
        <w:t>b</w:t>
      </w:r>
      <w:r w:rsidR="00811D73" w:rsidRPr="00D20324">
        <w:rPr>
          <w:rFonts w:cs="Times New Roman"/>
        </w:rPr>
        <w:t xml:space="preserve">e acknowledged upfront that neither </w:t>
      </w:r>
      <w:r w:rsidRPr="00D20324">
        <w:rPr>
          <w:rFonts w:cs="Times New Roman"/>
        </w:rPr>
        <w:t xml:space="preserve">Luke’s Greek nor the larger narrative context offers clarity concerning which </w:t>
      </w:r>
      <w:r w:rsidR="001C31AE" w:rsidRPr="00D20324">
        <w:rPr>
          <w:rFonts w:cs="Times New Roman"/>
        </w:rPr>
        <w:t>option</w:t>
      </w:r>
      <w:r w:rsidR="000312B9">
        <w:rPr>
          <w:rFonts w:cs="Times New Roman"/>
        </w:rPr>
        <w:t xml:space="preserve"> is more</w:t>
      </w:r>
      <w:r w:rsidRPr="00D20324">
        <w:rPr>
          <w:rFonts w:cs="Times New Roman"/>
        </w:rPr>
        <w:t xml:space="preserve"> likely</w:t>
      </w:r>
      <w:r w:rsidR="00811D73" w:rsidRPr="00D20324">
        <w:rPr>
          <w:rFonts w:cs="Times New Roman"/>
        </w:rPr>
        <w:t xml:space="preserve">, and my purpose here is not to </w:t>
      </w:r>
      <w:r w:rsidR="00213CA1" w:rsidRPr="00D20324">
        <w:rPr>
          <w:rFonts w:cs="Times New Roman"/>
        </w:rPr>
        <w:t>enter</w:t>
      </w:r>
      <w:r w:rsidR="000B3376" w:rsidRPr="00D20324">
        <w:rPr>
          <w:rFonts w:cs="Times New Roman"/>
        </w:rPr>
        <w:t xml:space="preserve"> </w:t>
      </w:r>
      <w:r w:rsidR="007D3F9B" w:rsidRPr="00D20324">
        <w:rPr>
          <w:rFonts w:cs="Times New Roman"/>
        </w:rPr>
        <w:t xml:space="preserve">into the </w:t>
      </w:r>
      <w:r w:rsidR="000B3376" w:rsidRPr="00D20324">
        <w:rPr>
          <w:rFonts w:cs="Times New Roman"/>
        </w:rPr>
        <w:t>minefield</w:t>
      </w:r>
      <w:r w:rsidR="007D3F9B" w:rsidRPr="00D20324">
        <w:rPr>
          <w:rFonts w:cs="Times New Roman"/>
        </w:rPr>
        <w:t xml:space="preserve"> of authorial intention and </w:t>
      </w:r>
      <w:r w:rsidR="00811D73" w:rsidRPr="00D20324">
        <w:rPr>
          <w:rFonts w:cs="Times New Roman"/>
        </w:rPr>
        <w:t>decide between the two.  Rather, I argue that either possibility raises the critical interp</w:t>
      </w:r>
      <w:r w:rsidR="003C2C28" w:rsidRPr="00D20324">
        <w:rPr>
          <w:rFonts w:cs="Times New Roman"/>
        </w:rPr>
        <w:t>retive question of why Luke chose</w:t>
      </w:r>
      <w:r w:rsidR="00811D73" w:rsidRPr="00D20324">
        <w:rPr>
          <w:rFonts w:cs="Times New Roman"/>
        </w:rPr>
        <w:t xml:space="preserve"> to </w:t>
      </w:r>
      <w:r w:rsidR="00E65AC3" w:rsidRPr="00D20324">
        <w:rPr>
          <w:rFonts w:cs="Times New Roman"/>
        </w:rPr>
        <w:t xml:space="preserve">portray Jesus </w:t>
      </w:r>
      <w:r w:rsidR="007D3F9B" w:rsidRPr="00D20324">
        <w:rPr>
          <w:rFonts w:cs="Times New Roman"/>
        </w:rPr>
        <w:t>as a scribal-literate Scripture authority in his</w:t>
      </w:r>
      <w:r w:rsidR="00847AD9" w:rsidRPr="00D20324">
        <w:rPr>
          <w:rFonts w:cs="Times New Roman"/>
        </w:rPr>
        <w:t xml:space="preserve"> first volume, the</w:t>
      </w:r>
      <w:r w:rsidR="007D3F9B" w:rsidRPr="00D20324">
        <w:rPr>
          <w:rFonts w:cs="Times New Roman"/>
        </w:rPr>
        <w:t xml:space="preserve"> Gospel</w:t>
      </w:r>
      <w:r w:rsidR="00847AD9" w:rsidRPr="00D20324">
        <w:rPr>
          <w:rFonts w:cs="Times New Roman"/>
        </w:rPr>
        <w:t xml:space="preserve"> of Luke</w:t>
      </w:r>
      <w:r w:rsidR="00811D73" w:rsidRPr="00D20324">
        <w:rPr>
          <w:rFonts w:cs="Times New Roman"/>
        </w:rPr>
        <w:t>.  To my knowledge, th</w:t>
      </w:r>
      <w:r w:rsidR="003C2C28" w:rsidRPr="00D20324">
        <w:rPr>
          <w:rFonts w:cs="Times New Roman"/>
        </w:rPr>
        <w:t>e following argument i</w:t>
      </w:r>
      <w:r w:rsidR="00811D73" w:rsidRPr="00D20324">
        <w:rPr>
          <w:rFonts w:cs="Times New Roman"/>
        </w:rPr>
        <w:t xml:space="preserve">s original, and thus my </w:t>
      </w:r>
      <w:r w:rsidR="00013CE7" w:rsidRPr="00D20324">
        <w:rPr>
          <w:rFonts w:cs="Times New Roman"/>
        </w:rPr>
        <w:t xml:space="preserve">primary purpose is to </w:t>
      </w:r>
      <w:r w:rsidR="00811D73" w:rsidRPr="00D20324">
        <w:rPr>
          <w:rFonts w:cs="Times New Roman"/>
        </w:rPr>
        <w:t xml:space="preserve">articulate clearly </w:t>
      </w:r>
      <w:r w:rsidR="00013CE7" w:rsidRPr="00D20324">
        <w:rPr>
          <w:rFonts w:cs="Times New Roman"/>
        </w:rPr>
        <w:t>the oddity</w:t>
      </w:r>
      <w:r w:rsidR="003C2C28" w:rsidRPr="00D20324">
        <w:rPr>
          <w:rFonts w:cs="Times New Roman"/>
        </w:rPr>
        <w:t xml:space="preserve"> of the reference to Jesus in</w:t>
      </w:r>
      <w:r w:rsidR="00013CE7" w:rsidRPr="00D20324">
        <w:rPr>
          <w:rFonts w:cs="Times New Roman"/>
        </w:rPr>
        <w:t xml:space="preserve"> Acts 4:13b</w:t>
      </w:r>
      <w:r w:rsidR="00811D73" w:rsidRPr="00D20324">
        <w:rPr>
          <w:rFonts w:cs="Times New Roman"/>
        </w:rPr>
        <w:t xml:space="preserve">.  I will, however, </w:t>
      </w:r>
      <w:r w:rsidR="00013CE7" w:rsidRPr="00D20324">
        <w:rPr>
          <w:rFonts w:cs="Times New Roman"/>
        </w:rPr>
        <w:t xml:space="preserve">also venture a possible </w:t>
      </w:r>
      <w:r w:rsidR="00013CE7" w:rsidRPr="00D20324">
        <w:rPr>
          <w:rFonts w:cs="Times New Roman"/>
        </w:rPr>
        <w:lastRenderedPageBreak/>
        <w:t>explanation fo</w:t>
      </w:r>
      <w:r w:rsidR="00811D73" w:rsidRPr="00D20324">
        <w:rPr>
          <w:rFonts w:cs="Times New Roman"/>
        </w:rPr>
        <w:t>r Luke’s authorial choices</w:t>
      </w:r>
      <w:r w:rsidR="00013CE7" w:rsidRPr="00D20324">
        <w:rPr>
          <w:rFonts w:cs="Times New Roman"/>
        </w:rPr>
        <w:t xml:space="preserve">.  </w:t>
      </w:r>
      <w:r w:rsidR="00C47260" w:rsidRPr="00D20324">
        <w:rPr>
          <w:rFonts w:cs="Times New Roman"/>
        </w:rPr>
        <w:t>Th</w:t>
      </w:r>
      <w:r w:rsidR="000B3376" w:rsidRPr="00D20324">
        <w:rPr>
          <w:rFonts w:cs="Times New Roman"/>
        </w:rPr>
        <w:t>is</w:t>
      </w:r>
      <w:r w:rsidR="00C47260" w:rsidRPr="00D20324">
        <w:rPr>
          <w:rFonts w:cs="Times New Roman"/>
        </w:rPr>
        <w:t xml:space="preserve"> essay will thus break into (1) an interpretation of Acts 4:13 and brief review of previous scholarship, (2) an argument that the portrayal of Jesus in Acts 4:13b runs counter to </w:t>
      </w:r>
      <w:r w:rsidR="00E65AC3" w:rsidRPr="00D20324">
        <w:rPr>
          <w:rFonts w:cs="Times New Roman"/>
        </w:rPr>
        <w:t>Luke’s</w:t>
      </w:r>
      <w:r w:rsidR="00013CE7" w:rsidRPr="00D20324">
        <w:rPr>
          <w:rFonts w:cs="Times New Roman"/>
        </w:rPr>
        <w:t xml:space="preserve"> </w:t>
      </w:r>
      <w:r w:rsidR="00811D73" w:rsidRPr="00D20324">
        <w:rPr>
          <w:rFonts w:cs="Times New Roman"/>
        </w:rPr>
        <w:t xml:space="preserve">sustained </w:t>
      </w:r>
      <w:r w:rsidR="00013CE7" w:rsidRPr="00D20324">
        <w:rPr>
          <w:rFonts w:cs="Times New Roman"/>
        </w:rPr>
        <w:t>narrative strategies</w:t>
      </w:r>
      <w:r w:rsidR="00C47260" w:rsidRPr="00D20324">
        <w:rPr>
          <w:rFonts w:cs="Times New Roman"/>
        </w:rPr>
        <w:t>, and (3) a p</w:t>
      </w:r>
      <w:r w:rsidR="00A44B7D" w:rsidRPr="00D20324">
        <w:rPr>
          <w:rFonts w:cs="Times New Roman"/>
        </w:rPr>
        <w:t>ossible</w:t>
      </w:r>
      <w:r w:rsidR="00C47260" w:rsidRPr="00D20324">
        <w:rPr>
          <w:rFonts w:cs="Times New Roman"/>
        </w:rPr>
        <w:t xml:space="preserve"> solution.</w:t>
      </w:r>
    </w:p>
    <w:p w:rsidR="0021425A" w:rsidRPr="00D20324" w:rsidRDefault="0021425A" w:rsidP="000D0D59">
      <w:pPr>
        <w:pStyle w:val="ListParagraph"/>
        <w:numPr>
          <w:ilvl w:val="0"/>
          <w:numId w:val="1"/>
        </w:numPr>
        <w:spacing w:line="480" w:lineRule="auto"/>
        <w:jc w:val="center"/>
        <w:rPr>
          <w:i/>
        </w:rPr>
      </w:pPr>
      <w:r w:rsidRPr="00D20324">
        <w:rPr>
          <w:i/>
        </w:rPr>
        <w:t>The Interpretation of Acts 4.13</w:t>
      </w:r>
      <w:r w:rsidR="00E327D0" w:rsidRPr="00D20324">
        <w:rPr>
          <w:i/>
        </w:rPr>
        <w:t>b</w:t>
      </w:r>
    </w:p>
    <w:p w:rsidR="00225E6F" w:rsidRPr="00D20324" w:rsidRDefault="00730856" w:rsidP="001866F1">
      <w:pPr>
        <w:spacing w:line="480" w:lineRule="auto"/>
        <w:rPr>
          <w:rFonts w:cs="Times New Roman"/>
        </w:rPr>
      </w:pPr>
      <w:r w:rsidRPr="00D20324">
        <w:rPr>
          <w:rFonts w:cs="Times New Roman"/>
        </w:rPr>
        <w:t xml:space="preserve">According to </w:t>
      </w:r>
      <w:r w:rsidR="00642384">
        <w:rPr>
          <w:rFonts w:cs="Times New Roman"/>
        </w:rPr>
        <w:t xml:space="preserve">the narrator in </w:t>
      </w:r>
      <w:r w:rsidRPr="00D20324">
        <w:rPr>
          <w:rFonts w:cs="Times New Roman"/>
        </w:rPr>
        <w:t xml:space="preserve">Acts 4:13, the Sanhedrin responded to Peter’s speech before them with a combination of surprise and familiarity:  </w:t>
      </w:r>
      <w:r w:rsidR="00213CA1" w:rsidRPr="00D20324">
        <w:rPr>
          <w:rFonts w:cs="Times New Roman"/>
        </w:rPr>
        <w:t>“Upon</w:t>
      </w:r>
      <w:r w:rsidRPr="00D20324">
        <w:rPr>
          <w:rFonts w:cs="Times New Roman"/>
        </w:rPr>
        <w:t xml:space="preserve"> seeing the boldness (</w:t>
      </w:r>
      <w:r w:rsidR="001866F1" w:rsidRPr="00D20324">
        <w:rPr>
          <w:rFonts w:ascii="SBL Greek" w:hAnsi="SBL Greek" w:cs="Times New Roman"/>
          <w:lang w:val="el-GR"/>
        </w:rPr>
        <w:t>παρρησίαν</w:t>
      </w:r>
      <w:r w:rsidRPr="00D20324">
        <w:rPr>
          <w:rFonts w:cs="Times New Roman"/>
        </w:rPr>
        <w:t>) of Peter, as well as John,</w:t>
      </w:r>
      <w:r w:rsidR="005A01EB" w:rsidRPr="00D20324">
        <w:rPr>
          <w:rFonts w:cs="Times New Roman"/>
        </w:rPr>
        <w:t xml:space="preserve"> and upon perceiving that they we</w:t>
      </w:r>
      <w:r w:rsidRPr="00D20324">
        <w:rPr>
          <w:rFonts w:cs="Times New Roman"/>
        </w:rPr>
        <w:t>re illiterate (</w:t>
      </w:r>
      <w:r w:rsidR="001866F1" w:rsidRPr="00D20324">
        <w:rPr>
          <w:rFonts w:ascii="SBL Greek" w:hAnsi="SBL Greek"/>
          <w:lang w:val="el-GR"/>
        </w:rPr>
        <w:t>ἀγράμματοι</w:t>
      </w:r>
      <w:r w:rsidRPr="00D20324">
        <w:rPr>
          <w:rFonts w:cs="Times New Roman"/>
        </w:rPr>
        <w:t>) and untrained (</w:t>
      </w:r>
      <w:r w:rsidR="001866F1" w:rsidRPr="00D20324">
        <w:rPr>
          <w:rFonts w:ascii="SBL Greek" w:hAnsi="SBL Greek"/>
        </w:rPr>
        <w:t>ἰ</w:t>
      </w:r>
      <w:r w:rsidR="001866F1" w:rsidRPr="00D20324">
        <w:rPr>
          <w:rFonts w:ascii="SBL Greek" w:hAnsi="SBL Greek" w:cs="Times New Roman"/>
          <w:lang w:val="el-GR"/>
        </w:rPr>
        <w:t>διῶται</w:t>
      </w:r>
      <w:r w:rsidRPr="00D20324">
        <w:rPr>
          <w:rFonts w:cs="Times New Roman"/>
        </w:rPr>
        <w:t>) men, they were amazed (</w:t>
      </w:r>
      <w:r w:rsidR="001866F1" w:rsidRPr="00D20324">
        <w:rPr>
          <w:rFonts w:ascii="SBL Greek" w:hAnsi="SBL Greek" w:cs="Times New Roman"/>
        </w:rPr>
        <w:t>ἐ</w:t>
      </w:r>
      <w:r w:rsidR="001866F1" w:rsidRPr="00D20324">
        <w:rPr>
          <w:rFonts w:ascii="SBL Greek" w:hAnsi="SBL Greek" w:cs="Times New Roman"/>
          <w:lang w:val="el-GR"/>
        </w:rPr>
        <w:t>θαύμαζον</w:t>
      </w:r>
      <w:r w:rsidRPr="00D20324">
        <w:rPr>
          <w:rFonts w:cs="Times New Roman"/>
        </w:rPr>
        <w:t>) and recognized them; that they were with Jesus” (Acts 4:13).</w:t>
      </w:r>
      <w:r w:rsidR="00A45540" w:rsidRPr="00D20324">
        <w:rPr>
          <w:rStyle w:val="FootnoteReference"/>
          <w:rFonts w:cs="Times New Roman"/>
        </w:rPr>
        <w:footnoteReference w:id="2"/>
      </w:r>
      <w:r w:rsidRPr="00D20324">
        <w:rPr>
          <w:rFonts w:cs="Times New Roman"/>
        </w:rPr>
        <w:t xml:space="preserve">  </w:t>
      </w:r>
      <w:r w:rsidR="004378BA" w:rsidRPr="00D20324">
        <w:rPr>
          <w:rFonts w:cs="Times New Roman"/>
        </w:rPr>
        <w:t xml:space="preserve">For present purposes, the most important aspects of the interpretation of Acts 4:13b are the meanings of </w:t>
      </w:r>
      <w:r w:rsidR="001866F1" w:rsidRPr="00D20324">
        <w:rPr>
          <w:rFonts w:ascii="SBL Greek" w:hAnsi="SBL Greek"/>
          <w:lang w:val="el-GR"/>
        </w:rPr>
        <w:t>ἀγράμματος</w:t>
      </w:r>
      <w:r w:rsidR="001866F1" w:rsidRPr="00D20324">
        <w:rPr>
          <w:rFonts w:cs="Times New Roman"/>
        </w:rPr>
        <w:t xml:space="preserve"> </w:t>
      </w:r>
      <w:r w:rsidR="004378BA" w:rsidRPr="00D20324">
        <w:rPr>
          <w:rFonts w:cs="Times New Roman"/>
        </w:rPr>
        <w:t xml:space="preserve">and </w:t>
      </w:r>
      <w:r w:rsidR="001866F1" w:rsidRPr="00D20324">
        <w:rPr>
          <w:rFonts w:ascii="SBL Greek" w:hAnsi="SBL Greek"/>
        </w:rPr>
        <w:t>ἰ</w:t>
      </w:r>
      <w:r w:rsidR="001866F1" w:rsidRPr="00D20324">
        <w:rPr>
          <w:rFonts w:ascii="SBL Greek" w:hAnsi="SBL Greek" w:cs="Times New Roman"/>
          <w:lang w:val="el-GR"/>
        </w:rPr>
        <w:t>διώτης</w:t>
      </w:r>
      <w:r w:rsidR="001866F1" w:rsidRPr="00D20324">
        <w:rPr>
          <w:rFonts w:cs="Times New Roman"/>
        </w:rPr>
        <w:t xml:space="preserve"> </w:t>
      </w:r>
      <w:r w:rsidR="004378BA" w:rsidRPr="00D20324">
        <w:rPr>
          <w:rFonts w:cs="Times New Roman"/>
        </w:rPr>
        <w:t xml:space="preserve">in Acts 4:13a, the fact that the narrative dynamics in the broader context of Acts 4:13 reflect continuity with narrative dynamics in Luke’s Gospel, and the fact that previous interpretations of Acts 4:13b generally reflect the narrative accurately.  </w:t>
      </w:r>
    </w:p>
    <w:p w:rsidR="001439B0" w:rsidRPr="00D20324" w:rsidRDefault="001439B0" w:rsidP="000D0D59">
      <w:pPr>
        <w:spacing w:line="480" w:lineRule="auto"/>
        <w:rPr>
          <w:rFonts w:cs="Times New Roman"/>
        </w:rPr>
      </w:pPr>
      <w:r w:rsidRPr="00D20324">
        <w:rPr>
          <w:rFonts w:cs="Times New Roman"/>
          <w:i/>
        </w:rPr>
        <w:t>1.1 Peter and John as “Illiterate” and “Laymen”</w:t>
      </w:r>
    </w:p>
    <w:p w:rsidR="009D194F" w:rsidRPr="00D20324" w:rsidRDefault="00D122C0" w:rsidP="006B6C61">
      <w:pPr>
        <w:spacing w:line="480" w:lineRule="auto"/>
        <w:ind w:firstLine="720"/>
        <w:rPr>
          <w:rFonts w:cs="Times New Roman"/>
        </w:rPr>
      </w:pPr>
      <w:r w:rsidRPr="00D20324">
        <w:rPr>
          <w:rFonts w:cs="Times New Roman"/>
        </w:rPr>
        <w:t>With the exception of</w:t>
      </w:r>
      <w:r w:rsidR="00D7163E" w:rsidRPr="00D20324">
        <w:rPr>
          <w:rFonts w:cs="Times New Roman"/>
        </w:rPr>
        <w:t xml:space="preserve"> studies that focus upon </w:t>
      </w:r>
      <w:r w:rsidR="00DE177E" w:rsidRPr="00D20324">
        <w:rPr>
          <w:rFonts w:cs="Times New Roman"/>
        </w:rPr>
        <w:t xml:space="preserve">Peter’s </w:t>
      </w:r>
      <w:r w:rsidR="001866F1" w:rsidRPr="00D20324">
        <w:rPr>
          <w:rFonts w:ascii="SBL Greek" w:hAnsi="SBL Greek" w:cs="Times New Roman"/>
          <w:lang w:val="el-GR"/>
        </w:rPr>
        <w:t>παρρησία</w:t>
      </w:r>
      <w:r w:rsidR="001866F1" w:rsidRPr="00D20324">
        <w:rPr>
          <w:rFonts w:cs="Times New Roman"/>
        </w:rPr>
        <w:t xml:space="preserve"> </w:t>
      </w:r>
      <w:r w:rsidR="00D7163E" w:rsidRPr="00D20324">
        <w:rPr>
          <w:rFonts w:cs="Times New Roman"/>
        </w:rPr>
        <w:t>(for example, the essays of van Unnik and Hilton’s Yale PhD dissertation),</w:t>
      </w:r>
      <w:r w:rsidRPr="00D20324">
        <w:rPr>
          <w:rStyle w:val="FootnoteReference"/>
          <w:rFonts w:cs="Times New Roman"/>
        </w:rPr>
        <w:footnoteReference w:id="3"/>
      </w:r>
      <w:r w:rsidRPr="00D20324">
        <w:rPr>
          <w:rFonts w:cs="Times New Roman"/>
        </w:rPr>
        <w:t xml:space="preserve"> p</w:t>
      </w:r>
      <w:r w:rsidR="00225E6F" w:rsidRPr="00D20324">
        <w:rPr>
          <w:rFonts w:cs="Times New Roman"/>
        </w:rPr>
        <w:t xml:space="preserve">revious scholarly consideration of the significance of Acts 4:13 has been limited and focused </w:t>
      </w:r>
      <w:r w:rsidR="000B3376" w:rsidRPr="00D20324">
        <w:rPr>
          <w:rFonts w:cs="Times New Roman"/>
        </w:rPr>
        <w:t>predominant</w:t>
      </w:r>
      <w:r w:rsidR="00DE177E" w:rsidRPr="00D20324">
        <w:rPr>
          <w:rFonts w:cs="Times New Roman"/>
        </w:rPr>
        <w:t xml:space="preserve">ly </w:t>
      </w:r>
      <w:r w:rsidR="00225E6F" w:rsidRPr="00D20324">
        <w:rPr>
          <w:rFonts w:cs="Times New Roman"/>
        </w:rPr>
        <w:t xml:space="preserve">upon the correct translation of the references to Peter and John as </w:t>
      </w:r>
      <w:r w:rsidR="001866F1" w:rsidRPr="00D20324">
        <w:rPr>
          <w:rFonts w:ascii="SBL Greek" w:hAnsi="SBL Greek"/>
          <w:lang w:val="el-GR"/>
        </w:rPr>
        <w:t>ἀγράμματοι</w:t>
      </w:r>
      <w:r w:rsidR="001866F1" w:rsidRPr="00D20324">
        <w:t xml:space="preserve"> </w:t>
      </w:r>
      <w:r w:rsidR="00225E6F" w:rsidRPr="00D20324">
        <w:t xml:space="preserve">and </w:t>
      </w:r>
      <w:r w:rsidR="001866F1" w:rsidRPr="00D20324">
        <w:rPr>
          <w:rFonts w:ascii="SBL Greek" w:hAnsi="SBL Greek"/>
        </w:rPr>
        <w:t>ἰ</w:t>
      </w:r>
      <w:r w:rsidR="001866F1" w:rsidRPr="00D20324">
        <w:rPr>
          <w:rFonts w:ascii="SBL Greek" w:hAnsi="SBL Greek" w:cs="Times New Roman"/>
          <w:lang w:val="el-GR"/>
        </w:rPr>
        <w:t>διῶται</w:t>
      </w:r>
      <w:r w:rsidR="003C2C28" w:rsidRPr="00D20324">
        <w:t>.</w:t>
      </w:r>
      <w:r w:rsidR="00225E6F" w:rsidRPr="00D20324">
        <w:rPr>
          <w:rStyle w:val="FootnoteReference"/>
          <w:rFonts w:cs="Times New Roman"/>
        </w:rPr>
        <w:footnoteReference w:id="4"/>
      </w:r>
      <w:r w:rsidR="009D194F" w:rsidRPr="00D20324">
        <w:t xml:space="preserve">  Kraus is correct that </w:t>
      </w:r>
      <w:r w:rsidR="009D194F" w:rsidRPr="00D20324">
        <w:rPr>
          <w:rFonts w:cs="Times New Roman"/>
        </w:rPr>
        <w:t>the</w:t>
      </w:r>
      <w:r w:rsidR="002626DD" w:rsidRPr="00D20324">
        <w:rPr>
          <w:rFonts w:cs="Times New Roman"/>
        </w:rPr>
        <w:t xml:space="preserve"> t</w:t>
      </w:r>
      <w:r w:rsidR="004B0A5B" w:rsidRPr="00D20324">
        <w:rPr>
          <w:rFonts w:cs="Times New Roman"/>
        </w:rPr>
        <w:t>erms have overlapping but distinct referents.</w:t>
      </w:r>
      <w:r w:rsidR="004B0A5B" w:rsidRPr="00D20324">
        <w:rPr>
          <w:rStyle w:val="FootnoteReference"/>
          <w:rFonts w:cs="Times New Roman"/>
        </w:rPr>
        <w:footnoteReference w:id="5"/>
      </w:r>
      <w:r w:rsidR="004B0A5B" w:rsidRPr="00D20324">
        <w:rPr>
          <w:rFonts w:cs="Times New Roman"/>
        </w:rPr>
        <w:t xml:space="preserve">  T</w:t>
      </w:r>
      <w:r w:rsidR="002626DD" w:rsidRPr="00D20324">
        <w:rPr>
          <w:rFonts w:cs="Times New Roman"/>
        </w:rPr>
        <w:t>he</w:t>
      </w:r>
      <w:r w:rsidR="000B3376" w:rsidRPr="00D20324">
        <w:rPr>
          <w:rFonts w:cs="Times New Roman"/>
        </w:rPr>
        <w:t xml:space="preserve"> former term means</w:t>
      </w:r>
      <w:r w:rsidR="004B0A5B" w:rsidRPr="00D20324">
        <w:rPr>
          <w:rFonts w:cs="Times New Roman"/>
        </w:rPr>
        <w:t xml:space="preserve"> (as its </w:t>
      </w:r>
      <w:r w:rsidR="000B3376" w:rsidRPr="00D20324">
        <w:rPr>
          <w:rFonts w:cs="Times New Roman"/>
        </w:rPr>
        <w:t xml:space="preserve">constituent parts </w:t>
      </w:r>
      <w:r w:rsidR="004B0A5B" w:rsidRPr="00D20324">
        <w:rPr>
          <w:rFonts w:cs="Times New Roman"/>
        </w:rPr>
        <w:t>would suggest)</w:t>
      </w:r>
      <w:r w:rsidR="009961B4" w:rsidRPr="00D20324">
        <w:rPr>
          <w:rFonts w:cs="Times New Roman"/>
        </w:rPr>
        <w:t xml:space="preserve"> “unlettered” or</w:t>
      </w:r>
      <w:r w:rsidR="004B0A5B" w:rsidRPr="00D20324">
        <w:rPr>
          <w:rFonts w:cs="Times New Roman"/>
        </w:rPr>
        <w:t xml:space="preserve"> </w:t>
      </w:r>
      <w:r w:rsidR="004C1061" w:rsidRPr="00D20324">
        <w:rPr>
          <w:rFonts w:cs="Times New Roman"/>
        </w:rPr>
        <w:t>“illiterate</w:t>
      </w:r>
      <w:r w:rsidR="009D194F" w:rsidRPr="00D20324">
        <w:rPr>
          <w:rFonts w:cs="Times New Roman"/>
        </w:rPr>
        <w:t>”</w:t>
      </w:r>
      <w:r w:rsidR="000B3376" w:rsidRPr="00D20324">
        <w:rPr>
          <w:rFonts w:cs="Times New Roman"/>
        </w:rPr>
        <w:t xml:space="preserve"> while the latter term means</w:t>
      </w:r>
      <w:r w:rsidR="009D194F" w:rsidRPr="00D20324">
        <w:rPr>
          <w:rFonts w:cs="Times New Roman"/>
        </w:rPr>
        <w:t xml:space="preserve"> more specifically “amateur”</w:t>
      </w:r>
      <w:r w:rsidR="004B0A5B" w:rsidRPr="00D20324">
        <w:rPr>
          <w:rFonts w:cs="Times New Roman"/>
        </w:rPr>
        <w:t xml:space="preserve"> </w:t>
      </w:r>
      <w:r w:rsidR="00A76013" w:rsidRPr="00D20324">
        <w:rPr>
          <w:rFonts w:cs="Times New Roman"/>
        </w:rPr>
        <w:t xml:space="preserve">or </w:t>
      </w:r>
      <w:r w:rsidR="004B0A5B" w:rsidRPr="00D20324">
        <w:rPr>
          <w:rFonts w:cs="Times New Roman"/>
        </w:rPr>
        <w:t>“untrained</w:t>
      </w:r>
      <w:r w:rsidR="00A76013" w:rsidRPr="00D20324">
        <w:rPr>
          <w:rFonts w:cs="Times New Roman"/>
        </w:rPr>
        <w:t>.</w:t>
      </w:r>
      <w:r w:rsidR="004B0A5B" w:rsidRPr="00D20324">
        <w:rPr>
          <w:rFonts w:cs="Times New Roman"/>
        </w:rPr>
        <w:t>”</w:t>
      </w:r>
      <w:r w:rsidR="004B0A5B" w:rsidRPr="00D20324">
        <w:rPr>
          <w:rStyle w:val="FootnoteReference"/>
          <w:rFonts w:cs="Times New Roman"/>
        </w:rPr>
        <w:footnoteReference w:id="6"/>
      </w:r>
      <w:r w:rsidR="004B0A5B" w:rsidRPr="00D20324">
        <w:rPr>
          <w:rFonts w:cs="Times New Roman"/>
        </w:rPr>
        <w:t xml:space="preserve">  Stated otherwise, the former term refer</w:t>
      </w:r>
      <w:r w:rsidR="000B3376" w:rsidRPr="00D20324">
        <w:rPr>
          <w:rFonts w:cs="Times New Roman"/>
        </w:rPr>
        <w:t>s</w:t>
      </w:r>
      <w:r w:rsidR="00F5662A" w:rsidRPr="00D20324">
        <w:rPr>
          <w:rFonts w:cs="Times New Roman"/>
        </w:rPr>
        <w:t xml:space="preserve"> to the lack of educational</w:t>
      </w:r>
      <w:r w:rsidR="004B0A5B" w:rsidRPr="00D20324">
        <w:rPr>
          <w:rFonts w:cs="Times New Roman"/>
        </w:rPr>
        <w:t xml:space="preserve"> status while the latter term refer</w:t>
      </w:r>
      <w:r w:rsidR="000B3376" w:rsidRPr="00D20324">
        <w:rPr>
          <w:rFonts w:cs="Times New Roman"/>
        </w:rPr>
        <w:t>s</w:t>
      </w:r>
      <w:r w:rsidR="004B0A5B" w:rsidRPr="00D20324">
        <w:rPr>
          <w:rFonts w:cs="Times New Roman"/>
        </w:rPr>
        <w:t xml:space="preserve"> to the lack of professional status.</w:t>
      </w:r>
      <w:r w:rsidR="00F9642B" w:rsidRPr="00D20324">
        <w:rPr>
          <w:rFonts w:cs="Times New Roman"/>
        </w:rPr>
        <w:t xml:space="preserve">  </w:t>
      </w:r>
      <w:r w:rsidR="00FE0C25" w:rsidRPr="00D20324">
        <w:rPr>
          <w:rFonts w:cs="Times New Roman"/>
        </w:rPr>
        <w:t>Glosses of the terms as “unstudierte</w:t>
      </w:r>
      <w:r w:rsidR="005201BE" w:rsidRPr="00D20324">
        <w:rPr>
          <w:rFonts w:cs="Times New Roman"/>
        </w:rPr>
        <w:t xml:space="preserve"> Leute</w:t>
      </w:r>
      <w:r w:rsidR="00E91A5C" w:rsidRPr="00D20324">
        <w:rPr>
          <w:rFonts w:cs="Times New Roman"/>
        </w:rPr>
        <w:t>” a</w:t>
      </w:r>
      <w:r w:rsidR="00FE0C25" w:rsidRPr="00D20324">
        <w:rPr>
          <w:rFonts w:cs="Times New Roman"/>
        </w:rPr>
        <w:t>nd “Laien,” respectively, are thus correct.</w:t>
      </w:r>
      <w:r w:rsidR="00F9642B" w:rsidRPr="00D20324">
        <w:rPr>
          <w:rStyle w:val="FootnoteReference"/>
          <w:rFonts w:cs="Times New Roman"/>
        </w:rPr>
        <w:footnoteReference w:id="7"/>
      </w:r>
      <w:r w:rsidR="009D194F" w:rsidRPr="00D20324">
        <w:rPr>
          <w:rFonts w:cs="Times New Roman"/>
        </w:rPr>
        <w:t xml:space="preserve">  </w:t>
      </w:r>
      <w:r w:rsidR="00C35109" w:rsidRPr="00D20324">
        <w:rPr>
          <w:rFonts w:cs="Times New Roman"/>
        </w:rPr>
        <w:t>More important</w:t>
      </w:r>
      <w:r w:rsidR="004612C4" w:rsidRPr="00D20324">
        <w:rPr>
          <w:rFonts w:cs="Times New Roman"/>
        </w:rPr>
        <w:t>ly</w:t>
      </w:r>
      <w:r w:rsidR="00353DEC" w:rsidRPr="00D20324">
        <w:rPr>
          <w:rFonts w:cs="Times New Roman"/>
        </w:rPr>
        <w:t>,</w:t>
      </w:r>
      <w:r w:rsidR="004B0A5B" w:rsidRPr="00D20324">
        <w:rPr>
          <w:rFonts w:cs="Times New Roman"/>
        </w:rPr>
        <w:t xml:space="preserve"> however,</w:t>
      </w:r>
      <w:r w:rsidR="00353DEC" w:rsidRPr="00D20324">
        <w:rPr>
          <w:rFonts w:cs="Times New Roman"/>
        </w:rPr>
        <w:t xml:space="preserve"> Kraus rightly notes that both words </w:t>
      </w:r>
      <w:r w:rsidR="00F5662A" w:rsidRPr="00D20324">
        <w:rPr>
          <w:rFonts w:cs="Times New Roman"/>
        </w:rPr>
        <w:t>function</w:t>
      </w:r>
      <w:r w:rsidR="004B0A5B" w:rsidRPr="00D20324">
        <w:rPr>
          <w:rFonts w:cs="Times New Roman"/>
        </w:rPr>
        <w:t xml:space="preserve"> as terms of contrast</w:t>
      </w:r>
      <w:r w:rsidR="00353DEC" w:rsidRPr="00D20324">
        <w:rPr>
          <w:rFonts w:cs="Times New Roman"/>
        </w:rPr>
        <w:t xml:space="preserve"> to another group, and thus </w:t>
      </w:r>
      <w:r w:rsidR="009D194F" w:rsidRPr="00D20324">
        <w:rPr>
          <w:rFonts w:cs="Times New Roman"/>
        </w:rPr>
        <w:t>interpreters must rely upon the context of the terms in order to attribute to them more specificity</w:t>
      </w:r>
      <w:r w:rsidR="00353DEC" w:rsidRPr="00D20324">
        <w:rPr>
          <w:rFonts w:cs="Times New Roman"/>
        </w:rPr>
        <w:t xml:space="preserve"> concerning which letters </w:t>
      </w:r>
      <w:r w:rsidR="004B0A5B" w:rsidRPr="00D20324">
        <w:rPr>
          <w:rFonts w:cs="Times New Roman"/>
        </w:rPr>
        <w:t xml:space="preserve">(and </w:t>
      </w:r>
      <w:r w:rsidR="00353DEC" w:rsidRPr="00D20324">
        <w:rPr>
          <w:rFonts w:cs="Times New Roman"/>
        </w:rPr>
        <w:t>in which language</w:t>
      </w:r>
      <w:r w:rsidR="004B0A5B" w:rsidRPr="00D20324">
        <w:rPr>
          <w:rFonts w:cs="Times New Roman"/>
        </w:rPr>
        <w:t>)</w:t>
      </w:r>
      <w:r w:rsidR="00353DEC" w:rsidRPr="00D20324">
        <w:rPr>
          <w:rFonts w:cs="Times New Roman"/>
        </w:rPr>
        <w:t xml:space="preserve"> </w:t>
      </w:r>
      <w:r w:rsidRPr="00D20324">
        <w:rPr>
          <w:rFonts w:cs="Times New Roman"/>
        </w:rPr>
        <w:t xml:space="preserve">are not known, and in what skills </w:t>
      </w:r>
      <w:r w:rsidR="000B3376" w:rsidRPr="00D20324">
        <w:rPr>
          <w:rFonts w:cs="Times New Roman"/>
        </w:rPr>
        <w:t xml:space="preserve">the individual in question </w:t>
      </w:r>
      <w:r w:rsidRPr="00D20324">
        <w:rPr>
          <w:rFonts w:cs="Times New Roman"/>
        </w:rPr>
        <w:t xml:space="preserve">is an </w:t>
      </w:r>
      <w:r w:rsidR="00353DEC" w:rsidRPr="00D20324">
        <w:rPr>
          <w:rFonts w:cs="Times New Roman"/>
        </w:rPr>
        <w:t>amateur</w:t>
      </w:r>
      <w:r w:rsidR="009D194F" w:rsidRPr="00D20324">
        <w:rPr>
          <w:rFonts w:cs="Times New Roman"/>
        </w:rPr>
        <w:t>.</w:t>
      </w:r>
      <w:r w:rsidR="009D194F" w:rsidRPr="00D20324">
        <w:rPr>
          <w:rStyle w:val="FootnoteReference"/>
          <w:rFonts w:cs="Times New Roman"/>
        </w:rPr>
        <w:footnoteReference w:id="8"/>
      </w:r>
      <w:r w:rsidR="002626DD" w:rsidRPr="00D20324">
        <w:rPr>
          <w:rFonts w:cs="Times New Roman"/>
        </w:rPr>
        <w:t xml:space="preserve">  </w:t>
      </w:r>
    </w:p>
    <w:p w:rsidR="004C1061" w:rsidRPr="00D20324" w:rsidRDefault="004C1061" w:rsidP="001866F1">
      <w:pPr>
        <w:spacing w:line="480" w:lineRule="auto"/>
        <w:ind w:firstLine="720"/>
        <w:rPr>
          <w:rFonts w:asciiTheme="majorBidi" w:hAnsiTheme="majorBidi" w:cstheme="majorBidi"/>
        </w:rPr>
      </w:pPr>
      <w:r w:rsidRPr="00D20324">
        <w:rPr>
          <w:rFonts w:cs="Times New Roman"/>
        </w:rPr>
        <w:t xml:space="preserve">In light of this last important point, one may note the inaccuracy and, furthermore, irrelevance of previous scholarly attempts to deny for </w:t>
      </w:r>
      <w:r w:rsidR="001866F1" w:rsidRPr="00D20324">
        <w:rPr>
          <w:rFonts w:ascii="SBL Greek" w:hAnsi="SBL Greek"/>
          <w:lang w:val="el-GR"/>
        </w:rPr>
        <w:t>ἀγράμματος</w:t>
      </w:r>
      <w:r w:rsidRPr="00D20324">
        <w:rPr>
          <w:rFonts w:asciiTheme="majorBidi" w:hAnsiTheme="majorBidi" w:cstheme="majorBidi"/>
        </w:rPr>
        <w:t xml:space="preserve"> the obvious meaning of “illiterate.”  </w:t>
      </w:r>
      <w:r w:rsidR="009961B4" w:rsidRPr="00D20324">
        <w:rPr>
          <w:rFonts w:asciiTheme="majorBidi" w:hAnsiTheme="majorBidi" w:cstheme="majorBidi"/>
        </w:rPr>
        <w:t>T</w:t>
      </w:r>
      <w:r w:rsidRPr="00D20324">
        <w:rPr>
          <w:rFonts w:asciiTheme="majorBidi" w:hAnsiTheme="majorBidi" w:cstheme="majorBidi"/>
        </w:rPr>
        <w:t xml:space="preserve">his attempt is often based on the claim that an elementary education was widely available to first-century Jews:  </w:t>
      </w:r>
    </w:p>
    <w:p w:rsidR="004C1061" w:rsidRPr="00D20324" w:rsidRDefault="004C1061" w:rsidP="000D0D59">
      <w:pPr>
        <w:spacing w:line="480" w:lineRule="auto"/>
        <w:ind w:left="1440" w:right="804"/>
        <w:jc w:val="both"/>
        <w:rPr>
          <w:rFonts w:asciiTheme="majorBidi" w:hAnsiTheme="majorBidi" w:cstheme="majorBidi"/>
        </w:rPr>
      </w:pPr>
      <w:r w:rsidRPr="00D20324">
        <w:rPr>
          <w:rFonts w:asciiTheme="majorBidi" w:hAnsiTheme="majorBidi" w:cstheme="majorBidi"/>
        </w:rPr>
        <w:t>It is wholly misleading to apply the word ‘illiterate’ to Peter and John . . . and the term ‘ignorant’ . . . falls under the same condemnation. . . .  A knowledge of the conditions of education during the first century in Pa</w:t>
      </w:r>
      <w:r w:rsidR="000962D4" w:rsidRPr="00D20324">
        <w:rPr>
          <w:rFonts w:asciiTheme="majorBidi" w:hAnsiTheme="majorBidi" w:cstheme="majorBidi"/>
        </w:rPr>
        <w:t>lestine, and of the New Testame</w:t>
      </w:r>
      <w:r w:rsidRPr="00D20324">
        <w:rPr>
          <w:rFonts w:asciiTheme="majorBidi" w:hAnsiTheme="majorBidi" w:cstheme="majorBidi"/>
        </w:rPr>
        <w:t>n</w:t>
      </w:r>
      <w:r w:rsidR="000962D4" w:rsidRPr="00D20324">
        <w:rPr>
          <w:rFonts w:asciiTheme="majorBidi" w:hAnsiTheme="majorBidi" w:cstheme="majorBidi"/>
        </w:rPr>
        <w:t>t</w:t>
      </w:r>
      <w:r w:rsidRPr="00D20324">
        <w:rPr>
          <w:rFonts w:asciiTheme="majorBidi" w:hAnsiTheme="majorBidi" w:cstheme="majorBidi"/>
        </w:rPr>
        <w:t xml:space="preserve"> information about the apostles, leads to the view that they had as much education as was then customary among the Jews.</w:t>
      </w:r>
      <w:r w:rsidR="000962D4" w:rsidRPr="00D20324">
        <w:rPr>
          <w:rFonts w:asciiTheme="majorBidi" w:hAnsiTheme="majorBidi" w:cstheme="majorBidi"/>
        </w:rPr>
        <w:t xml:space="preserve">  Peter and John had not been trained in the rabbinical schools at Jerusalem, nor had they been ordained by the rabbis to teach.  This was noted in their trial before the Sanhedrin.</w:t>
      </w:r>
      <w:r w:rsidRPr="00D20324">
        <w:rPr>
          <w:rStyle w:val="FootnoteReference"/>
          <w:rFonts w:asciiTheme="majorBidi" w:hAnsiTheme="majorBidi" w:cstheme="majorBidi"/>
        </w:rPr>
        <w:footnoteReference w:id="9"/>
      </w:r>
    </w:p>
    <w:p w:rsidR="00F82771" w:rsidRPr="00D20324" w:rsidRDefault="002B0308" w:rsidP="000312B9">
      <w:pPr>
        <w:spacing w:line="480" w:lineRule="auto"/>
        <w:rPr>
          <w:rFonts w:cs="Times New Roman"/>
        </w:rPr>
      </w:pPr>
      <w:r w:rsidRPr="00D20324">
        <w:rPr>
          <w:rFonts w:cs="Times New Roman"/>
        </w:rPr>
        <w:t>T</w:t>
      </w:r>
      <w:r w:rsidR="000962D4" w:rsidRPr="00D20324">
        <w:rPr>
          <w:rFonts w:cs="Times New Roman"/>
        </w:rPr>
        <w:t>his scholar is alone neither in claiming that Acts 4:13 cannot mean that Peter and John were illiterate because they would have gone to elementary school</w:t>
      </w:r>
      <w:bookmarkStart w:id="1" w:name="_Ref377126235"/>
      <w:r w:rsidR="000962D4" w:rsidRPr="00D20324">
        <w:rPr>
          <w:rStyle w:val="FootnoteReference"/>
          <w:rFonts w:cs="Times New Roman"/>
        </w:rPr>
        <w:footnoteReference w:id="10"/>
      </w:r>
      <w:bookmarkEnd w:id="1"/>
      <w:r w:rsidR="009961B4" w:rsidRPr="00D20324">
        <w:rPr>
          <w:rFonts w:cs="Times New Roman"/>
        </w:rPr>
        <w:t xml:space="preserve"> nor in claiming that Acts 4:13 </w:t>
      </w:r>
      <w:r w:rsidR="00D51CF8" w:rsidRPr="00D20324">
        <w:rPr>
          <w:rFonts w:cs="Times New Roman"/>
        </w:rPr>
        <w:t>refers primarily to (and thus denies</w:t>
      </w:r>
      <w:r w:rsidR="00717334" w:rsidRPr="00D20324">
        <w:rPr>
          <w:rFonts w:cs="Times New Roman"/>
        </w:rPr>
        <w:t xml:space="preserve"> only</w:t>
      </w:r>
      <w:r w:rsidR="00D51CF8" w:rsidRPr="00D20324">
        <w:rPr>
          <w:rFonts w:cs="Times New Roman"/>
        </w:rPr>
        <w:t>) advanced rabbinic education.</w:t>
      </w:r>
      <w:r w:rsidR="00037CD5" w:rsidRPr="00D20324">
        <w:rPr>
          <w:rStyle w:val="FootnoteReference"/>
          <w:rFonts w:cs="Times New Roman"/>
        </w:rPr>
        <w:footnoteReference w:id="11"/>
      </w:r>
      <w:r w:rsidR="00D51CF8" w:rsidRPr="00D20324">
        <w:rPr>
          <w:rFonts w:cs="Times New Roman"/>
        </w:rPr>
        <w:t xml:space="preserve">  In addition to the fact that the adjective “rabbinic” suffers from the same lack of a </w:t>
      </w:r>
      <w:r w:rsidR="001B2324" w:rsidRPr="00D20324">
        <w:rPr>
          <w:rFonts w:cs="Times New Roman"/>
        </w:rPr>
        <w:t>clear</w:t>
      </w:r>
      <w:r w:rsidR="00D51CF8" w:rsidRPr="00D20324">
        <w:rPr>
          <w:rFonts w:cs="Times New Roman"/>
        </w:rPr>
        <w:t xml:space="preserve"> referent in first-century Judaism as the noun “rabbi,”</w:t>
      </w:r>
      <w:r w:rsidR="00D51CF8" w:rsidRPr="00D20324">
        <w:rPr>
          <w:rStyle w:val="FootnoteReference"/>
          <w:rFonts w:cs="Times New Roman"/>
        </w:rPr>
        <w:footnoteReference w:id="12"/>
      </w:r>
      <w:r w:rsidR="00D51CF8" w:rsidRPr="00D20324">
        <w:rPr>
          <w:rFonts w:cs="Times New Roman"/>
        </w:rPr>
        <w:t xml:space="preserve"> b</w:t>
      </w:r>
      <w:r w:rsidR="009961B4" w:rsidRPr="00D20324">
        <w:rPr>
          <w:rFonts w:cs="Times New Roman"/>
        </w:rPr>
        <w:t>oth aspects of this interpretation are in need of correction</w:t>
      </w:r>
      <w:r w:rsidR="0045759F" w:rsidRPr="00D20324">
        <w:rPr>
          <w:rFonts w:cs="Times New Roman"/>
        </w:rPr>
        <w:t xml:space="preserve"> </w:t>
      </w:r>
      <w:r w:rsidR="00F82771" w:rsidRPr="00D20324">
        <w:rPr>
          <w:rFonts w:cs="Times New Roman"/>
        </w:rPr>
        <w:t>i</w:t>
      </w:r>
      <w:r w:rsidR="00D51CF8" w:rsidRPr="00D20324">
        <w:rPr>
          <w:rFonts w:cs="Times New Roman"/>
        </w:rPr>
        <w:t>n light of more recent studies i</w:t>
      </w:r>
      <w:r w:rsidR="00F82771" w:rsidRPr="00D20324">
        <w:rPr>
          <w:rFonts w:cs="Times New Roman"/>
        </w:rPr>
        <w:t>n Jewish education and literacy</w:t>
      </w:r>
      <w:r w:rsidR="009961B4" w:rsidRPr="00D20324">
        <w:rPr>
          <w:rFonts w:cs="Times New Roman"/>
        </w:rPr>
        <w:t>.</w:t>
      </w:r>
      <w:r w:rsidR="00F82771" w:rsidRPr="00D20324">
        <w:rPr>
          <w:rFonts w:cs="Times New Roman"/>
        </w:rPr>
        <w:t xml:space="preserve">  T</w:t>
      </w:r>
      <w:r w:rsidR="009961B4" w:rsidRPr="00D20324">
        <w:rPr>
          <w:rFonts w:cs="Times New Roman"/>
        </w:rPr>
        <w:t xml:space="preserve">he ancient world in general and Roman Palestine in particular </w:t>
      </w:r>
      <w:r w:rsidR="00F82771" w:rsidRPr="00D20324">
        <w:rPr>
          <w:rFonts w:cs="Times New Roman"/>
        </w:rPr>
        <w:t>knew</w:t>
      </w:r>
      <w:r w:rsidR="009961B4" w:rsidRPr="00D20324">
        <w:rPr>
          <w:rFonts w:cs="Times New Roman"/>
        </w:rPr>
        <w:t xml:space="preserve"> nothing like a widespread publicly-fun</w:t>
      </w:r>
      <w:r w:rsidR="00F5662A" w:rsidRPr="00D20324">
        <w:rPr>
          <w:rFonts w:cs="Times New Roman"/>
        </w:rPr>
        <w:t>ded elementary education system</w:t>
      </w:r>
      <w:r w:rsidR="00D51CF8" w:rsidRPr="00D20324">
        <w:rPr>
          <w:rFonts w:cs="Times New Roman"/>
        </w:rPr>
        <w:t xml:space="preserve"> that provided literate education</w:t>
      </w:r>
      <w:r w:rsidR="00A45540" w:rsidRPr="00D20324">
        <w:rPr>
          <w:rFonts w:cs="Times New Roman"/>
        </w:rPr>
        <w:t xml:space="preserve"> (that is, reading and writing) </w:t>
      </w:r>
      <w:r w:rsidR="00D51CF8" w:rsidRPr="00D20324">
        <w:rPr>
          <w:rFonts w:cs="Times New Roman"/>
        </w:rPr>
        <w:t xml:space="preserve"> to the populace</w:t>
      </w:r>
      <w:r w:rsidR="0045759F" w:rsidRPr="00D20324">
        <w:rPr>
          <w:rFonts w:cs="Times New Roman"/>
        </w:rPr>
        <w:t>, which is distinctly a phenomenon of modern industrialized cultures</w:t>
      </w:r>
      <w:r w:rsidR="009961B4" w:rsidRPr="00D20324">
        <w:rPr>
          <w:rFonts w:cs="Times New Roman"/>
        </w:rPr>
        <w:t>.</w:t>
      </w:r>
      <w:r w:rsidR="009961B4" w:rsidRPr="00D20324">
        <w:rPr>
          <w:rStyle w:val="FootnoteReference"/>
          <w:rFonts w:cs="Times New Roman"/>
        </w:rPr>
        <w:footnoteReference w:id="13"/>
      </w:r>
      <w:r w:rsidR="00F5662A" w:rsidRPr="00D20324">
        <w:rPr>
          <w:rFonts w:cs="Times New Roman"/>
        </w:rPr>
        <w:t xml:space="preserve">  </w:t>
      </w:r>
      <w:r w:rsidR="00717334" w:rsidRPr="00D20324">
        <w:rPr>
          <w:rFonts w:cs="Times New Roman"/>
        </w:rPr>
        <w:t>Likewise, t</w:t>
      </w:r>
      <w:r w:rsidR="00F5662A" w:rsidRPr="00D20324">
        <w:rPr>
          <w:rFonts w:cs="Times New Roman"/>
        </w:rPr>
        <w:t xml:space="preserve">here is no </w:t>
      </w:r>
      <w:r w:rsidR="00A81E59" w:rsidRPr="00D20324">
        <w:rPr>
          <w:rFonts w:cs="Times New Roman"/>
        </w:rPr>
        <w:t xml:space="preserve">firm </w:t>
      </w:r>
      <w:r w:rsidR="00F5662A" w:rsidRPr="00D20324">
        <w:rPr>
          <w:rFonts w:cs="Times New Roman"/>
        </w:rPr>
        <w:t>evidence of first-century synagogue literate education.</w:t>
      </w:r>
      <w:r w:rsidR="00F5662A" w:rsidRPr="00D20324">
        <w:rPr>
          <w:rStyle w:val="FootnoteReference"/>
          <w:rFonts w:cs="Times New Roman"/>
        </w:rPr>
        <w:footnoteReference w:id="14"/>
      </w:r>
      <w:r w:rsidR="00191D1E" w:rsidRPr="00D20324">
        <w:rPr>
          <w:rFonts w:cs="Times New Roman"/>
        </w:rPr>
        <w:t xml:space="preserve">  </w:t>
      </w:r>
      <w:r w:rsidR="00F82771" w:rsidRPr="00D20324">
        <w:rPr>
          <w:rFonts w:cs="Times New Roman"/>
        </w:rPr>
        <w:t xml:space="preserve">Clearly, this reality </w:t>
      </w:r>
      <w:r w:rsidR="0003046A" w:rsidRPr="00D20324">
        <w:rPr>
          <w:rFonts w:cs="Times New Roman"/>
        </w:rPr>
        <w:t xml:space="preserve">does not indicate </w:t>
      </w:r>
      <w:r w:rsidR="00191D1E" w:rsidRPr="00D20324">
        <w:rPr>
          <w:rFonts w:cs="Times New Roman"/>
        </w:rPr>
        <w:t>that n</w:t>
      </w:r>
      <w:r w:rsidR="001B2324" w:rsidRPr="00D20324">
        <w:rPr>
          <w:rFonts w:cs="Times New Roman"/>
        </w:rPr>
        <w:t>o Second Temple Jews received a literate</w:t>
      </w:r>
      <w:r w:rsidR="00191D1E" w:rsidRPr="00D20324">
        <w:rPr>
          <w:rFonts w:cs="Times New Roman"/>
        </w:rPr>
        <w:t xml:space="preserve"> education</w:t>
      </w:r>
      <w:r w:rsidR="00C55C40" w:rsidRPr="00D20324">
        <w:rPr>
          <w:rFonts w:cs="Times New Roman"/>
        </w:rPr>
        <w:t xml:space="preserve"> (see Sir 51:23)</w:t>
      </w:r>
      <w:r w:rsidR="00191D1E" w:rsidRPr="00D20324">
        <w:rPr>
          <w:rFonts w:cs="Times New Roman"/>
        </w:rPr>
        <w:t xml:space="preserve">.  </w:t>
      </w:r>
      <w:r w:rsidR="0003046A" w:rsidRPr="00D20324">
        <w:rPr>
          <w:rFonts w:cs="Times New Roman"/>
        </w:rPr>
        <w:t xml:space="preserve">Rather, it </w:t>
      </w:r>
      <w:r w:rsidR="00191D1E" w:rsidRPr="00D20324">
        <w:rPr>
          <w:rFonts w:cs="Times New Roman"/>
        </w:rPr>
        <w:t>indicate</w:t>
      </w:r>
      <w:r w:rsidR="0003046A" w:rsidRPr="00D20324">
        <w:rPr>
          <w:rFonts w:cs="Times New Roman"/>
        </w:rPr>
        <w:t>s</w:t>
      </w:r>
      <w:r w:rsidR="00191D1E" w:rsidRPr="00D20324">
        <w:rPr>
          <w:rFonts w:cs="Times New Roman"/>
        </w:rPr>
        <w:t xml:space="preserve"> that those Jews who received any literate education</w:t>
      </w:r>
      <w:r w:rsidR="0003046A" w:rsidRPr="00D20324">
        <w:rPr>
          <w:rFonts w:cs="Times New Roman"/>
        </w:rPr>
        <w:t xml:space="preserve"> at all were </w:t>
      </w:r>
      <w:r w:rsidR="000F607F" w:rsidRPr="00D20324">
        <w:rPr>
          <w:rFonts w:cs="Times New Roman"/>
        </w:rPr>
        <w:t xml:space="preserve">typically </w:t>
      </w:r>
      <w:r w:rsidR="0003046A" w:rsidRPr="00D20324">
        <w:rPr>
          <w:rFonts w:cs="Times New Roman"/>
        </w:rPr>
        <w:t xml:space="preserve">in </w:t>
      </w:r>
      <w:r w:rsidR="000F607F" w:rsidRPr="00D20324">
        <w:rPr>
          <w:rFonts w:cs="Times New Roman"/>
        </w:rPr>
        <w:t xml:space="preserve">the </w:t>
      </w:r>
      <w:r w:rsidR="0003046A" w:rsidRPr="00D20324">
        <w:rPr>
          <w:rFonts w:cs="Times New Roman"/>
        </w:rPr>
        <w:t xml:space="preserve">privileged </w:t>
      </w:r>
      <w:r w:rsidR="000F607F" w:rsidRPr="00D20324">
        <w:rPr>
          <w:rFonts w:cs="Times New Roman"/>
        </w:rPr>
        <w:t xml:space="preserve">scribal-elite </w:t>
      </w:r>
      <w:r w:rsidR="0003046A" w:rsidRPr="00D20324">
        <w:rPr>
          <w:rFonts w:cs="Times New Roman"/>
        </w:rPr>
        <w:t>minority</w:t>
      </w:r>
      <w:r w:rsidR="00A81E59" w:rsidRPr="00D20324">
        <w:rPr>
          <w:rFonts w:cs="Times New Roman"/>
        </w:rPr>
        <w:t xml:space="preserve">. </w:t>
      </w:r>
      <w:r w:rsidR="003B356A" w:rsidRPr="00D20324">
        <w:rPr>
          <w:rFonts w:cs="Times New Roman"/>
        </w:rPr>
        <w:t xml:space="preserve">  “Formal education was restricted to the well-to-do.”</w:t>
      </w:r>
      <w:r w:rsidR="003B356A" w:rsidRPr="00D20324">
        <w:rPr>
          <w:rStyle w:val="FootnoteReference"/>
          <w:rFonts w:cs="Times New Roman"/>
        </w:rPr>
        <w:footnoteReference w:id="15"/>
      </w:r>
      <w:r w:rsidR="00C55C40" w:rsidRPr="00D20324">
        <w:rPr>
          <w:rFonts w:cs="Times New Roman"/>
        </w:rPr>
        <w:t xml:space="preserve">  </w:t>
      </w:r>
      <w:r w:rsidR="00F5662A" w:rsidRPr="00D20324">
        <w:rPr>
          <w:rFonts w:cs="Times New Roman"/>
        </w:rPr>
        <w:t>In other words, the tidy distinction between a public elementary literate education that was easily accessible</w:t>
      </w:r>
      <w:r w:rsidR="00846226" w:rsidRPr="00D20324">
        <w:rPr>
          <w:rFonts w:cs="Times New Roman"/>
        </w:rPr>
        <w:t xml:space="preserve"> for everyone</w:t>
      </w:r>
      <w:r w:rsidR="00F5662A" w:rsidRPr="00D20324">
        <w:rPr>
          <w:rFonts w:cs="Times New Roman"/>
        </w:rPr>
        <w:t xml:space="preserve"> (</w:t>
      </w:r>
      <w:r w:rsidR="00846226" w:rsidRPr="00D20324">
        <w:rPr>
          <w:rFonts w:cs="Times New Roman"/>
        </w:rPr>
        <w:t xml:space="preserve">or </w:t>
      </w:r>
      <w:r w:rsidR="00F5662A" w:rsidRPr="00D20324">
        <w:rPr>
          <w:rFonts w:cs="Times New Roman"/>
        </w:rPr>
        <w:t xml:space="preserve">at least boys) and a more select advanced rabbinic education that the </w:t>
      </w:r>
      <w:r w:rsidR="001C31AE" w:rsidRPr="00D20324">
        <w:rPr>
          <w:rFonts w:cs="Times New Roman"/>
        </w:rPr>
        <w:t xml:space="preserve">block </w:t>
      </w:r>
      <w:r w:rsidR="00F5662A" w:rsidRPr="00D20324">
        <w:rPr>
          <w:rFonts w:cs="Times New Roman"/>
        </w:rPr>
        <w:t>quotation above assumes can no longer be maintained</w:t>
      </w:r>
      <w:r w:rsidR="00B365C1" w:rsidRPr="00D20324">
        <w:rPr>
          <w:rFonts w:cs="Times New Roman"/>
        </w:rPr>
        <w:t xml:space="preserve"> as reflective of first-century Palestinian Judaism</w:t>
      </w:r>
      <w:r w:rsidR="00F5662A" w:rsidRPr="00D20324">
        <w:rPr>
          <w:rFonts w:cs="Times New Roman"/>
        </w:rPr>
        <w:t>.</w:t>
      </w:r>
      <w:r w:rsidR="00A81E59" w:rsidRPr="00D20324">
        <w:rPr>
          <w:rFonts w:cs="Times New Roman"/>
        </w:rPr>
        <w:t xml:space="preserve">  Those students who proceeded to advanced pedagogical levels consisted of an especially narrow and privileged group that emerged from a group that was narrow and privileged</w:t>
      </w:r>
      <w:r w:rsidR="001C215C">
        <w:rPr>
          <w:rFonts w:cs="Times New Roman"/>
        </w:rPr>
        <w:t xml:space="preserve"> to begin with</w:t>
      </w:r>
      <w:r w:rsidR="00A81E59" w:rsidRPr="00D20324">
        <w:rPr>
          <w:rFonts w:cs="Times New Roman"/>
        </w:rPr>
        <w:t>.</w:t>
      </w:r>
      <w:r w:rsidR="00F5662A" w:rsidRPr="00D20324">
        <w:rPr>
          <w:rFonts w:cs="Times New Roman"/>
        </w:rPr>
        <w:t xml:space="preserve">  As a result</w:t>
      </w:r>
      <w:r w:rsidR="00F82771" w:rsidRPr="00D20324">
        <w:rPr>
          <w:rFonts w:cs="Times New Roman"/>
        </w:rPr>
        <w:t>, one cannot</w:t>
      </w:r>
      <w:r w:rsidR="000312B9">
        <w:rPr>
          <w:rFonts w:cs="Times New Roman"/>
        </w:rPr>
        <w:t>, without further evidence,</w:t>
      </w:r>
      <w:r w:rsidR="00F82771" w:rsidRPr="00D20324">
        <w:rPr>
          <w:rFonts w:cs="Times New Roman"/>
        </w:rPr>
        <w:t xml:space="preserve"> concede that</w:t>
      </w:r>
      <w:r w:rsidR="00EB557B" w:rsidRPr="00D20324">
        <w:rPr>
          <w:rFonts w:cs="Times New Roman"/>
        </w:rPr>
        <w:t xml:space="preserve"> Peter and John </w:t>
      </w:r>
      <w:r w:rsidR="00F82771" w:rsidRPr="00D20324">
        <w:rPr>
          <w:rFonts w:cs="Times New Roman"/>
        </w:rPr>
        <w:t xml:space="preserve">received no </w:t>
      </w:r>
      <w:r w:rsidR="0045759F" w:rsidRPr="00D20324">
        <w:rPr>
          <w:rFonts w:cs="Times New Roman"/>
        </w:rPr>
        <w:t>advanced</w:t>
      </w:r>
      <w:r w:rsidR="00F82771" w:rsidRPr="00D20324">
        <w:rPr>
          <w:rFonts w:cs="Times New Roman"/>
        </w:rPr>
        <w:t xml:space="preserve"> training </w:t>
      </w:r>
      <w:r w:rsidR="000312B9">
        <w:rPr>
          <w:rFonts w:cs="Times New Roman"/>
        </w:rPr>
        <w:t>but</w:t>
      </w:r>
      <w:r w:rsidR="00F82771" w:rsidRPr="00D20324">
        <w:rPr>
          <w:rFonts w:cs="Times New Roman"/>
        </w:rPr>
        <w:t xml:space="preserve"> maintain that they received </w:t>
      </w:r>
      <w:r w:rsidR="00EB557B" w:rsidRPr="00D20324">
        <w:rPr>
          <w:rFonts w:cs="Times New Roman"/>
        </w:rPr>
        <w:t xml:space="preserve">an elementary </w:t>
      </w:r>
      <w:r w:rsidR="000F607F" w:rsidRPr="00D20324">
        <w:rPr>
          <w:rFonts w:cs="Times New Roman"/>
        </w:rPr>
        <w:t>education</w:t>
      </w:r>
      <w:r w:rsidR="00EB557B" w:rsidRPr="00D20324">
        <w:rPr>
          <w:rFonts w:cs="Times New Roman"/>
        </w:rPr>
        <w:t>.</w:t>
      </w:r>
      <w:r w:rsidR="003B356A" w:rsidRPr="00D20324">
        <w:rPr>
          <w:rFonts w:cs="Times New Roman"/>
        </w:rPr>
        <w:t xml:space="preserve"> </w:t>
      </w:r>
      <w:r w:rsidR="00F82771" w:rsidRPr="00D20324">
        <w:rPr>
          <w:rFonts w:cs="Times New Roman"/>
        </w:rPr>
        <w:t xml:space="preserve">  </w:t>
      </w:r>
      <w:r w:rsidR="00191D1E" w:rsidRPr="00D20324">
        <w:rPr>
          <w:rFonts w:cs="Times New Roman"/>
        </w:rPr>
        <w:t xml:space="preserve"> </w:t>
      </w:r>
    </w:p>
    <w:p w:rsidR="00F82771" w:rsidRPr="00D20324" w:rsidRDefault="003B356A" w:rsidP="001C215C">
      <w:pPr>
        <w:spacing w:line="480" w:lineRule="auto"/>
        <w:ind w:firstLine="720"/>
        <w:rPr>
          <w:rFonts w:cs="Times New Roman"/>
        </w:rPr>
      </w:pPr>
      <w:r w:rsidRPr="00D20324">
        <w:rPr>
          <w:rFonts w:cs="Times New Roman"/>
        </w:rPr>
        <w:t xml:space="preserve">Furthermore, such an argument </w:t>
      </w:r>
      <w:r w:rsidR="00F82771" w:rsidRPr="00D20324">
        <w:rPr>
          <w:rFonts w:cs="Times New Roman"/>
        </w:rPr>
        <w:t xml:space="preserve">is </w:t>
      </w:r>
      <w:r w:rsidR="00A81E59" w:rsidRPr="00D20324">
        <w:rPr>
          <w:rFonts w:cs="Times New Roman"/>
        </w:rPr>
        <w:t xml:space="preserve">perhaps </w:t>
      </w:r>
      <w:r w:rsidR="00F82771" w:rsidRPr="00D20324">
        <w:rPr>
          <w:rFonts w:cs="Times New Roman"/>
        </w:rPr>
        <w:t xml:space="preserve">irrelevant </w:t>
      </w:r>
      <w:r w:rsidR="0045759F" w:rsidRPr="00D20324">
        <w:rPr>
          <w:rFonts w:cs="Times New Roman"/>
        </w:rPr>
        <w:t>for the interpretation of</w:t>
      </w:r>
      <w:r w:rsidR="00F82771" w:rsidRPr="00D20324">
        <w:rPr>
          <w:rFonts w:cs="Times New Roman"/>
        </w:rPr>
        <w:t xml:space="preserve"> Acts 4:13</w:t>
      </w:r>
      <w:r w:rsidR="00E00113" w:rsidRPr="00D20324">
        <w:rPr>
          <w:rFonts w:cs="Times New Roman"/>
        </w:rPr>
        <w:t>.  Perhaps the disciples</w:t>
      </w:r>
      <w:r w:rsidR="00F82771" w:rsidRPr="00D20324">
        <w:rPr>
          <w:rFonts w:cs="Times New Roman"/>
        </w:rPr>
        <w:t xml:space="preserve"> could sign their names (signature literacy) or read directional signs or ossuary inscriptions</w:t>
      </w:r>
      <w:r w:rsidR="00E00113" w:rsidRPr="00D20324">
        <w:rPr>
          <w:rFonts w:cs="Times New Roman"/>
        </w:rPr>
        <w:t>, but these are not the “letters”</w:t>
      </w:r>
      <w:r w:rsidR="000F607F" w:rsidRPr="00D20324">
        <w:rPr>
          <w:rFonts w:cs="Times New Roman"/>
        </w:rPr>
        <w:t xml:space="preserve"> </w:t>
      </w:r>
      <w:r w:rsidR="00FA5281" w:rsidRPr="00D20324">
        <w:rPr>
          <w:rFonts w:cs="Times New Roman"/>
        </w:rPr>
        <w:t>that</w:t>
      </w:r>
      <w:r w:rsidR="000F607F" w:rsidRPr="00D20324">
        <w:rPr>
          <w:rFonts w:cs="Times New Roman"/>
        </w:rPr>
        <w:t xml:space="preserve"> the Sanhedrin</w:t>
      </w:r>
      <w:r w:rsidR="00E00113" w:rsidRPr="00D20324">
        <w:rPr>
          <w:rFonts w:cs="Times New Roman"/>
        </w:rPr>
        <w:t xml:space="preserve"> assume</w:t>
      </w:r>
      <w:r w:rsidR="000F607F" w:rsidRPr="00D20324">
        <w:rPr>
          <w:rFonts w:cs="Times New Roman"/>
        </w:rPr>
        <w:t>s</w:t>
      </w:r>
      <w:r w:rsidR="00E00113" w:rsidRPr="00D20324">
        <w:rPr>
          <w:rFonts w:cs="Times New Roman"/>
        </w:rPr>
        <w:t xml:space="preserve"> the disciples are without as </w:t>
      </w:r>
      <w:r w:rsidR="001866F1" w:rsidRPr="00D20324">
        <w:rPr>
          <w:rFonts w:ascii="SBL Greek" w:hAnsi="SBL Greek"/>
          <w:lang w:val="el-GR"/>
        </w:rPr>
        <w:t>ἀγράμματοι</w:t>
      </w:r>
      <w:r w:rsidR="00F82771" w:rsidRPr="00D20324">
        <w:rPr>
          <w:rFonts w:cs="Times New Roman"/>
        </w:rPr>
        <w:t xml:space="preserve">.  </w:t>
      </w:r>
      <w:r w:rsidR="00B365C1" w:rsidRPr="00D20324">
        <w:rPr>
          <w:rFonts w:cs="Times New Roman"/>
        </w:rPr>
        <w:t xml:space="preserve">They are surprised that Peter speaks with </w:t>
      </w:r>
      <w:r w:rsidR="001866F1" w:rsidRPr="00D20324">
        <w:rPr>
          <w:rFonts w:ascii="SBL Greek" w:hAnsi="SBL Greek" w:cs="Times New Roman"/>
          <w:lang w:val="el-GR"/>
        </w:rPr>
        <w:t>παρρησία</w:t>
      </w:r>
      <w:r w:rsidR="00B365C1" w:rsidRPr="00D20324">
        <w:rPr>
          <w:rFonts w:ascii="Bwgrkl" w:hAnsi="Bwgrkl" w:cs="Times New Roman"/>
        </w:rPr>
        <w:t xml:space="preserve"> </w:t>
      </w:r>
      <w:r w:rsidR="00B365C1" w:rsidRPr="00D20324">
        <w:rPr>
          <w:rFonts w:asciiTheme="majorBidi" w:hAnsiTheme="majorBidi" w:cstheme="majorBidi"/>
        </w:rPr>
        <w:t xml:space="preserve">specifically </w:t>
      </w:r>
      <w:r w:rsidR="00846226" w:rsidRPr="00D20324">
        <w:rPr>
          <w:rFonts w:asciiTheme="majorBidi" w:hAnsiTheme="majorBidi" w:cstheme="majorBidi"/>
        </w:rPr>
        <w:t xml:space="preserve">vis-à-vis </w:t>
      </w:r>
      <w:r w:rsidR="00A76013" w:rsidRPr="00D20324">
        <w:rPr>
          <w:rFonts w:asciiTheme="majorBidi" w:hAnsiTheme="majorBidi" w:cstheme="majorBidi"/>
        </w:rPr>
        <w:t>interpretation of the</w:t>
      </w:r>
      <w:r w:rsidR="00846226" w:rsidRPr="00D20324">
        <w:rPr>
          <w:rFonts w:asciiTheme="majorBidi" w:hAnsiTheme="majorBidi" w:cstheme="majorBidi"/>
        </w:rPr>
        <w:t xml:space="preserve"> Scriptures</w:t>
      </w:r>
      <w:r w:rsidR="00B365C1" w:rsidRPr="00D20324">
        <w:rPr>
          <w:rFonts w:asciiTheme="majorBidi" w:hAnsiTheme="majorBidi" w:cstheme="majorBidi"/>
        </w:rPr>
        <w:t xml:space="preserve"> (Acts 3:12–26).  The </w:t>
      </w:r>
      <w:r w:rsidR="00F82771" w:rsidRPr="00D20324">
        <w:rPr>
          <w:rFonts w:cs="Times New Roman"/>
        </w:rPr>
        <w:t>Sanhedrin</w:t>
      </w:r>
      <w:r w:rsidR="001F1246" w:rsidRPr="00D20324">
        <w:rPr>
          <w:rFonts w:cs="Times New Roman"/>
        </w:rPr>
        <w:t>’s</w:t>
      </w:r>
      <w:r w:rsidR="00B835CB" w:rsidRPr="00D20324">
        <w:rPr>
          <w:rFonts w:cs="Times New Roman"/>
        </w:rPr>
        <w:t xml:space="preserve"> comment thus does not assume a lack of any literate skills at all in any language</w:t>
      </w:r>
      <w:r w:rsidR="00676F26" w:rsidRPr="00D20324">
        <w:rPr>
          <w:rFonts w:cs="Times New Roman"/>
        </w:rPr>
        <w:t>.  It quite specifically assumes</w:t>
      </w:r>
      <w:r w:rsidR="00B835CB" w:rsidRPr="00D20324">
        <w:rPr>
          <w:rFonts w:cs="Times New Roman"/>
        </w:rPr>
        <w:t xml:space="preserve"> </w:t>
      </w:r>
      <w:r w:rsidR="00C966B2" w:rsidRPr="00D20324">
        <w:rPr>
          <w:rFonts w:cs="Times New Roman"/>
        </w:rPr>
        <w:t>“</w:t>
      </w:r>
      <w:r w:rsidR="000728FE" w:rsidRPr="00D20324">
        <w:rPr>
          <w:rFonts w:cs="Times New Roman"/>
        </w:rPr>
        <w:t xml:space="preserve">daß die Apostel . . . keine </w:t>
      </w:r>
      <w:r w:rsidR="000728FE" w:rsidRPr="00D20324">
        <w:rPr>
          <w:rFonts w:cs="Times New Roman"/>
          <w:i/>
          <w:iCs/>
        </w:rPr>
        <w:t>schriftgelehrte</w:t>
      </w:r>
      <w:r w:rsidR="000728FE" w:rsidRPr="00D20324">
        <w:rPr>
          <w:rFonts w:cs="Times New Roman"/>
        </w:rPr>
        <w:t xml:space="preserve"> Ausbildung genossen haben,”</w:t>
      </w:r>
      <w:r w:rsidR="000728FE" w:rsidRPr="00D20324">
        <w:rPr>
          <w:rStyle w:val="FootnoteReference"/>
          <w:rFonts w:cs="Times New Roman"/>
        </w:rPr>
        <w:footnoteReference w:id="16"/>
      </w:r>
      <w:r w:rsidR="000728FE" w:rsidRPr="00D20324">
        <w:rPr>
          <w:rFonts w:cs="Times New Roman"/>
        </w:rPr>
        <w:t xml:space="preserve"> and th</w:t>
      </w:r>
      <w:r w:rsidR="00676F26" w:rsidRPr="00D20324">
        <w:rPr>
          <w:rFonts w:cs="Times New Roman"/>
        </w:rPr>
        <w:t>us that</w:t>
      </w:r>
      <w:r w:rsidR="001F1246" w:rsidRPr="00D20324">
        <w:rPr>
          <w:rFonts w:cs="Times New Roman"/>
        </w:rPr>
        <w:t xml:space="preserve"> Peter</w:t>
      </w:r>
      <w:r w:rsidR="00676F26" w:rsidRPr="00D20324">
        <w:rPr>
          <w:rFonts w:cs="Times New Roman"/>
        </w:rPr>
        <w:t xml:space="preserve">’s abilities (whatever they may be) </w:t>
      </w:r>
      <w:r w:rsidR="001C215C">
        <w:rPr>
          <w:rFonts w:cs="Times New Roman"/>
        </w:rPr>
        <w:t>we</w:t>
      </w:r>
      <w:r w:rsidR="00676F26" w:rsidRPr="00D20324">
        <w:rPr>
          <w:rFonts w:cs="Times New Roman"/>
        </w:rPr>
        <w:t>re in</w:t>
      </w:r>
      <w:r w:rsidR="001F1246" w:rsidRPr="00D20324">
        <w:rPr>
          <w:rFonts w:cs="Times New Roman"/>
        </w:rPr>
        <w:t>sufficient to read</w:t>
      </w:r>
      <w:r w:rsidR="00846226" w:rsidRPr="00D20324">
        <w:rPr>
          <w:rFonts w:cs="Times New Roman"/>
        </w:rPr>
        <w:t xml:space="preserve"> and interpret Hebrew (or Greek)</w:t>
      </w:r>
      <w:r w:rsidR="001F1246" w:rsidRPr="00D20324">
        <w:rPr>
          <w:rFonts w:cs="Times New Roman"/>
        </w:rPr>
        <w:t xml:space="preserve"> </w:t>
      </w:r>
      <w:r w:rsidR="00846226" w:rsidRPr="00D20324">
        <w:rPr>
          <w:rFonts w:cs="Times New Roman"/>
        </w:rPr>
        <w:t>holy scrolls</w:t>
      </w:r>
      <w:r w:rsidR="001F1246" w:rsidRPr="00D20324">
        <w:rPr>
          <w:rFonts w:cs="Times New Roman"/>
        </w:rPr>
        <w:t xml:space="preserve">.  </w:t>
      </w:r>
      <w:r w:rsidR="001866F1" w:rsidRPr="00D20324">
        <w:rPr>
          <w:rFonts w:cs="Times New Roman"/>
        </w:rPr>
        <w:t>I have elsewhere referred to t</w:t>
      </w:r>
      <w:r w:rsidR="001F1246" w:rsidRPr="00D20324">
        <w:rPr>
          <w:rFonts w:cs="Times New Roman"/>
        </w:rPr>
        <w:t xml:space="preserve">hese abilities </w:t>
      </w:r>
      <w:r w:rsidR="00F82771" w:rsidRPr="00D20324">
        <w:rPr>
          <w:rFonts w:cs="Times New Roman"/>
        </w:rPr>
        <w:t>as scribal literacy—“literate skills that allow some educated individuals to function as authoritative interpreters of tex</w:t>
      </w:r>
      <w:r w:rsidR="00E00113" w:rsidRPr="00D20324">
        <w:rPr>
          <w:rFonts w:cs="Times New Roman"/>
        </w:rPr>
        <w:t>t</w:t>
      </w:r>
      <w:r w:rsidR="00F82771" w:rsidRPr="00D20324">
        <w:rPr>
          <w:rFonts w:cs="Times New Roman"/>
        </w:rPr>
        <w:t>s.”</w:t>
      </w:r>
      <w:r w:rsidR="00F82771" w:rsidRPr="00D20324">
        <w:rPr>
          <w:rStyle w:val="FootnoteReference"/>
          <w:rFonts w:cs="Times New Roman"/>
        </w:rPr>
        <w:footnoteReference w:id="17"/>
      </w:r>
      <w:r w:rsidR="000F607F" w:rsidRPr="00D20324">
        <w:rPr>
          <w:rFonts w:cs="Times New Roman"/>
        </w:rPr>
        <w:t xml:space="preserve">  </w:t>
      </w:r>
      <w:r w:rsidR="001C215C">
        <w:rPr>
          <w:rFonts w:cs="Times New Roman"/>
        </w:rPr>
        <w:t xml:space="preserve">In first-century Palestinian Judaism, this form of literacy belonged to authoritative readers, copyists, and interpreters </w:t>
      </w:r>
      <w:r w:rsidR="00611F0D" w:rsidRPr="00D20324">
        <w:rPr>
          <w:rFonts w:cs="Times New Roman"/>
        </w:rPr>
        <w:t>who had received a scribal-literate education.</w:t>
      </w:r>
      <w:r w:rsidR="00F82771" w:rsidRPr="00D20324">
        <w:rPr>
          <w:rStyle w:val="FootnoteReference"/>
          <w:rFonts w:cs="Times New Roman"/>
        </w:rPr>
        <w:footnoteReference w:id="18"/>
      </w:r>
      <w:r w:rsidR="000F607F" w:rsidRPr="00D20324">
        <w:rPr>
          <w:rFonts w:cs="Times New Roman"/>
        </w:rPr>
        <w:t xml:space="preserve"> </w:t>
      </w:r>
      <w:r w:rsidR="00B365C1" w:rsidRPr="00D20324">
        <w:rPr>
          <w:rFonts w:cs="Times New Roman"/>
        </w:rPr>
        <w:t xml:space="preserve"> A</w:t>
      </w:r>
      <w:r w:rsidR="000F607F" w:rsidRPr="00D20324">
        <w:rPr>
          <w:rFonts w:cs="Times New Roman"/>
        </w:rPr>
        <w:t>nd it is this group—</w:t>
      </w:r>
      <w:r w:rsidR="00FA5281" w:rsidRPr="00D20324">
        <w:rPr>
          <w:rFonts w:cs="Times New Roman"/>
        </w:rPr>
        <w:t xml:space="preserve">from which </w:t>
      </w:r>
      <w:r w:rsidR="000F607F" w:rsidRPr="00D20324">
        <w:rPr>
          <w:rFonts w:cs="Times New Roman"/>
        </w:rPr>
        <w:t>the Sanhedrin</w:t>
      </w:r>
      <w:r w:rsidR="00FA5281" w:rsidRPr="00D20324">
        <w:rPr>
          <w:rFonts w:cs="Times New Roman"/>
        </w:rPr>
        <w:t xml:space="preserve"> draws its membership</w:t>
      </w:r>
      <w:r w:rsidR="000F607F" w:rsidRPr="00D20324">
        <w:rPr>
          <w:rFonts w:cs="Times New Roman"/>
        </w:rPr>
        <w:t>—that serve</w:t>
      </w:r>
      <w:r w:rsidR="00D31BEB" w:rsidRPr="00D20324">
        <w:rPr>
          <w:rFonts w:cs="Times New Roman"/>
        </w:rPr>
        <w:t>s</w:t>
      </w:r>
      <w:r w:rsidR="000F607F" w:rsidRPr="00D20324">
        <w:rPr>
          <w:rFonts w:cs="Times New Roman"/>
        </w:rPr>
        <w:t xml:space="preserve"> the contrastive function for </w:t>
      </w:r>
      <w:r w:rsidR="001C215C">
        <w:rPr>
          <w:rFonts w:ascii="SBL Greek" w:hAnsi="SBL Greek" w:cs="Times New Roman"/>
        </w:rPr>
        <w:t>ἀ</w:t>
      </w:r>
      <w:r w:rsidR="001C215C">
        <w:rPr>
          <w:rFonts w:ascii="SBL Greek" w:hAnsi="SBL Greek" w:cs="Times New Roman"/>
          <w:lang w:val="el-GR"/>
        </w:rPr>
        <w:t>γράμματος</w:t>
      </w:r>
      <w:r w:rsidR="000F607F" w:rsidRPr="00D20324">
        <w:rPr>
          <w:rFonts w:asciiTheme="majorBidi" w:hAnsiTheme="majorBidi" w:cstheme="majorBidi"/>
        </w:rPr>
        <w:t xml:space="preserve"> and </w:t>
      </w:r>
      <w:r w:rsidR="001C215C">
        <w:rPr>
          <w:rFonts w:ascii="SBL Greek" w:hAnsi="SBL Greek" w:cstheme="majorBidi"/>
        </w:rPr>
        <w:t>ἰ</w:t>
      </w:r>
      <w:r w:rsidR="001C215C">
        <w:rPr>
          <w:rFonts w:ascii="SBL Greek" w:hAnsi="SBL Greek" w:cs="Times New Roman"/>
          <w:lang w:val="el-GR"/>
        </w:rPr>
        <w:t>διώτης</w:t>
      </w:r>
      <w:r w:rsidR="000F607F" w:rsidRPr="00D20324">
        <w:rPr>
          <w:rFonts w:asciiTheme="majorBidi" w:hAnsiTheme="majorBidi" w:cstheme="majorBidi"/>
        </w:rPr>
        <w:t>.  The Jewish leadership</w:t>
      </w:r>
      <w:r w:rsidR="001C215C">
        <w:rPr>
          <w:rFonts w:asciiTheme="majorBidi" w:hAnsiTheme="majorBidi" w:cstheme="majorBidi"/>
        </w:rPr>
        <w:t>, according to Luke,</w:t>
      </w:r>
      <w:r w:rsidR="000F607F" w:rsidRPr="00D20324">
        <w:rPr>
          <w:rFonts w:asciiTheme="majorBidi" w:hAnsiTheme="majorBidi" w:cstheme="majorBidi"/>
        </w:rPr>
        <w:t xml:space="preserve"> </w:t>
      </w:r>
      <w:r w:rsidR="001C215C">
        <w:rPr>
          <w:rFonts w:asciiTheme="majorBidi" w:hAnsiTheme="majorBidi" w:cstheme="majorBidi"/>
        </w:rPr>
        <w:t>thinks</w:t>
      </w:r>
      <w:r w:rsidR="000F607F" w:rsidRPr="00D20324">
        <w:rPr>
          <w:rFonts w:asciiTheme="majorBidi" w:hAnsiTheme="majorBidi" w:cstheme="majorBidi"/>
        </w:rPr>
        <w:t xml:space="preserve"> that Peter and John are not professional, scribal-literate interpreters of the Hebrew Scriptures</w:t>
      </w:r>
      <w:r w:rsidRPr="00D20324">
        <w:rPr>
          <w:rFonts w:asciiTheme="majorBidi" w:hAnsiTheme="majorBidi" w:cstheme="majorBidi"/>
        </w:rPr>
        <w:t xml:space="preserve"> such as themselves</w:t>
      </w:r>
      <w:r w:rsidR="000F607F" w:rsidRPr="00D20324">
        <w:rPr>
          <w:rFonts w:asciiTheme="majorBidi" w:hAnsiTheme="majorBidi" w:cstheme="majorBidi"/>
        </w:rPr>
        <w:t>.</w:t>
      </w:r>
      <w:r w:rsidR="005201BE" w:rsidRPr="00D20324">
        <w:rPr>
          <w:rStyle w:val="FootnoteReference"/>
          <w:rFonts w:asciiTheme="majorBidi" w:hAnsiTheme="majorBidi" w:cstheme="majorBidi"/>
        </w:rPr>
        <w:footnoteReference w:id="19"/>
      </w:r>
      <w:r w:rsidR="000F607F" w:rsidRPr="00D20324">
        <w:rPr>
          <w:rFonts w:asciiTheme="majorBidi" w:hAnsiTheme="majorBidi" w:cstheme="majorBidi"/>
        </w:rPr>
        <w:t xml:space="preserve">  </w:t>
      </w:r>
      <w:r w:rsidR="00B365C1" w:rsidRPr="00D20324">
        <w:rPr>
          <w:rFonts w:cs="Times New Roman"/>
        </w:rPr>
        <w:t>More important</w:t>
      </w:r>
      <w:r w:rsidR="004612C4" w:rsidRPr="00D20324">
        <w:rPr>
          <w:rFonts w:cs="Times New Roman"/>
        </w:rPr>
        <w:t>ly</w:t>
      </w:r>
      <w:r w:rsidR="000F607F" w:rsidRPr="00D20324">
        <w:rPr>
          <w:rFonts w:cs="Times New Roman"/>
        </w:rPr>
        <w:t>, it is on this basis—the lack of scribal literacy and</w:t>
      </w:r>
      <w:r w:rsidR="00E37555" w:rsidRPr="00D20324">
        <w:rPr>
          <w:rFonts w:cs="Times New Roman"/>
        </w:rPr>
        <w:t xml:space="preserve"> lack of</w:t>
      </w:r>
      <w:r w:rsidR="000F607F" w:rsidRPr="00D20324">
        <w:rPr>
          <w:rFonts w:cs="Times New Roman"/>
        </w:rPr>
        <w:t xml:space="preserve"> professional status that it implies—that the Sanhedrin recognizes Peter and John as companions of Jesus.</w:t>
      </w:r>
    </w:p>
    <w:p w:rsidR="00E327D0" w:rsidRPr="00D20324" w:rsidRDefault="00D953EC" w:rsidP="000D0D59">
      <w:pPr>
        <w:spacing w:line="480" w:lineRule="auto"/>
        <w:rPr>
          <w:rFonts w:cs="Times New Roman"/>
        </w:rPr>
      </w:pPr>
      <w:r w:rsidRPr="00D20324">
        <w:rPr>
          <w:rFonts w:cs="Times New Roman"/>
          <w:i/>
          <w:iCs/>
        </w:rPr>
        <w:t>1.2 Acts 4 and Continuity with Luke’s Gospel</w:t>
      </w:r>
    </w:p>
    <w:p w:rsidR="00F64254" w:rsidRPr="00D20324" w:rsidRDefault="00E327D0" w:rsidP="001866F1">
      <w:pPr>
        <w:spacing w:line="480" w:lineRule="auto"/>
        <w:rPr>
          <w:rFonts w:cs="Times New Roman"/>
        </w:rPr>
      </w:pPr>
      <w:r w:rsidRPr="00D20324">
        <w:rPr>
          <w:rFonts w:cs="Times New Roman"/>
        </w:rPr>
        <w:tab/>
      </w:r>
      <w:r w:rsidR="00A329BA" w:rsidRPr="00D20324">
        <w:rPr>
          <w:rFonts w:cs="Times New Roman"/>
        </w:rPr>
        <w:t xml:space="preserve">Before </w:t>
      </w:r>
      <w:r w:rsidR="003B356A" w:rsidRPr="00D20324">
        <w:rPr>
          <w:rFonts w:cs="Times New Roman"/>
        </w:rPr>
        <w:t xml:space="preserve">proceeding to how this image of Jesus </w:t>
      </w:r>
      <w:r w:rsidR="0045759F" w:rsidRPr="00D20324">
        <w:rPr>
          <w:rFonts w:cs="Times New Roman"/>
        </w:rPr>
        <w:t>fits oddly in Luke-Acts</w:t>
      </w:r>
      <w:r w:rsidR="003B356A" w:rsidRPr="00D20324">
        <w:rPr>
          <w:rFonts w:cs="Times New Roman"/>
        </w:rPr>
        <w:t>, it is important to note</w:t>
      </w:r>
      <w:r w:rsidR="00FA5281" w:rsidRPr="00D20324">
        <w:rPr>
          <w:rFonts w:cs="Times New Roman"/>
        </w:rPr>
        <w:t xml:space="preserve"> briefly</w:t>
      </w:r>
      <w:r w:rsidR="003B356A" w:rsidRPr="00D20324">
        <w:rPr>
          <w:rFonts w:cs="Times New Roman"/>
        </w:rPr>
        <w:t xml:space="preserve"> that Luke offers this narrative portrayal in a section that draws upon narrative frameworks that </w:t>
      </w:r>
      <w:r w:rsidR="001C31AE" w:rsidRPr="00D20324">
        <w:rPr>
          <w:rFonts w:cs="Times New Roman"/>
        </w:rPr>
        <w:t>he</w:t>
      </w:r>
      <w:r w:rsidR="003B356A" w:rsidRPr="00D20324">
        <w:rPr>
          <w:rFonts w:cs="Times New Roman"/>
        </w:rPr>
        <w:t xml:space="preserve"> first employed in his Gospel.  </w:t>
      </w:r>
      <w:r w:rsidR="00C44BB6" w:rsidRPr="00D20324">
        <w:rPr>
          <w:rFonts w:cs="Times New Roman"/>
        </w:rPr>
        <w:t>Immediately before Acts 4:13</w:t>
      </w:r>
      <w:r w:rsidR="00463F62" w:rsidRPr="00D20324">
        <w:rPr>
          <w:rFonts w:cs="Times New Roman"/>
        </w:rPr>
        <w:t>, the Jewish leadership in Jerusalem has arrested Peter and John for preaching the resurrection of J</w:t>
      </w:r>
      <w:r w:rsidR="001C215C">
        <w:rPr>
          <w:rFonts w:cs="Times New Roman"/>
        </w:rPr>
        <w:t>esus and held them overnight (4:</w:t>
      </w:r>
      <w:r w:rsidR="00463F62" w:rsidRPr="00D20324">
        <w:rPr>
          <w:rFonts w:cs="Times New Roman"/>
        </w:rPr>
        <w:t>1–3).  Just as Jesus was arrested and appeared the next day before the Sanhedrin (</w:t>
      </w:r>
      <w:r w:rsidR="001866F1" w:rsidRPr="00D20324">
        <w:rPr>
          <w:rFonts w:ascii="SBL Greek" w:hAnsi="SBL Greek" w:cs="Times New Roman"/>
          <w:lang w:val="el-GR"/>
        </w:rPr>
        <w:t>συνέδριον</w:t>
      </w:r>
      <w:r w:rsidR="00463F62" w:rsidRPr="00D20324">
        <w:rPr>
          <w:rFonts w:cs="Times New Roman"/>
        </w:rPr>
        <w:t xml:space="preserve">) in Luke 22:66, Peter and John also appear the day after their arrest before the Sanhedrin in Acts 4:5–22 (identified as </w:t>
      </w:r>
      <w:r w:rsidR="001866F1" w:rsidRPr="00D20324">
        <w:rPr>
          <w:rFonts w:ascii="SBL Greek" w:hAnsi="SBL Greek" w:cs="Times New Roman"/>
          <w:lang w:val="el-GR"/>
        </w:rPr>
        <w:t>συνέδριον</w:t>
      </w:r>
      <w:r w:rsidR="00463F62" w:rsidRPr="00D20324">
        <w:rPr>
          <w:rFonts w:cs="Times New Roman"/>
        </w:rPr>
        <w:t xml:space="preserve"> in 4:15).  </w:t>
      </w:r>
      <w:r w:rsidR="00C44BB6" w:rsidRPr="00D20324">
        <w:rPr>
          <w:rFonts w:cs="Times New Roman"/>
        </w:rPr>
        <w:t>T</w:t>
      </w:r>
      <w:r w:rsidR="003E22DE" w:rsidRPr="00D20324">
        <w:rPr>
          <w:rFonts w:cs="Times New Roman"/>
        </w:rPr>
        <w:t>he Sanhedrin places Peter and John “in the midst” (</w:t>
      </w:r>
      <w:r w:rsidR="001866F1" w:rsidRPr="00D20324">
        <w:rPr>
          <w:rFonts w:ascii="SBL Greek" w:hAnsi="SBL Greek" w:cs="Times New Roman"/>
        </w:rPr>
        <w:t>ἐ</w:t>
      </w:r>
      <w:r w:rsidR="001866F1" w:rsidRPr="00D20324">
        <w:rPr>
          <w:rFonts w:ascii="SBL Greek" w:hAnsi="SBL Greek" w:cs="Times New Roman"/>
          <w:lang w:val="el-GR"/>
        </w:rPr>
        <w:t>ν</w:t>
      </w:r>
      <w:r w:rsidR="001866F1" w:rsidRPr="00D20324">
        <w:rPr>
          <w:rFonts w:ascii="SBL Greek" w:hAnsi="SBL Greek" w:cs="Times New Roman"/>
        </w:rPr>
        <w:t xml:space="preserve"> </w:t>
      </w:r>
      <w:r w:rsidR="001866F1" w:rsidRPr="00D20324">
        <w:rPr>
          <w:rFonts w:ascii="SBL Greek" w:hAnsi="SBL Greek" w:cs="Times New Roman"/>
          <w:lang w:val="el-GR"/>
        </w:rPr>
        <w:t>τῷ</w:t>
      </w:r>
      <w:r w:rsidR="001866F1" w:rsidRPr="00D20324">
        <w:rPr>
          <w:rFonts w:ascii="SBL Greek" w:hAnsi="SBL Greek" w:cs="Times New Roman"/>
        </w:rPr>
        <w:t xml:space="preserve"> </w:t>
      </w:r>
      <w:r w:rsidR="001866F1" w:rsidRPr="00D20324">
        <w:rPr>
          <w:rFonts w:ascii="SBL Greek" w:hAnsi="SBL Greek" w:cs="Times New Roman"/>
          <w:lang w:val="el-GR"/>
        </w:rPr>
        <w:t>μέσῳ</w:t>
      </w:r>
      <w:r w:rsidR="003E22DE" w:rsidRPr="00D20324">
        <w:rPr>
          <w:rFonts w:cs="Times New Roman"/>
        </w:rPr>
        <w:t>) of the group for interrogat</w:t>
      </w:r>
      <w:r w:rsidR="00D31BEB" w:rsidRPr="00D20324">
        <w:rPr>
          <w:rFonts w:cs="Times New Roman"/>
        </w:rPr>
        <w:t>ion in Acts 4:7 just as Peter appeared</w:t>
      </w:r>
      <w:r w:rsidR="003E22DE" w:rsidRPr="00D20324">
        <w:rPr>
          <w:rFonts w:cs="Times New Roman"/>
        </w:rPr>
        <w:t xml:space="preserve"> “in (the) midst” (</w:t>
      </w:r>
      <w:r w:rsidR="001866F1" w:rsidRPr="00D20324">
        <w:rPr>
          <w:rFonts w:ascii="SBL Greek" w:hAnsi="SBL Greek" w:cs="Times New Roman"/>
        </w:rPr>
        <w:t>ἐ</w:t>
      </w:r>
      <w:r w:rsidR="001866F1" w:rsidRPr="00D20324">
        <w:rPr>
          <w:rFonts w:ascii="SBL Greek" w:hAnsi="SBL Greek" w:cs="Times New Roman"/>
          <w:lang w:val="el-GR"/>
        </w:rPr>
        <w:t>ν</w:t>
      </w:r>
      <w:r w:rsidR="001866F1" w:rsidRPr="00D20324">
        <w:rPr>
          <w:rFonts w:ascii="SBL Greek" w:hAnsi="SBL Greek" w:cs="Times New Roman"/>
        </w:rPr>
        <w:t xml:space="preserve"> </w:t>
      </w:r>
      <w:r w:rsidR="001866F1" w:rsidRPr="00D20324">
        <w:rPr>
          <w:rFonts w:ascii="SBL Greek" w:hAnsi="SBL Greek" w:cs="Times New Roman"/>
          <w:lang w:val="el-GR"/>
        </w:rPr>
        <w:t>μέσῳ</w:t>
      </w:r>
      <w:r w:rsidR="003E22DE" w:rsidRPr="00D20324">
        <w:rPr>
          <w:rFonts w:cs="Times New Roman"/>
        </w:rPr>
        <w:t xml:space="preserve">) of a group of questioners during his “trial” in the Lukan passion narrative </w:t>
      </w:r>
      <w:r w:rsidR="004304BF" w:rsidRPr="00D20324">
        <w:rPr>
          <w:rFonts w:cs="Times New Roman"/>
        </w:rPr>
        <w:t>(</w:t>
      </w:r>
      <w:r w:rsidR="003E22DE" w:rsidRPr="00D20324">
        <w:rPr>
          <w:rFonts w:cs="Times New Roman"/>
        </w:rPr>
        <w:t>Luke 22:55</w:t>
      </w:r>
      <w:r w:rsidR="004304BF" w:rsidRPr="00D20324">
        <w:rPr>
          <w:rFonts w:cs="Times New Roman"/>
        </w:rPr>
        <w:t>)</w:t>
      </w:r>
      <w:r w:rsidR="003E22DE" w:rsidRPr="00D20324">
        <w:rPr>
          <w:rFonts w:cs="Times New Roman"/>
        </w:rPr>
        <w:t xml:space="preserve">.  </w:t>
      </w:r>
      <w:r w:rsidR="000B3E40" w:rsidRPr="00D20324">
        <w:rPr>
          <w:rFonts w:cs="Times New Roman"/>
        </w:rPr>
        <w:t xml:space="preserve">From the narrator’s standpoint, </w:t>
      </w:r>
      <w:r w:rsidR="003E22DE" w:rsidRPr="00D20324">
        <w:rPr>
          <w:rFonts w:cs="Times New Roman"/>
        </w:rPr>
        <w:t>Peter performs better in the second interrogation than he performed in the first, which resulted in his thrice denial of Jesus.</w:t>
      </w:r>
      <w:r w:rsidR="008627F7" w:rsidRPr="00D20324">
        <w:rPr>
          <w:rFonts w:cs="Times New Roman"/>
        </w:rPr>
        <w:t xml:space="preserve">  </w:t>
      </w:r>
    </w:p>
    <w:p w:rsidR="00465E57" w:rsidRPr="00D20324" w:rsidRDefault="00C44BB6" w:rsidP="000312B9">
      <w:pPr>
        <w:spacing w:line="480" w:lineRule="auto"/>
        <w:ind w:firstLine="720"/>
        <w:rPr>
          <w:rFonts w:cs="Times New Roman"/>
        </w:rPr>
      </w:pPr>
      <w:r w:rsidRPr="00D20324">
        <w:rPr>
          <w:rFonts w:cs="Times New Roman"/>
        </w:rPr>
        <w:t>T</w:t>
      </w:r>
      <w:r w:rsidR="00463F62" w:rsidRPr="00D20324">
        <w:rPr>
          <w:rFonts w:cs="Times New Roman"/>
        </w:rPr>
        <w:t>he Sanhedrin</w:t>
      </w:r>
      <w:r w:rsidRPr="00D20324">
        <w:rPr>
          <w:rFonts w:cs="Times New Roman"/>
        </w:rPr>
        <w:t xml:space="preserve"> then</w:t>
      </w:r>
      <w:r w:rsidR="00463F62" w:rsidRPr="00D20324">
        <w:rPr>
          <w:rFonts w:cs="Times New Roman"/>
        </w:rPr>
        <w:t xml:space="preserve"> </w:t>
      </w:r>
      <w:r w:rsidR="00E36579" w:rsidRPr="00D20324">
        <w:rPr>
          <w:rFonts w:cs="Times New Roman"/>
        </w:rPr>
        <w:t>asks</w:t>
      </w:r>
      <w:r w:rsidR="003E22DE" w:rsidRPr="00D20324">
        <w:rPr>
          <w:rFonts w:cs="Times New Roman"/>
        </w:rPr>
        <w:t xml:space="preserve"> the disciples</w:t>
      </w:r>
      <w:r w:rsidR="00D31BEB" w:rsidRPr="00D20324">
        <w:rPr>
          <w:rFonts w:cs="Times New Roman"/>
        </w:rPr>
        <w:t>,</w:t>
      </w:r>
      <w:r w:rsidR="003E22DE" w:rsidRPr="00D20324">
        <w:rPr>
          <w:rFonts w:cs="Times New Roman"/>
        </w:rPr>
        <w:t xml:space="preserve"> </w:t>
      </w:r>
      <w:r w:rsidR="008627F7" w:rsidRPr="00D20324">
        <w:rPr>
          <w:rFonts w:cs="Times New Roman"/>
        </w:rPr>
        <w:t>“By what power (</w:t>
      </w:r>
      <w:r w:rsidR="007E6DB8" w:rsidRPr="00D20324">
        <w:rPr>
          <w:rFonts w:ascii="SBL Greek" w:hAnsi="SBL Greek" w:cs="Times New Roman"/>
          <w:lang w:val="el-GR"/>
        </w:rPr>
        <w:t>δυνάμει</w:t>
      </w:r>
      <w:r w:rsidR="008627F7" w:rsidRPr="00D20324">
        <w:rPr>
          <w:rFonts w:cs="Times New Roman"/>
        </w:rPr>
        <w:t>) or by what name have you done this thing?”</w:t>
      </w:r>
      <w:r w:rsidR="000B3E40" w:rsidRPr="00D20324">
        <w:rPr>
          <w:rFonts w:cs="Times New Roman"/>
        </w:rPr>
        <w:t xml:space="preserve"> </w:t>
      </w:r>
      <w:r w:rsidR="00E36579" w:rsidRPr="00D20324">
        <w:rPr>
          <w:rFonts w:cs="Times New Roman"/>
        </w:rPr>
        <w:t>just as the Jerusalem leaders</w:t>
      </w:r>
      <w:r w:rsidR="008627F7" w:rsidRPr="00D20324">
        <w:rPr>
          <w:rFonts w:cs="Times New Roman"/>
        </w:rPr>
        <w:t xml:space="preserve"> asked Jesus</w:t>
      </w:r>
      <w:r w:rsidR="00A45540" w:rsidRPr="00D20324">
        <w:rPr>
          <w:rFonts w:cs="Times New Roman"/>
        </w:rPr>
        <w:t>,</w:t>
      </w:r>
      <w:r w:rsidR="008627F7" w:rsidRPr="00D20324">
        <w:rPr>
          <w:rFonts w:cs="Times New Roman"/>
        </w:rPr>
        <w:t xml:space="preserve"> “</w:t>
      </w:r>
      <w:r w:rsidR="001C60D1" w:rsidRPr="00D20324">
        <w:rPr>
          <w:rFonts w:cs="Times New Roman"/>
        </w:rPr>
        <w:t>By what authority (</w:t>
      </w:r>
      <w:r w:rsidR="007E6DB8" w:rsidRPr="00D20324">
        <w:rPr>
          <w:rFonts w:ascii="SBL Greek" w:hAnsi="SBL Greek" w:cs="Times New Roman"/>
        </w:rPr>
        <w:t>ἐ</w:t>
      </w:r>
      <w:r w:rsidR="007E6DB8" w:rsidRPr="00D20324">
        <w:rPr>
          <w:rFonts w:ascii="SBL Greek" w:hAnsi="SBL Greek" w:cs="Times New Roman"/>
          <w:lang w:val="el-GR"/>
        </w:rPr>
        <w:t>ξουσίᾳ</w:t>
      </w:r>
      <w:r w:rsidR="001C60D1" w:rsidRPr="00D20324">
        <w:rPr>
          <w:rFonts w:cs="Times New Roman"/>
        </w:rPr>
        <w:t>) do you do these things, and who is it who gave to you this authority?</w:t>
      </w:r>
      <w:r w:rsidR="008627F7" w:rsidRPr="00D20324">
        <w:rPr>
          <w:rFonts w:cs="Times New Roman"/>
        </w:rPr>
        <w:t>” in Luke 20:2 (//Mark 11:27//Matt. 21:23).</w:t>
      </w:r>
      <w:r w:rsidR="000B3E40" w:rsidRPr="00D20324">
        <w:rPr>
          <w:rFonts w:cs="Times New Roman"/>
        </w:rPr>
        <w:t xml:space="preserve">  </w:t>
      </w:r>
      <w:r w:rsidRPr="00D20324">
        <w:rPr>
          <w:rFonts w:cs="Times New Roman"/>
        </w:rPr>
        <w:t xml:space="preserve">Although </w:t>
      </w:r>
      <w:r w:rsidR="000B3E40" w:rsidRPr="00D20324">
        <w:rPr>
          <w:rFonts w:cs="Times New Roman"/>
        </w:rPr>
        <w:t>the</w:t>
      </w:r>
      <w:r w:rsidR="00E37555" w:rsidRPr="00D20324">
        <w:rPr>
          <w:rFonts w:cs="Times New Roman"/>
        </w:rPr>
        <w:t xml:space="preserve"> subtle</w:t>
      </w:r>
      <w:r w:rsidR="000B3E40" w:rsidRPr="00D20324">
        <w:rPr>
          <w:rFonts w:cs="Times New Roman"/>
        </w:rPr>
        <w:t xml:space="preserve"> difference between the Jewish leadership’s question </w:t>
      </w:r>
      <w:r w:rsidRPr="00D20324">
        <w:rPr>
          <w:rFonts w:cs="Times New Roman"/>
        </w:rPr>
        <w:t xml:space="preserve">about Jesus’ </w:t>
      </w:r>
      <w:r w:rsidR="007E6DB8" w:rsidRPr="00D20324">
        <w:rPr>
          <w:rFonts w:ascii="SBL Greek" w:hAnsi="SBL Greek" w:cs="Times New Roman"/>
        </w:rPr>
        <w:t>ἐ</w:t>
      </w:r>
      <w:r w:rsidR="007E6DB8" w:rsidRPr="00D20324">
        <w:rPr>
          <w:rFonts w:ascii="SBL Greek" w:hAnsi="SBL Greek" w:cs="Times New Roman"/>
          <w:lang w:val="el-GR"/>
        </w:rPr>
        <w:t>ξουσία</w:t>
      </w:r>
      <w:r w:rsidR="007E6DB8" w:rsidRPr="00D20324">
        <w:rPr>
          <w:rFonts w:cs="Times New Roman"/>
        </w:rPr>
        <w:t xml:space="preserve"> </w:t>
      </w:r>
      <w:r w:rsidRPr="00D20324">
        <w:rPr>
          <w:rFonts w:cs="Times New Roman"/>
        </w:rPr>
        <w:t>i</w:t>
      </w:r>
      <w:r w:rsidR="00E36579" w:rsidRPr="00D20324">
        <w:rPr>
          <w:rFonts w:cs="Times New Roman"/>
        </w:rPr>
        <w:t>n Luke 20:2 and the Sanhedrin’s</w:t>
      </w:r>
      <w:r w:rsidR="000B3E40" w:rsidRPr="00D20324">
        <w:rPr>
          <w:rFonts w:cs="Times New Roman"/>
        </w:rPr>
        <w:t xml:space="preserve"> question </w:t>
      </w:r>
      <w:r w:rsidRPr="00D20324">
        <w:rPr>
          <w:rFonts w:cs="Times New Roman"/>
        </w:rPr>
        <w:t>about the disciples’</w:t>
      </w:r>
      <w:r w:rsidRPr="00D20324">
        <w:rPr>
          <w:rFonts w:ascii="Bwgrkl" w:hAnsi="Bwgrkl" w:cs="Times New Roman"/>
        </w:rPr>
        <w:t xml:space="preserve"> </w:t>
      </w:r>
      <w:r w:rsidR="007E6DB8" w:rsidRPr="00D20324">
        <w:rPr>
          <w:rFonts w:ascii="SBL Greek" w:hAnsi="SBL Greek" w:cs="Times New Roman"/>
          <w:lang w:val="el-GR"/>
        </w:rPr>
        <w:t>δύναμις</w:t>
      </w:r>
      <w:r w:rsidRPr="00D20324">
        <w:rPr>
          <w:rFonts w:cs="Times New Roman"/>
        </w:rPr>
        <w:t xml:space="preserve"> </w:t>
      </w:r>
      <w:r w:rsidR="000B3E40" w:rsidRPr="00D20324">
        <w:rPr>
          <w:rFonts w:cs="Times New Roman"/>
        </w:rPr>
        <w:t>in Acts 4:7</w:t>
      </w:r>
      <w:r w:rsidRPr="00D20324">
        <w:rPr>
          <w:rFonts w:cs="Times New Roman"/>
        </w:rPr>
        <w:t xml:space="preserve"> may appear to exhibit a de</w:t>
      </w:r>
      <w:r w:rsidR="00F64254" w:rsidRPr="00D20324">
        <w:rPr>
          <w:rFonts w:cs="Times New Roman"/>
        </w:rPr>
        <w:t>gree of discontinuity, the vocabul</w:t>
      </w:r>
      <w:r w:rsidRPr="00D20324">
        <w:rPr>
          <w:rFonts w:cs="Times New Roman"/>
        </w:rPr>
        <w:t>ary shift actually reveals all t</w:t>
      </w:r>
      <w:r w:rsidR="00F64254" w:rsidRPr="00D20324">
        <w:rPr>
          <w:rFonts w:cs="Times New Roman"/>
        </w:rPr>
        <w:t>he more the narrative cohesion</w:t>
      </w:r>
      <w:r w:rsidRPr="00D20324">
        <w:rPr>
          <w:rFonts w:cs="Times New Roman"/>
        </w:rPr>
        <w:t xml:space="preserve"> between Luke’s first and second volumes.  For, </w:t>
      </w:r>
      <w:r w:rsidR="00433148" w:rsidRPr="00D20324">
        <w:rPr>
          <w:rFonts w:cs="Times New Roman"/>
        </w:rPr>
        <w:t xml:space="preserve">Acts 1:8 introduced </w:t>
      </w:r>
      <w:r w:rsidR="007E6DB8" w:rsidRPr="00D20324">
        <w:rPr>
          <w:rFonts w:ascii="SBL Greek" w:hAnsi="SBL Greek" w:cs="Times New Roman"/>
          <w:lang w:val="el-GR"/>
        </w:rPr>
        <w:t>δύναμις</w:t>
      </w:r>
      <w:r w:rsidR="00433148" w:rsidRPr="00D20324">
        <w:rPr>
          <w:rFonts w:cs="Times New Roman"/>
        </w:rPr>
        <w:t xml:space="preserve"> as the “power” the disciples receive from the Holy Spirit, which is</w:t>
      </w:r>
      <w:r w:rsidR="004304BF" w:rsidRPr="00D20324">
        <w:rPr>
          <w:rFonts w:cs="Times New Roman"/>
        </w:rPr>
        <w:t xml:space="preserve"> </w:t>
      </w:r>
      <w:r w:rsidR="00433148" w:rsidRPr="00D20324">
        <w:rPr>
          <w:rFonts w:cs="Times New Roman"/>
        </w:rPr>
        <w:t>poured upon them at Pentecost in Acts 2.  During that event, Peter’s</w:t>
      </w:r>
      <w:r w:rsidR="00E36579" w:rsidRPr="00D20324">
        <w:rPr>
          <w:rFonts w:cs="Times New Roman"/>
        </w:rPr>
        <w:t xml:space="preserve"> sermon claims that the Pentecost happenings</w:t>
      </w:r>
      <w:r w:rsidR="00433148" w:rsidRPr="00D20324">
        <w:rPr>
          <w:rFonts w:cs="Times New Roman"/>
        </w:rPr>
        <w:t xml:space="preserve"> fulfill</w:t>
      </w:r>
      <w:r w:rsidR="003B72B6" w:rsidRPr="00D20324">
        <w:rPr>
          <w:rFonts w:cs="Times New Roman"/>
        </w:rPr>
        <w:t xml:space="preserve"> the prophecy of Joel</w:t>
      </w:r>
      <w:r w:rsidR="00433148" w:rsidRPr="00D20324">
        <w:rPr>
          <w:rFonts w:cs="Times New Roman"/>
        </w:rPr>
        <w:t xml:space="preserve"> conc</w:t>
      </w:r>
      <w:r w:rsidR="003B72B6" w:rsidRPr="00D20324">
        <w:rPr>
          <w:rFonts w:cs="Times New Roman"/>
        </w:rPr>
        <w:t>erning the Day of the Lord when</w:t>
      </w:r>
      <w:r w:rsidR="00433148" w:rsidRPr="00D20324">
        <w:rPr>
          <w:rFonts w:cs="Times New Roman"/>
        </w:rPr>
        <w:t xml:space="preserve"> God will pour out his Spirit</w:t>
      </w:r>
      <w:r w:rsidR="00C8679A">
        <w:rPr>
          <w:rFonts w:cs="Times New Roman"/>
        </w:rPr>
        <w:t xml:space="preserve"> upon human beings</w:t>
      </w:r>
      <w:r w:rsidR="00433148" w:rsidRPr="00D20324">
        <w:rPr>
          <w:rFonts w:cs="Times New Roman"/>
        </w:rPr>
        <w:t xml:space="preserve"> (Acts 2:17//Joel 2:28</w:t>
      </w:r>
      <w:r w:rsidR="003B72B6" w:rsidRPr="00D20324">
        <w:rPr>
          <w:rFonts w:cs="Times New Roman"/>
        </w:rPr>
        <w:t xml:space="preserve"> [LXX 3:1]) and </w:t>
      </w:r>
      <w:r w:rsidR="00E36579" w:rsidRPr="00D20324">
        <w:rPr>
          <w:rFonts w:cs="Times New Roman"/>
        </w:rPr>
        <w:t xml:space="preserve">save </w:t>
      </w:r>
      <w:r w:rsidR="003B72B6" w:rsidRPr="00D20324">
        <w:rPr>
          <w:rFonts w:cs="Times New Roman"/>
        </w:rPr>
        <w:t>those who call upon his</w:t>
      </w:r>
      <w:r w:rsidR="00433148" w:rsidRPr="00D20324">
        <w:rPr>
          <w:rFonts w:cs="Times New Roman"/>
        </w:rPr>
        <w:t xml:space="preserve"> “name” (Acts 2:21//</w:t>
      </w:r>
      <w:r w:rsidR="003B72B6" w:rsidRPr="00D20324">
        <w:rPr>
          <w:rFonts w:cs="Times New Roman"/>
        </w:rPr>
        <w:t xml:space="preserve">Joel 2:32 [LXX 3:5]).  Peter </w:t>
      </w:r>
      <w:r w:rsidR="00E36579" w:rsidRPr="00D20324">
        <w:rPr>
          <w:rFonts w:cs="Times New Roman"/>
        </w:rPr>
        <w:t xml:space="preserve">contributes </w:t>
      </w:r>
      <w:r w:rsidR="002A1D65">
        <w:rPr>
          <w:rFonts w:cs="Times New Roman"/>
        </w:rPr>
        <w:t>c</w:t>
      </w:r>
      <w:r w:rsidR="00E36579" w:rsidRPr="00D20324">
        <w:rPr>
          <w:rFonts w:cs="Times New Roman"/>
        </w:rPr>
        <w:t xml:space="preserve">hristologically to the </w:t>
      </w:r>
      <w:r w:rsidR="003B72B6" w:rsidRPr="00D20324">
        <w:rPr>
          <w:rFonts w:cs="Times New Roman"/>
        </w:rPr>
        <w:t xml:space="preserve">salvation-historical story </w:t>
      </w:r>
      <w:r w:rsidR="00E36579" w:rsidRPr="00D20324">
        <w:rPr>
          <w:rFonts w:cs="Times New Roman"/>
        </w:rPr>
        <w:t xml:space="preserve">by claiming </w:t>
      </w:r>
      <w:r w:rsidR="003B72B6" w:rsidRPr="00D20324">
        <w:rPr>
          <w:rFonts w:cs="Times New Roman"/>
        </w:rPr>
        <w:t xml:space="preserve">that the “name” upon which they must call is not necessarily the tetragrammaton </w:t>
      </w:r>
      <w:r w:rsidR="004304BF" w:rsidRPr="00D20324">
        <w:rPr>
          <w:rFonts w:cs="Times New Roman"/>
        </w:rPr>
        <w:t>(</w:t>
      </w:r>
      <w:r w:rsidR="007E6DB8" w:rsidRPr="00D20324">
        <w:rPr>
          <w:rFonts w:ascii="SBL Hebrew" w:hAnsi="SBL Hebrew" w:cs="SBL Hebrew" w:hint="cs"/>
          <w:rtl/>
          <w:lang w:bidi="he-IL"/>
        </w:rPr>
        <w:t>י</w:t>
      </w:r>
      <w:r w:rsidR="007E6DB8" w:rsidRPr="00D20324">
        <w:rPr>
          <w:rFonts w:ascii="SBL Hebrew" w:hAnsi="SBL Hebrew" w:cs="SBL Hebrew"/>
          <w:rtl/>
          <w:lang w:bidi="he-IL"/>
        </w:rPr>
        <w:t>הוה</w:t>
      </w:r>
      <w:r w:rsidR="004304BF" w:rsidRPr="00D20324">
        <w:rPr>
          <w:rFonts w:cs="Times New Roman"/>
        </w:rPr>
        <w:t xml:space="preserve">) </w:t>
      </w:r>
      <w:r w:rsidR="003B72B6" w:rsidRPr="00D20324">
        <w:rPr>
          <w:rFonts w:cs="Times New Roman"/>
        </w:rPr>
        <w:t xml:space="preserve">or </w:t>
      </w:r>
      <w:r w:rsidR="007E6DB8" w:rsidRPr="00D20324">
        <w:rPr>
          <w:rFonts w:ascii="SBL Hebrew" w:hAnsi="SBL Hebrew" w:cs="SBL Hebrew"/>
          <w:rtl/>
          <w:lang w:bidi="he-IL"/>
        </w:rPr>
        <w:t>אדון</w:t>
      </w:r>
      <w:r w:rsidR="00AE05F5" w:rsidRPr="00D20324">
        <w:rPr>
          <w:rFonts w:cs="Times New Roman"/>
        </w:rPr>
        <w:t>/</w:t>
      </w:r>
      <w:r w:rsidR="007E6DB8" w:rsidRPr="00D20324">
        <w:rPr>
          <w:rFonts w:ascii="SBL Greek" w:hAnsi="SBL Greek" w:cs="Times New Roman"/>
          <w:lang w:val="el-GR"/>
        </w:rPr>
        <w:t>κύριος</w:t>
      </w:r>
      <w:r w:rsidR="00AE05F5" w:rsidRPr="00D20324">
        <w:rPr>
          <w:rFonts w:cs="Times New Roman"/>
        </w:rPr>
        <w:t xml:space="preserve"> but</w:t>
      </w:r>
      <w:r w:rsidR="003B72B6" w:rsidRPr="00D20324">
        <w:rPr>
          <w:rFonts w:cs="Times New Roman"/>
        </w:rPr>
        <w:t xml:space="preserve">  “the name of Jesus Christ” (2:38).</w:t>
      </w:r>
      <w:r w:rsidR="00D31BEB" w:rsidRPr="00D20324">
        <w:rPr>
          <w:rFonts w:cs="Times New Roman"/>
        </w:rPr>
        <w:t xml:space="preserve">  </w:t>
      </w:r>
      <w:r w:rsidR="00F64254" w:rsidRPr="00D20324">
        <w:rPr>
          <w:rFonts w:cs="Times New Roman"/>
        </w:rPr>
        <w:t>In this way, b</w:t>
      </w:r>
      <w:r w:rsidR="003B72B6" w:rsidRPr="00D20324">
        <w:rPr>
          <w:rFonts w:cs="Times New Roman"/>
        </w:rPr>
        <w:t xml:space="preserve">y the time the Jewish leadership asks in Acts 4:7 by which “power” and </w:t>
      </w:r>
      <w:r w:rsidR="00A329BA" w:rsidRPr="00D20324">
        <w:rPr>
          <w:rFonts w:cs="Times New Roman"/>
        </w:rPr>
        <w:t xml:space="preserve">which </w:t>
      </w:r>
      <w:r w:rsidR="003B72B6" w:rsidRPr="00D20324">
        <w:rPr>
          <w:rFonts w:cs="Times New Roman"/>
        </w:rPr>
        <w:t>“name”</w:t>
      </w:r>
      <w:r w:rsidR="00A329BA" w:rsidRPr="00D20324">
        <w:rPr>
          <w:rFonts w:cs="Times New Roman"/>
        </w:rPr>
        <w:t xml:space="preserve"> the disciples “have done this,” </w:t>
      </w:r>
      <w:r w:rsidR="003B72B6" w:rsidRPr="00D20324">
        <w:rPr>
          <w:rFonts w:cs="Times New Roman"/>
        </w:rPr>
        <w:t xml:space="preserve">the narrative </w:t>
      </w:r>
      <w:r w:rsidR="004304BF" w:rsidRPr="00D20324">
        <w:rPr>
          <w:rFonts w:cs="Times New Roman"/>
        </w:rPr>
        <w:t xml:space="preserve">of Acts has already answered it in a manner that demonstrates the salvation-historical </w:t>
      </w:r>
      <w:r w:rsidR="00FA5281" w:rsidRPr="00D20324">
        <w:rPr>
          <w:rFonts w:cs="Times New Roman"/>
        </w:rPr>
        <w:t>results</w:t>
      </w:r>
      <w:r w:rsidR="004304BF" w:rsidRPr="00D20324">
        <w:rPr>
          <w:rFonts w:cs="Times New Roman"/>
        </w:rPr>
        <w:t xml:space="preserve"> of </w:t>
      </w:r>
      <w:r w:rsidR="00FA5281" w:rsidRPr="00D20324">
        <w:rPr>
          <w:rFonts w:cs="Times New Roman"/>
        </w:rPr>
        <w:t>what transpired after they asked</w:t>
      </w:r>
      <w:r w:rsidR="004304BF" w:rsidRPr="00D20324">
        <w:rPr>
          <w:rFonts w:cs="Times New Roman"/>
        </w:rPr>
        <w:t xml:space="preserve"> Jesus the similar question in Luke 20:2.</w:t>
      </w:r>
      <w:r w:rsidR="00730856" w:rsidRPr="00D20324">
        <w:rPr>
          <w:rFonts w:cs="Times New Roman"/>
        </w:rPr>
        <w:t xml:space="preserve">  </w:t>
      </w:r>
    </w:p>
    <w:p w:rsidR="00C44BB6" w:rsidRPr="00D20324" w:rsidRDefault="00F64254" w:rsidP="001C215C">
      <w:pPr>
        <w:spacing w:line="480" w:lineRule="auto"/>
        <w:ind w:firstLine="720"/>
        <w:rPr>
          <w:rFonts w:cs="Times New Roman"/>
        </w:rPr>
      </w:pPr>
      <w:r w:rsidRPr="00D20324">
        <w:rPr>
          <w:rFonts w:cs="Times New Roman"/>
        </w:rPr>
        <w:t xml:space="preserve">Luke’s strategic usage of narrative frameworks from his Gospel in Acts </w:t>
      </w:r>
      <w:r w:rsidR="00847AD9" w:rsidRPr="00D20324">
        <w:rPr>
          <w:rFonts w:cs="Times New Roman"/>
        </w:rPr>
        <w:t>continues in the immediate context of</w:t>
      </w:r>
      <w:r w:rsidR="00465E57" w:rsidRPr="00D20324">
        <w:rPr>
          <w:rFonts w:cs="Times New Roman"/>
        </w:rPr>
        <w:t xml:space="preserve"> Acts 4:13</w:t>
      </w:r>
      <w:r w:rsidR="00D31BEB" w:rsidRPr="00D20324">
        <w:rPr>
          <w:rFonts w:cs="Times New Roman"/>
        </w:rPr>
        <w:t>.</w:t>
      </w:r>
      <w:r w:rsidR="00847AD9" w:rsidRPr="00D20324">
        <w:rPr>
          <w:rFonts w:cs="Times New Roman"/>
        </w:rPr>
        <w:t xml:space="preserve">  </w:t>
      </w:r>
      <w:r w:rsidR="00465E57" w:rsidRPr="00D20324">
        <w:rPr>
          <w:rFonts w:cs="Times New Roman"/>
        </w:rPr>
        <w:t>Peter cites Psalm 118:22 as scriptural support for the reception of Jesus in Jerusalem</w:t>
      </w:r>
      <w:r w:rsidR="00847AD9" w:rsidRPr="00D20324">
        <w:rPr>
          <w:rFonts w:cs="Times New Roman"/>
        </w:rPr>
        <w:t xml:space="preserve"> (Acts 4:11)</w:t>
      </w:r>
      <w:r w:rsidR="00465E57" w:rsidRPr="00D20324">
        <w:rPr>
          <w:rFonts w:cs="Times New Roman"/>
        </w:rPr>
        <w:t>, as had Jesus himself in Luke 20:17.  Additionally,</w:t>
      </w:r>
      <w:r w:rsidR="00847AD9" w:rsidRPr="00D20324">
        <w:rPr>
          <w:rFonts w:cs="Times New Roman"/>
        </w:rPr>
        <w:t xml:space="preserve"> in Acts 4:13,</w:t>
      </w:r>
      <w:r w:rsidR="00465E57" w:rsidRPr="00D20324">
        <w:rPr>
          <w:rFonts w:cs="Times New Roman"/>
        </w:rPr>
        <w:t xml:space="preserve"> Luke uses </w:t>
      </w:r>
      <w:r w:rsidR="009E0558" w:rsidRPr="00D20324">
        <w:rPr>
          <w:rFonts w:ascii="SBL Greek" w:hAnsi="SBL Greek" w:cs="Times New Roman"/>
          <w:lang w:val="el-GR"/>
        </w:rPr>
        <w:t>θαυμάζω</w:t>
      </w:r>
      <w:r w:rsidR="00465E57" w:rsidRPr="00D20324">
        <w:rPr>
          <w:rFonts w:cs="Times New Roman"/>
        </w:rPr>
        <w:t xml:space="preserve"> in order to describe the amazement that the disciples elicit as public teachers, as he did similarly for the amazement that Jesus elicit</w:t>
      </w:r>
      <w:r w:rsidR="001C215C">
        <w:rPr>
          <w:rFonts w:cs="Times New Roman"/>
        </w:rPr>
        <w:t>ed</w:t>
      </w:r>
      <w:r w:rsidR="00465E57" w:rsidRPr="00D20324">
        <w:rPr>
          <w:rFonts w:cs="Times New Roman"/>
        </w:rPr>
        <w:t xml:space="preserve"> as a public teacher in his Gospel (4:22; 9:43; 11:14, 38; 20:26; cf. 24:12, 41).</w:t>
      </w:r>
      <w:r w:rsidR="00DC1A26" w:rsidRPr="00D20324">
        <w:rPr>
          <w:rStyle w:val="FootnoteReference"/>
          <w:rFonts w:cs="Times New Roman"/>
        </w:rPr>
        <w:footnoteReference w:id="20"/>
      </w:r>
      <w:r w:rsidR="00465E57" w:rsidRPr="00D20324">
        <w:rPr>
          <w:rFonts w:cs="Times New Roman"/>
        </w:rPr>
        <w:t xml:space="preserve">    </w:t>
      </w:r>
    </w:p>
    <w:p w:rsidR="001C60D1" w:rsidRPr="00D20324" w:rsidRDefault="00A329BA" w:rsidP="000312B9">
      <w:pPr>
        <w:spacing w:line="480" w:lineRule="auto"/>
        <w:ind w:firstLine="720"/>
        <w:rPr>
          <w:rFonts w:cs="Times New Roman"/>
        </w:rPr>
      </w:pPr>
      <w:r w:rsidRPr="00D20324">
        <w:rPr>
          <w:rFonts w:cs="Times New Roman"/>
        </w:rPr>
        <w:t>This point</w:t>
      </w:r>
      <w:r w:rsidR="00465E57" w:rsidRPr="00D20324">
        <w:rPr>
          <w:rFonts w:cs="Times New Roman"/>
        </w:rPr>
        <w:t xml:space="preserve"> concerning the narrative continuity between Acts and Luke’s Gospel</w:t>
      </w:r>
      <w:r w:rsidRPr="00D20324">
        <w:rPr>
          <w:rFonts w:cs="Times New Roman"/>
        </w:rPr>
        <w:t xml:space="preserve"> is not novel</w:t>
      </w:r>
      <w:r w:rsidR="00C44BB6" w:rsidRPr="00D20324">
        <w:rPr>
          <w:rFonts w:cs="Times New Roman"/>
        </w:rPr>
        <w:t xml:space="preserve"> and is even presented to introductory students in textbooks</w:t>
      </w:r>
      <w:r w:rsidRPr="00D20324">
        <w:rPr>
          <w:rFonts w:cs="Times New Roman"/>
        </w:rPr>
        <w:t>.</w:t>
      </w:r>
      <w:r w:rsidR="00C44BB6" w:rsidRPr="00D20324">
        <w:rPr>
          <w:rStyle w:val="FootnoteReference"/>
          <w:rFonts w:cs="Times New Roman"/>
        </w:rPr>
        <w:footnoteReference w:id="21"/>
      </w:r>
      <w:r w:rsidRPr="00D20324">
        <w:rPr>
          <w:rFonts w:cs="Times New Roman"/>
        </w:rPr>
        <w:t xml:space="preserve">  But it is important for the remainder of this essay to note that Luke</w:t>
      </w:r>
      <w:r w:rsidR="00804F2C" w:rsidRPr="00D20324">
        <w:rPr>
          <w:rFonts w:cs="Times New Roman"/>
        </w:rPr>
        <w:t xml:space="preserve"> develops his</w:t>
      </w:r>
      <w:r w:rsidRPr="00D20324">
        <w:rPr>
          <w:rFonts w:cs="Times New Roman"/>
        </w:rPr>
        <w:t xml:space="preserve"> narrative strategies in the</w:t>
      </w:r>
      <w:r w:rsidR="00F64254" w:rsidRPr="00D20324">
        <w:rPr>
          <w:rFonts w:cs="Times New Roman"/>
        </w:rPr>
        <w:t xml:space="preserve"> immediate</w:t>
      </w:r>
      <w:r w:rsidRPr="00D20324">
        <w:rPr>
          <w:rFonts w:cs="Times New Roman"/>
        </w:rPr>
        <w:t xml:space="preserve"> </w:t>
      </w:r>
      <w:r w:rsidR="00DC1A26" w:rsidRPr="00D20324">
        <w:rPr>
          <w:rFonts w:cs="Times New Roman"/>
        </w:rPr>
        <w:t xml:space="preserve">context </w:t>
      </w:r>
      <w:r w:rsidR="00F64254" w:rsidRPr="00D20324">
        <w:rPr>
          <w:rFonts w:cs="Times New Roman"/>
        </w:rPr>
        <w:t>of</w:t>
      </w:r>
      <w:r w:rsidRPr="00D20324">
        <w:rPr>
          <w:rFonts w:cs="Times New Roman"/>
        </w:rPr>
        <w:t xml:space="preserve"> Acts 4:13</w:t>
      </w:r>
      <w:r w:rsidR="00A45540" w:rsidRPr="00D20324">
        <w:rPr>
          <w:rFonts w:cs="Times New Roman"/>
        </w:rPr>
        <w:t xml:space="preserve"> in continuity with the narrative strategies of his Gospel</w:t>
      </w:r>
      <w:r w:rsidR="00F64254" w:rsidRPr="00D20324">
        <w:rPr>
          <w:rFonts w:cs="Times New Roman"/>
        </w:rPr>
        <w:t xml:space="preserve"> because </w:t>
      </w:r>
      <w:r w:rsidR="00FD7BB9" w:rsidRPr="00D20324">
        <w:rPr>
          <w:rFonts w:cs="Times New Roman"/>
        </w:rPr>
        <w:t xml:space="preserve">I suggest below that his reference to Jesus in 4:13b </w:t>
      </w:r>
      <w:r w:rsidR="00D31BEB" w:rsidRPr="00D20324">
        <w:rPr>
          <w:rFonts w:cs="Times New Roman"/>
        </w:rPr>
        <w:t>disrupts</w:t>
      </w:r>
      <w:r w:rsidR="00FD7BB9" w:rsidRPr="00D20324">
        <w:rPr>
          <w:rFonts w:cs="Times New Roman"/>
        </w:rPr>
        <w:t xml:space="preserve"> this continu</w:t>
      </w:r>
      <w:r w:rsidR="00FA5281" w:rsidRPr="00D20324">
        <w:rPr>
          <w:rFonts w:cs="Times New Roman"/>
        </w:rPr>
        <w:t>ity</w:t>
      </w:r>
      <w:r w:rsidR="00D31BEB" w:rsidRPr="00D20324">
        <w:rPr>
          <w:rFonts w:cs="Times New Roman"/>
        </w:rPr>
        <w:t>.</w:t>
      </w:r>
    </w:p>
    <w:p w:rsidR="001548F3" w:rsidRPr="00D20324" w:rsidRDefault="00465E57" w:rsidP="000D0D59">
      <w:pPr>
        <w:spacing w:line="480" w:lineRule="auto"/>
        <w:rPr>
          <w:rFonts w:cs="Times New Roman"/>
        </w:rPr>
      </w:pPr>
      <w:r w:rsidRPr="00D20324">
        <w:rPr>
          <w:rFonts w:cs="Times New Roman"/>
          <w:i/>
          <w:iCs/>
        </w:rPr>
        <w:t>1.3 Previous Assessments of Acts 4:13b</w:t>
      </w:r>
      <w:r w:rsidR="0011267B" w:rsidRPr="00D20324">
        <w:rPr>
          <w:rFonts w:cs="Times New Roman"/>
        </w:rPr>
        <w:tab/>
      </w:r>
    </w:p>
    <w:p w:rsidR="00476BC2" w:rsidRPr="00D20324" w:rsidRDefault="001548F3" w:rsidP="009E0558">
      <w:pPr>
        <w:spacing w:line="480" w:lineRule="auto"/>
        <w:rPr>
          <w:rFonts w:cs="Times New Roman"/>
        </w:rPr>
      </w:pPr>
      <w:r w:rsidRPr="00D20324">
        <w:rPr>
          <w:rFonts w:cs="Times New Roman"/>
        </w:rPr>
        <w:tab/>
      </w:r>
      <w:r w:rsidR="00D31BEB" w:rsidRPr="00D20324">
        <w:rPr>
          <w:rFonts w:cs="Times New Roman"/>
        </w:rPr>
        <w:t>T</w:t>
      </w:r>
      <w:r w:rsidR="00FD7BB9" w:rsidRPr="00D20324">
        <w:rPr>
          <w:rFonts w:cs="Times New Roman"/>
        </w:rPr>
        <w:t>he second half of Acts 4:13 contains the narrator’s claim that the Sanhedrin identified</w:t>
      </w:r>
      <w:r w:rsidR="00F41333" w:rsidRPr="00D20324">
        <w:rPr>
          <w:rFonts w:cs="Times New Roman"/>
        </w:rPr>
        <w:t xml:space="preserve"> Peter and John as companions of Jesus </w:t>
      </w:r>
      <w:r w:rsidR="00F41333" w:rsidRPr="00D20324">
        <w:rPr>
          <w:rFonts w:cs="Times New Roman"/>
          <w:i/>
        </w:rPr>
        <w:t xml:space="preserve">on the basis </w:t>
      </w:r>
      <w:r w:rsidR="00F41333" w:rsidRPr="00D20324">
        <w:rPr>
          <w:rFonts w:cs="Times New Roman"/>
        </w:rPr>
        <w:t>of their status as illiterate and untrained men.  This connection is clear from the linking of the compound main clause “they were amazed and recognized them” to the syntactically prior subordinate clauses via circumstantial participles</w:t>
      </w:r>
      <w:r w:rsidR="00847AD9" w:rsidRPr="00D20324">
        <w:rPr>
          <w:rFonts w:cs="Times New Roman"/>
        </w:rPr>
        <w:t>,</w:t>
      </w:r>
      <w:r w:rsidR="00F41333" w:rsidRPr="00D20324">
        <w:rPr>
          <w:rFonts w:cs="Times New Roman"/>
        </w:rPr>
        <w:t xml:space="preserve"> </w:t>
      </w:r>
      <w:r w:rsidR="009E0558" w:rsidRPr="00D20324">
        <w:rPr>
          <w:rFonts w:ascii="SBL Greek" w:hAnsi="SBL Greek" w:cs="Times New Roman"/>
          <w:lang w:val="el-GR"/>
        </w:rPr>
        <w:t>θεωροῦντες</w:t>
      </w:r>
      <w:r w:rsidR="00F41333" w:rsidRPr="00D20324">
        <w:rPr>
          <w:rFonts w:cs="Times New Roman"/>
        </w:rPr>
        <w:t xml:space="preserve"> (“seeing”) and </w:t>
      </w:r>
      <w:r w:rsidR="009E0558" w:rsidRPr="00D20324">
        <w:rPr>
          <w:rFonts w:ascii="SBL Greek" w:hAnsi="SBL Greek" w:cs="Times New Roman"/>
          <w:lang w:val="el-GR"/>
        </w:rPr>
        <w:t>καταλαβόμενοι</w:t>
      </w:r>
      <w:r w:rsidR="00F41333" w:rsidRPr="00D20324">
        <w:rPr>
          <w:rFonts w:cs="Times New Roman"/>
        </w:rPr>
        <w:t xml:space="preserve"> (“perceiving” in middle v</w:t>
      </w:r>
      <w:r w:rsidR="00D31BEB" w:rsidRPr="00D20324">
        <w:rPr>
          <w:rFonts w:cs="Times New Roman"/>
        </w:rPr>
        <w:t>oice</w:t>
      </w:r>
      <w:r w:rsidR="00F41333" w:rsidRPr="00D20324">
        <w:rPr>
          <w:rFonts w:cs="Times New Roman"/>
        </w:rPr>
        <w:t xml:space="preserve">):  the Jewish leadership recognized the disciples as companions of Jesus only </w:t>
      </w:r>
      <w:r w:rsidR="00F41333" w:rsidRPr="00D20324">
        <w:rPr>
          <w:rFonts w:cs="Times New Roman"/>
          <w:i/>
        </w:rPr>
        <w:t>upon</w:t>
      </w:r>
      <w:r w:rsidR="00F41333" w:rsidRPr="00D20324">
        <w:rPr>
          <w:rFonts w:cs="Times New Roman"/>
        </w:rPr>
        <w:t xml:space="preserve"> observing Peter’s </w:t>
      </w:r>
      <w:r w:rsidR="001866F1" w:rsidRPr="00D20324">
        <w:rPr>
          <w:rFonts w:ascii="SBL Greek" w:hAnsi="SBL Greek" w:cs="Times New Roman"/>
          <w:lang w:val="el-GR"/>
        </w:rPr>
        <w:t>παρρησία</w:t>
      </w:r>
      <w:r w:rsidR="001866F1" w:rsidRPr="00D20324">
        <w:rPr>
          <w:rFonts w:cs="Times New Roman"/>
        </w:rPr>
        <w:t xml:space="preserve"> </w:t>
      </w:r>
      <w:r w:rsidR="00F41333" w:rsidRPr="00D20324">
        <w:rPr>
          <w:rFonts w:cs="Times New Roman"/>
        </w:rPr>
        <w:t>and understanding that Peter and John were illiterate and untrained.</w:t>
      </w:r>
      <w:r w:rsidR="00C35109" w:rsidRPr="00D20324">
        <w:rPr>
          <w:rStyle w:val="FootnoteReference"/>
          <w:rFonts w:cs="Times New Roman"/>
        </w:rPr>
        <w:footnoteReference w:id="22"/>
      </w:r>
    </w:p>
    <w:p w:rsidR="00214A52" w:rsidRPr="00D20324" w:rsidRDefault="00214A52" w:rsidP="00847AD9">
      <w:pPr>
        <w:spacing w:line="480" w:lineRule="auto"/>
        <w:rPr>
          <w:rFonts w:cs="Times New Roman"/>
        </w:rPr>
      </w:pPr>
      <w:r w:rsidRPr="00D20324">
        <w:rPr>
          <w:rFonts w:cs="Times New Roman"/>
        </w:rPr>
        <w:tab/>
        <w:t>Prior scholarship</w:t>
      </w:r>
      <w:r w:rsidR="00F932E5" w:rsidRPr="00D20324">
        <w:rPr>
          <w:rFonts w:cs="Times New Roman"/>
        </w:rPr>
        <w:t xml:space="preserve"> o</w:t>
      </w:r>
      <w:r w:rsidR="00FD7BB9" w:rsidRPr="00D20324">
        <w:rPr>
          <w:rFonts w:cs="Times New Roman"/>
        </w:rPr>
        <w:t>n Acts 4:13b</w:t>
      </w:r>
      <w:r w:rsidRPr="00D20324">
        <w:rPr>
          <w:rFonts w:cs="Times New Roman"/>
        </w:rPr>
        <w:t xml:space="preserve"> has </w:t>
      </w:r>
      <w:r w:rsidR="00F932E5" w:rsidRPr="00D20324">
        <w:rPr>
          <w:rFonts w:cs="Times New Roman"/>
        </w:rPr>
        <w:t xml:space="preserve">rightly </w:t>
      </w:r>
      <w:r w:rsidRPr="00D20324">
        <w:rPr>
          <w:rFonts w:cs="Times New Roman"/>
        </w:rPr>
        <w:t>observed preci</w:t>
      </w:r>
      <w:r w:rsidR="00F7014A" w:rsidRPr="00D20324">
        <w:rPr>
          <w:rFonts w:cs="Times New Roman"/>
        </w:rPr>
        <w:t xml:space="preserve">sely </w:t>
      </w:r>
      <w:r w:rsidR="00F932E5" w:rsidRPr="00D20324">
        <w:rPr>
          <w:rFonts w:cs="Times New Roman"/>
        </w:rPr>
        <w:t>this dynamic of the text</w:t>
      </w:r>
      <w:r w:rsidR="00F7014A" w:rsidRPr="00D20324">
        <w:rPr>
          <w:rFonts w:cs="Times New Roman"/>
        </w:rPr>
        <w:t xml:space="preserve">.  </w:t>
      </w:r>
      <w:r w:rsidR="00B0214E" w:rsidRPr="00D20324">
        <w:rPr>
          <w:rFonts w:cs="Times New Roman"/>
        </w:rPr>
        <w:t>Longenecker claims,</w:t>
      </w:r>
      <w:r w:rsidR="00F932E5" w:rsidRPr="00D20324">
        <w:rPr>
          <w:rFonts w:cs="Times New Roman"/>
        </w:rPr>
        <w:t xml:space="preserve"> for example,</w:t>
      </w:r>
      <w:r w:rsidR="00B0214E" w:rsidRPr="00D20324">
        <w:rPr>
          <w:rFonts w:cs="Times New Roman"/>
        </w:rPr>
        <w:t xml:space="preserve"> “Their judges could not but wonder at such ordinary men having such a mastery of biblical argumentation. . . .  So they had to fall back on the only possible explanation—‘these men had been with Jesus,’ who despite his lack of rabbinic training, taught ‘as one who had authority’ (Mark 1:22).”</w:t>
      </w:r>
      <w:r w:rsidR="00B0214E" w:rsidRPr="00D20324">
        <w:rPr>
          <w:rStyle w:val="FootnoteReference"/>
          <w:rFonts w:cs="Times New Roman"/>
        </w:rPr>
        <w:footnoteReference w:id="23"/>
      </w:r>
      <w:r w:rsidR="00303067" w:rsidRPr="00D20324">
        <w:rPr>
          <w:rFonts w:cs="Times New Roman"/>
        </w:rPr>
        <w:t xml:space="preserve">  Larkin is even more direct:  “Their Lord also lacked credentials yet handled the Scriptures in the same effective way.”</w:t>
      </w:r>
      <w:r w:rsidR="00303067" w:rsidRPr="00D20324">
        <w:rPr>
          <w:rStyle w:val="FootnoteReference"/>
          <w:rFonts w:cs="Times New Roman"/>
        </w:rPr>
        <w:footnoteReference w:id="24"/>
      </w:r>
      <w:r w:rsidR="00F932E5" w:rsidRPr="00D20324">
        <w:rPr>
          <w:rFonts w:cs="Times New Roman"/>
        </w:rPr>
        <w:t xml:space="preserve"> </w:t>
      </w:r>
      <w:r w:rsidR="00A45540" w:rsidRPr="00D20324">
        <w:rPr>
          <w:rFonts w:cs="Times New Roman"/>
        </w:rPr>
        <w:t>Similarly</w:t>
      </w:r>
      <w:r w:rsidR="00FA5281" w:rsidRPr="00D20324">
        <w:rPr>
          <w:rFonts w:cs="Times New Roman"/>
        </w:rPr>
        <w:t xml:space="preserve">, </w:t>
      </w:r>
      <w:r w:rsidR="00F932E5" w:rsidRPr="00D20324">
        <w:rPr>
          <w:rFonts w:cs="Times New Roman"/>
        </w:rPr>
        <w:t xml:space="preserve">Johnson </w:t>
      </w:r>
      <w:r w:rsidR="00FA5281" w:rsidRPr="00D20324">
        <w:rPr>
          <w:rFonts w:cs="Times New Roman"/>
        </w:rPr>
        <w:t>says,</w:t>
      </w:r>
      <w:r w:rsidR="00F932E5" w:rsidRPr="00D20324">
        <w:rPr>
          <w:rFonts w:cs="Times New Roman"/>
        </w:rPr>
        <w:t xml:space="preserve"> “They can see the apostles do not have learning, yet they speak with boldness, so ‘they recognized they had been with Jesus’!”</w:t>
      </w:r>
      <w:r w:rsidR="00F932E5" w:rsidRPr="00D20324">
        <w:rPr>
          <w:rStyle w:val="FootnoteReference"/>
          <w:rFonts w:cs="Times New Roman"/>
        </w:rPr>
        <w:footnoteReference w:id="25"/>
      </w:r>
      <w:r w:rsidR="00F932E5" w:rsidRPr="00D20324">
        <w:rPr>
          <w:rFonts w:cs="Times New Roman"/>
        </w:rPr>
        <w:t xml:space="preserve">  </w:t>
      </w:r>
    </w:p>
    <w:p w:rsidR="00FD48FE" w:rsidRPr="00D20324" w:rsidRDefault="005C772F" w:rsidP="009E0558">
      <w:pPr>
        <w:spacing w:line="480" w:lineRule="auto"/>
        <w:rPr>
          <w:rFonts w:cs="Times New Roman"/>
        </w:rPr>
      </w:pPr>
      <w:r w:rsidRPr="00D20324">
        <w:rPr>
          <w:rFonts w:cs="Times New Roman"/>
        </w:rPr>
        <w:tab/>
        <w:t xml:space="preserve">It is not necessary to </w:t>
      </w:r>
      <w:r w:rsidR="00D31BEB" w:rsidRPr="00D20324">
        <w:rPr>
          <w:rFonts w:cs="Times New Roman"/>
        </w:rPr>
        <w:t xml:space="preserve">stack more quotations upon these in order to demonstrate </w:t>
      </w:r>
      <w:r w:rsidRPr="00D20324">
        <w:rPr>
          <w:rFonts w:cs="Times New Roman"/>
        </w:rPr>
        <w:t xml:space="preserve">that commentators </w:t>
      </w:r>
      <w:r w:rsidR="00717334" w:rsidRPr="00D20324">
        <w:rPr>
          <w:rFonts w:cs="Times New Roman"/>
        </w:rPr>
        <w:t xml:space="preserve">generally </w:t>
      </w:r>
      <w:r w:rsidRPr="00D20324">
        <w:rPr>
          <w:rFonts w:cs="Times New Roman"/>
        </w:rPr>
        <w:t>interpret this verse rightly.</w:t>
      </w:r>
      <w:r w:rsidR="00647F18" w:rsidRPr="00D20324">
        <w:rPr>
          <w:rStyle w:val="FootnoteReference"/>
          <w:rFonts w:cs="Times New Roman"/>
        </w:rPr>
        <w:footnoteReference w:id="26"/>
      </w:r>
      <w:r w:rsidR="00BB02AB" w:rsidRPr="00D20324">
        <w:rPr>
          <w:rFonts w:cs="Times New Roman"/>
        </w:rPr>
        <w:t xml:space="preserve">  My claim is not that they have misread Luke.  </w:t>
      </w:r>
      <w:r w:rsidR="003F5373" w:rsidRPr="00D20324">
        <w:rPr>
          <w:rFonts w:cs="Times New Roman"/>
        </w:rPr>
        <w:t xml:space="preserve">Rather, my claim </w:t>
      </w:r>
      <w:r w:rsidR="00BB02AB" w:rsidRPr="00D20324">
        <w:rPr>
          <w:rFonts w:cs="Times New Roman"/>
        </w:rPr>
        <w:t>is that, in reading Luke rightly, they have overlooked the degree to which this association of Jesus with the manual-labor non-scribal class fits awkwardly with Luke’s broader image of Jesus.</w:t>
      </w:r>
      <w:r w:rsidRPr="00D20324">
        <w:rPr>
          <w:rFonts w:cs="Times New Roman"/>
        </w:rPr>
        <w:t xml:space="preserve">  Interesting </w:t>
      </w:r>
      <w:r w:rsidR="00D31BEB" w:rsidRPr="00D20324">
        <w:rPr>
          <w:rFonts w:cs="Times New Roman"/>
        </w:rPr>
        <w:t>along these lines</w:t>
      </w:r>
      <w:r w:rsidRPr="00D20324">
        <w:rPr>
          <w:rFonts w:cs="Times New Roman"/>
        </w:rPr>
        <w:t xml:space="preserve"> is the ease with which some scholars enlist portraits of Jesus from outside the world of Luke-Acts in order to provide</w:t>
      </w:r>
      <w:r w:rsidR="00D31BEB" w:rsidRPr="00D20324">
        <w:rPr>
          <w:rFonts w:cs="Times New Roman"/>
        </w:rPr>
        <w:t xml:space="preserve"> further illustration of the</w:t>
      </w:r>
      <w:r w:rsidR="00E37555" w:rsidRPr="00D20324">
        <w:rPr>
          <w:rFonts w:cs="Times New Roman"/>
        </w:rPr>
        <w:t xml:space="preserve"> Jesus</w:t>
      </w:r>
      <w:r w:rsidR="00FA5281" w:rsidRPr="00D20324">
        <w:rPr>
          <w:rFonts w:cs="Times New Roman"/>
        </w:rPr>
        <w:t xml:space="preserve"> of</w:t>
      </w:r>
      <w:r w:rsidRPr="00D20324">
        <w:rPr>
          <w:rFonts w:cs="Times New Roman"/>
        </w:rPr>
        <w:t xml:space="preserve"> Acts 4:13</w:t>
      </w:r>
      <w:r w:rsidR="003F5373" w:rsidRPr="00D20324">
        <w:rPr>
          <w:rFonts w:cs="Times New Roman"/>
        </w:rPr>
        <w:t>b</w:t>
      </w:r>
      <w:r w:rsidRPr="00D20324">
        <w:rPr>
          <w:rFonts w:cs="Times New Roman"/>
        </w:rPr>
        <w:t xml:space="preserve">.  Some scholars </w:t>
      </w:r>
      <w:r w:rsidR="00E37555" w:rsidRPr="00D20324">
        <w:rPr>
          <w:rFonts w:cs="Times New Roman"/>
        </w:rPr>
        <w:t>note the similarity with John 7:</w:t>
      </w:r>
      <w:r w:rsidRPr="00D20324">
        <w:rPr>
          <w:rFonts w:cs="Times New Roman"/>
        </w:rPr>
        <w:t>15, which portrays “the Jews” as responding to Jesus with the question “How does this man know letters</w:t>
      </w:r>
      <w:r w:rsidR="00E37555" w:rsidRPr="00D20324">
        <w:rPr>
          <w:rFonts w:cs="Times New Roman"/>
        </w:rPr>
        <w:t xml:space="preserve"> (</w:t>
      </w:r>
      <w:r w:rsidR="009E0558" w:rsidRPr="00D20324">
        <w:rPr>
          <w:rFonts w:ascii="SBL Greek" w:hAnsi="SBL Greek" w:cs="Times New Roman"/>
          <w:lang w:val="el-GR"/>
        </w:rPr>
        <w:t>γράμματα</w:t>
      </w:r>
      <w:r w:rsidR="009E0558" w:rsidRPr="00D20324">
        <w:rPr>
          <w:rFonts w:ascii="SBL Greek" w:hAnsi="SBL Greek" w:cs="Times New Roman"/>
        </w:rPr>
        <w:t xml:space="preserve"> </w:t>
      </w:r>
      <w:r w:rsidR="009E0558" w:rsidRPr="00D20324">
        <w:rPr>
          <w:rFonts w:ascii="SBL Greek" w:hAnsi="SBL Greek" w:cs="Times New Roman"/>
          <w:lang w:val="el-GR"/>
        </w:rPr>
        <w:t>οἶδεν</w:t>
      </w:r>
      <w:r w:rsidR="00E37555" w:rsidRPr="00D20324">
        <w:rPr>
          <w:rFonts w:cs="Times New Roman"/>
        </w:rPr>
        <w:t>)</w:t>
      </w:r>
      <w:r w:rsidRPr="00D20324">
        <w:rPr>
          <w:rFonts w:cs="Times New Roman"/>
        </w:rPr>
        <w:t xml:space="preserve"> when he has never been taught?”</w:t>
      </w:r>
      <w:r w:rsidRPr="00D20324">
        <w:rPr>
          <w:rStyle w:val="FootnoteReference"/>
          <w:rFonts w:cs="Times New Roman"/>
        </w:rPr>
        <w:footnoteReference w:id="27"/>
      </w:r>
      <w:r w:rsidRPr="00D20324">
        <w:rPr>
          <w:rFonts w:cs="Times New Roman"/>
        </w:rPr>
        <w:t xml:space="preserve">  This comparison is correct because, in both cases, it is the combination of assumed la</w:t>
      </w:r>
      <w:r w:rsidR="00E37555" w:rsidRPr="00D20324">
        <w:rPr>
          <w:rFonts w:cs="Times New Roman"/>
        </w:rPr>
        <w:t>ck of scribal-literate education</w:t>
      </w:r>
      <w:r w:rsidRPr="00D20324">
        <w:rPr>
          <w:rFonts w:cs="Times New Roman"/>
        </w:rPr>
        <w:t xml:space="preserve"> with oral teaching that is indicative of scribal literacy that prompts the response of astonishment among the Jewish leadership</w:t>
      </w:r>
      <w:r w:rsidR="00D31BEB" w:rsidRPr="00D20324">
        <w:rPr>
          <w:rFonts w:cs="Times New Roman"/>
        </w:rPr>
        <w:t>.</w:t>
      </w:r>
      <w:r w:rsidR="00F64254" w:rsidRPr="00D20324">
        <w:rPr>
          <w:rStyle w:val="FootnoteReference"/>
          <w:rFonts w:cs="Times New Roman"/>
        </w:rPr>
        <w:footnoteReference w:id="28"/>
      </w:r>
      <w:r w:rsidR="00E37555" w:rsidRPr="00D20324">
        <w:rPr>
          <w:rFonts w:cs="Times New Roman"/>
        </w:rPr>
        <w:t xml:space="preserve"> </w:t>
      </w:r>
      <w:r w:rsidR="00D31BEB" w:rsidRPr="00D20324">
        <w:rPr>
          <w:rFonts w:cs="Times New Roman"/>
        </w:rPr>
        <w:t xml:space="preserve"> </w:t>
      </w:r>
      <w:r w:rsidR="00E37555" w:rsidRPr="00D20324">
        <w:rPr>
          <w:rFonts w:cs="Times New Roman"/>
        </w:rPr>
        <w:t>(</w:t>
      </w:r>
      <w:r w:rsidR="00D31BEB" w:rsidRPr="00D20324">
        <w:rPr>
          <w:rFonts w:cs="Times New Roman"/>
        </w:rPr>
        <w:t>John even uses</w:t>
      </w:r>
      <w:r w:rsidR="00E37555" w:rsidRPr="00D20324">
        <w:rPr>
          <w:rFonts w:cs="Times New Roman"/>
        </w:rPr>
        <w:t xml:space="preserve"> </w:t>
      </w:r>
      <w:r w:rsidR="009E0558" w:rsidRPr="00D20324">
        <w:rPr>
          <w:rFonts w:ascii="SBL Greek" w:hAnsi="SBL Greek" w:cs="Times New Roman"/>
          <w:lang w:val="el-GR"/>
        </w:rPr>
        <w:t>θαυμάζω</w:t>
      </w:r>
      <w:r w:rsidR="003F5373" w:rsidRPr="00D20324">
        <w:rPr>
          <w:rFonts w:asciiTheme="majorBidi" w:hAnsiTheme="majorBidi" w:cstheme="majorBidi"/>
        </w:rPr>
        <w:t xml:space="preserve">, </w:t>
      </w:r>
      <w:r w:rsidR="00E37555" w:rsidRPr="00D20324">
        <w:rPr>
          <w:rFonts w:asciiTheme="majorBidi" w:hAnsiTheme="majorBidi" w:cstheme="majorBidi"/>
        </w:rPr>
        <w:t>as does Luke</w:t>
      </w:r>
      <w:r w:rsidR="00DC1A26" w:rsidRPr="00D20324">
        <w:rPr>
          <w:rFonts w:asciiTheme="majorBidi" w:hAnsiTheme="majorBidi" w:cstheme="majorBidi"/>
        </w:rPr>
        <w:t>.</w:t>
      </w:r>
      <w:r w:rsidR="00E37555" w:rsidRPr="00D20324">
        <w:rPr>
          <w:rFonts w:asciiTheme="majorBidi" w:hAnsiTheme="majorBidi" w:cstheme="majorBidi"/>
        </w:rPr>
        <w:t>)</w:t>
      </w:r>
      <w:r w:rsidR="00BB02AB" w:rsidRPr="00D20324">
        <w:rPr>
          <w:rFonts w:cs="Times New Roman"/>
        </w:rPr>
        <w:t xml:space="preserve">  </w:t>
      </w:r>
      <w:r w:rsidR="004970E8" w:rsidRPr="00D20324">
        <w:rPr>
          <w:rFonts w:cs="Times New Roman"/>
        </w:rPr>
        <w:t>In addition to John 7:15, and e</w:t>
      </w:r>
      <w:r w:rsidR="008F2E2E" w:rsidRPr="00D20324">
        <w:rPr>
          <w:rFonts w:cs="Times New Roman"/>
        </w:rPr>
        <w:t xml:space="preserve">specially intriguing </w:t>
      </w:r>
      <w:r w:rsidR="004970E8" w:rsidRPr="00D20324">
        <w:rPr>
          <w:rFonts w:cs="Times New Roman"/>
        </w:rPr>
        <w:t xml:space="preserve">for the current topic, </w:t>
      </w:r>
      <w:r w:rsidR="003F5373" w:rsidRPr="00D20324">
        <w:rPr>
          <w:rFonts w:cs="Times New Roman"/>
        </w:rPr>
        <w:t>are Bruce’s and Longenecker’s appeals</w:t>
      </w:r>
      <w:r w:rsidR="004970E8" w:rsidRPr="00D20324">
        <w:rPr>
          <w:rFonts w:cs="Times New Roman"/>
        </w:rPr>
        <w:t xml:space="preserve"> to Mark 1:22 while discussing the Jesus of Acts 4:13</w:t>
      </w:r>
      <w:r w:rsidR="003F5373" w:rsidRPr="00D20324">
        <w:rPr>
          <w:rFonts w:cs="Times New Roman"/>
        </w:rPr>
        <w:t>b</w:t>
      </w:r>
      <w:r w:rsidR="004970E8" w:rsidRPr="00D20324">
        <w:rPr>
          <w:rFonts w:cs="Times New Roman"/>
        </w:rPr>
        <w:t>.</w:t>
      </w:r>
      <w:r w:rsidR="00D7436B" w:rsidRPr="00D20324">
        <w:rPr>
          <w:rStyle w:val="FootnoteReference"/>
          <w:rFonts w:cs="Times New Roman"/>
        </w:rPr>
        <w:footnoteReference w:id="29"/>
      </w:r>
      <w:r w:rsidR="004612C4" w:rsidRPr="00D20324">
        <w:rPr>
          <w:rFonts w:cs="Times New Roman"/>
        </w:rPr>
        <w:t xml:space="preserve">  These appeals to Mark 1:22 are intriguing for at least two reasons.  First, </w:t>
      </w:r>
      <w:r w:rsidR="008F2E2E" w:rsidRPr="00D20324">
        <w:rPr>
          <w:rFonts w:cs="Times New Roman"/>
        </w:rPr>
        <w:t>Luke knows and repeats Mark 1:22 in Luke 4:32</w:t>
      </w:r>
      <w:r w:rsidR="004612C4" w:rsidRPr="00D20324">
        <w:rPr>
          <w:rFonts w:cs="Times New Roman"/>
        </w:rPr>
        <w:t xml:space="preserve">, but with an important modification that may reveal why these scholars appeal to Mark 1:22 instead of Luke 4:32 </w:t>
      </w:r>
      <w:r w:rsidR="008F2E2E" w:rsidRPr="00D20324">
        <w:rPr>
          <w:rFonts w:cs="Times New Roman"/>
        </w:rPr>
        <w:t>(see further below).</w:t>
      </w:r>
      <w:r w:rsidR="004612C4" w:rsidRPr="00D20324">
        <w:rPr>
          <w:rFonts w:cs="Times New Roman"/>
        </w:rPr>
        <w:t xml:space="preserve">  Second, and strongly related, </w:t>
      </w:r>
      <w:r w:rsidR="008F2E2E" w:rsidRPr="00D20324">
        <w:rPr>
          <w:rFonts w:cs="Times New Roman"/>
          <w:i/>
          <w:iCs/>
        </w:rPr>
        <w:t xml:space="preserve">pace </w:t>
      </w:r>
      <w:r w:rsidR="008F2E2E" w:rsidRPr="00D20324">
        <w:rPr>
          <w:rFonts w:cs="Times New Roman"/>
        </w:rPr>
        <w:t>Longenecker</w:t>
      </w:r>
      <w:r w:rsidR="00575E29" w:rsidRPr="00D20324">
        <w:rPr>
          <w:rFonts w:cs="Times New Roman"/>
        </w:rPr>
        <w:t xml:space="preserve"> and Larkin, </w:t>
      </w:r>
      <w:r w:rsidR="008F2E2E" w:rsidRPr="00D20324">
        <w:rPr>
          <w:rFonts w:cs="Times New Roman"/>
        </w:rPr>
        <w:t xml:space="preserve">Luke’s Jesus does not lack </w:t>
      </w:r>
      <w:r w:rsidR="00575E29" w:rsidRPr="00D20324">
        <w:rPr>
          <w:rFonts w:cs="Times New Roman"/>
        </w:rPr>
        <w:t xml:space="preserve">a </w:t>
      </w:r>
      <w:r w:rsidR="008F2E2E" w:rsidRPr="00D20324">
        <w:rPr>
          <w:rFonts w:cs="Times New Roman"/>
        </w:rPr>
        <w:t xml:space="preserve">scribal-literate </w:t>
      </w:r>
      <w:r w:rsidR="00575E29" w:rsidRPr="00D20324">
        <w:rPr>
          <w:rFonts w:cs="Times New Roman"/>
        </w:rPr>
        <w:t>background or scribal-literate credentials.</w:t>
      </w:r>
      <w:r w:rsidR="00D7436B" w:rsidRPr="00D20324">
        <w:rPr>
          <w:rFonts w:cs="Times New Roman"/>
        </w:rPr>
        <w:t xml:space="preserve">  Stated otherwise</w:t>
      </w:r>
      <w:r w:rsidR="008F2E2E" w:rsidRPr="00D20324">
        <w:rPr>
          <w:rFonts w:cs="Times New Roman"/>
        </w:rPr>
        <w:t xml:space="preserve">, scholars must go outside </w:t>
      </w:r>
      <w:r w:rsidR="00847AD9" w:rsidRPr="00D20324">
        <w:rPr>
          <w:rFonts w:cs="Times New Roman"/>
        </w:rPr>
        <w:t>Luke-Acts</w:t>
      </w:r>
      <w:r w:rsidR="008F2E2E" w:rsidRPr="00D20324">
        <w:rPr>
          <w:rFonts w:cs="Times New Roman"/>
        </w:rPr>
        <w:t xml:space="preserve"> to find examples of the non-scribal Jesus on display in Acts 4:13</w:t>
      </w:r>
      <w:r w:rsidR="003F5373" w:rsidRPr="00D20324">
        <w:rPr>
          <w:rFonts w:cs="Times New Roman"/>
        </w:rPr>
        <w:t>b</w:t>
      </w:r>
      <w:r w:rsidR="008F2E2E" w:rsidRPr="00D20324">
        <w:rPr>
          <w:rFonts w:cs="Times New Roman"/>
        </w:rPr>
        <w:t xml:space="preserve"> because he otherwise does not exist in Luke-Acts.  </w:t>
      </w:r>
    </w:p>
    <w:p w:rsidR="0021425A" w:rsidRPr="00D20324" w:rsidRDefault="0021425A" w:rsidP="000D0D59">
      <w:pPr>
        <w:pStyle w:val="ListParagraph"/>
        <w:numPr>
          <w:ilvl w:val="0"/>
          <w:numId w:val="1"/>
        </w:numPr>
        <w:spacing w:line="480" w:lineRule="auto"/>
        <w:jc w:val="center"/>
        <w:rPr>
          <w:i/>
        </w:rPr>
      </w:pPr>
      <w:r w:rsidRPr="00D20324">
        <w:rPr>
          <w:i/>
        </w:rPr>
        <w:t>The Oddity of Jesus in Acts 4:13</w:t>
      </w:r>
      <w:r w:rsidR="008F2E2E" w:rsidRPr="00D20324">
        <w:rPr>
          <w:i/>
        </w:rPr>
        <w:t xml:space="preserve"> in Light of Luke’s </w:t>
      </w:r>
      <w:r w:rsidR="004970E8" w:rsidRPr="00D20324">
        <w:rPr>
          <w:i/>
        </w:rPr>
        <w:t>Image of Jesus</w:t>
      </w:r>
    </w:p>
    <w:p w:rsidR="00280118" w:rsidRPr="00D20324" w:rsidRDefault="00D7436B" w:rsidP="00847AD9">
      <w:pPr>
        <w:spacing w:line="480" w:lineRule="auto"/>
        <w:rPr>
          <w:rFonts w:cs="Times New Roman"/>
        </w:rPr>
      </w:pPr>
      <w:r w:rsidRPr="00D20324">
        <w:rPr>
          <w:rFonts w:cs="Times New Roman"/>
        </w:rPr>
        <w:t>More accurately, s</w:t>
      </w:r>
      <w:r w:rsidR="00FD48FE" w:rsidRPr="00D20324">
        <w:rPr>
          <w:rFonts w:cs="Times New Roman"/>
        </w:rPr>
        <w:t xml:space="preserve">cholars must go outside </w:t>
      </w:r>
      <w:r w:rsidR="00847AD9" w:rsidRPr="00D20324">
        <w:rPr>
          <w:rFonts w:cs="Times New Roman"/>
        </w:rPr>
        <w:t>Luke-Acts</w:t>
      </w:r>
      <w:r w:rsidR="00FD48FE" w:rsidRPr="00D20324">
        <w:rPr>
          <w:rFonts w:cs="Times New Roman"/>
        </w:rPr>
        <w:t xml:space="preserve"> to illustrate further the Jesus of Acts 4:13</w:t>
      </w:r>
      <w:r w:rsidR="003F5373" w:rsidRPr="00D20324">
        <w:rPr>
          <w:rFonts w:cs="Times New Roman"/>
        </w:rPr>
        <w:t>b</w:t>
      </w:r>
      <w:r w:rsidR="00FD48FE" w:rsidRPr="00D20324">
        <w:rPr>
          <w:rFonts w:cs="Times New Roman"/>
        </w:rPr>
        <w:t xml:space="preserve"> because Luke has otherwise </w:t>
      </w:r>
      <w:r w:rsidR="00B920F7" w:rsidRPr="00D20324">
        <w:rPr>
          <w:rFonts w:cs="Times New Roman"/>
        </w:rPr>
        <w:t xml:space="preserve">purposefully </w:t>
      </w:r>
      <w:r w:rsidR="00FD48FE" w:rsidRPr="00D20324">
        <w:rPr>
          <w:rFonts w:cs="Times New Roman"/>
        </w:rPr>
        <w:t>eliminated the non-scribal Jesus</w:t>
      </w:r>
      <w:r w:rsidR="00817584" w:rsidRPr="00D20324">
        <w:rPr>
          <w:rFonts w:cs="Times New Roman"/>
        </w:rPr>
        <w:t xml:space="preserve"> from </w:t>
      </w:r>
      <w:r w:rsidR="00575E29" w:rsidRPr="00D20324">
        <w:rPr>
          <w:rFonts w:cs="Times New Roman"/>
        </w:rPr>
        <w:t>Mark’s</w:t>
      </w:r>
      <w:r w:rsidR="00817584" w:rsidRPr="00D20324">
        <w:rPr>
          <w:rFonts w:cs="Times New Roman"/>
        </w:rPr>
        <w:t xml:space="preserve"> Gospel</w:t>
      </w:r>
      <w:r w:rsidR="00FD48FE" w:rsidRPr="00D20324">
        <w:rPr>
          <w:rFonts w:cs="Times New Roman"/>
        </w:rPr>
        <w:t xml:space="preserve"> </w:t>
      </w:r>
      <w:r w:rsidR="00280118" w:rsidRPr="00D20324">
        <w:rPr>
          <w:rFonts w:cs="Times New Roman"/>
        </w:rPr>
        <w:t>and replaced him with a Jesus who is a scribal-literate Scripture authority.  This sustained Lukan interpretive agenda</w:t>
      </w:r>
      <w:r w:rsidR="00D61F80" w:rsidRPr="00D20324">
        <w:rPr>
          <w:rFonts w:cs="Times New Roman"/>
        </w:rPr>
        <w:t>, which I will demonstrate below,</w:t>
      </w:r>
      <w:r w:rsidR="00280118" w:rsidRPr="00D20324">
        <w:rPr>
          <w:rFonts w:cs="Times New Roman"/>
        </w:rPr>
        <w:t xml:space="preserve"> renders the appearance of a Jesus strongly associated with the non-scribal class in Acts 4:13</w:t>
      </w:r>
      <w:r w:rsidR="003F5373" w:rsidRPr="00D20324">
        <w:rPr>
          <w:rFonts w:cs="Times New Roman"/>
        </w:rPr>
        <w:t>b</w:t>
      </w:r>
      <w:r w:rsidR="00280118" w:rsidRPr="00D20324">
        <w:rPr>
          <w:rFonts w:cs="Times New Roman"/>
        </w:rPr>
        <w:t xml:space="preserve"> an oddity in Luke-Acts </w:t>
      </w:r>
      <w:r w:rsidR="00E65789" w:rsidRPr="00D20324">
        <w:rPr>
          <w:rFonts w:cs="Times New Roman"/>
        </w:rPr>
        <w:t>in one of two possible ways</w:t>
      </w:r>
      <w:r w:rsidR="00172E7C" w:rsidRPr="00D20324">
        <w:rPr>
          <w:rFonts w:cs="Times New Roman"/>
        </w:rPr>
        <w:t>, as aforementioned</w:t>
      </w:r>
      <w:r w:rsidR="00280118" w:rsidRPr="00D20324">
        <w:rPr>
          <w:rFonts w:cs="Times New Roman"/>
        </w:rPr>
        <w:t xml:space="preserve">.  First, </w:t>
      </w:r>
      <w:r w:rsidR="00E65789" w:rsidRPr="00D20324">
        <w:rPr>
          <w:rFonts w:cs="Times New Roman"/>
        </w:rPr>
        <w:t>if Luke intends to indicate that Jesus</w:t>
      </w:r>
      <w:r w:rsidR="00575E29" w:rsidRPr="00D20324">
        <w:rPr>
          <w:rFonts w:cs="Times New Roman"/>
        </w:rPr>
        <w:t xml:space="preserve"> himself was</w:t>
      </w:r>
      <w:r w:rsidR="00E65789" w:rsidRPr="00D20324">
        <w:rPr>
          <w:rFonts w:cs="Times New Roman"/>
        </w:rPr>
        <w:t xml:space="preserve">, like Peter and John, illiterate and unlearned, </w:t>
      </w:r>
      <w:r w:rsidR="00280118" w:rsidRPr="00D20324">
        <w:rPr>
          <w:rFonts w:cs="Times New Roman"/>
        </w:rPr>
        <w:t>the Jesus of Acts 4:13</w:t>
      </w:r>
      <w:r w:rsidR="003F5373" w:rsidRPr="00D20324">
        <w:rPr>
          <w:rFonts w:cs="Times New Roman"/>
        </w:rPr>
        <w:t>b</w:t>
      </w:r>
      <w:r w:rsidR="00280118" w:rsidRPr="00D20324">
        <w:rPr>
          <w:rFonts w:cs="Times New Roman"/>
        </w:rPr>
        <w:t xml:space="preserve"> may be a</w:t>
      </w:r>
      <w:r w:rsidR="00E65789" w:rsidRPr="00D20324">
        <w:rPr>
          <w:rFonts w:cs="Times New Roman"/>
        </w:rPr>
        <w:t xml:space="preserve"> Lukan</w:t>
      </w:r>
      <w:r w:rsidR="00280118" w:rsidRPr="00D20324">
        <w:rPr>
          <w:rFonts w:cs="Times New Roman"/>
        </w:rPr>
        <w:t xml:space="preserve"> ca</w:t>
      </w:r>
      <w:r w:rsidR="00E65789" w:rsidRPr="00D20324">
        <w:rPr>
          <w:rFonts w:cs="Times New Roman"/>
        </w:rPr>
        <w:t>meo of the Markan Jesus, whereby</w:t>
      </w:r>
      <w:r w:rsidR="00280118" w:rsidRPr="00D20324">
        <w:rPr>
          <w:rFonts w:cs="Times New Roman"/>
        </w:rPr>
        <w:t xml:space="preserve"> Luke </w:t>
      </w:r>
      <w:r w:rsidR="00E65789" w:rsidRPr="00D20324">
        <w:rPr>
          <w:rFonts w:cs="Times New Roman"/>
        </w:rPr>
        <w:t xml:space="preserve">has </w:t>
      </w:r>
      <w:r w:rsidR="00280118" w:rsidRPr="00D20324">
        <w:rPr>
          <w:rFonts w:cs="Times New Roman"/>
        </w:rPr>
        <w:t>fail</w:t>
      </w:r>
      <w:r w:rsidR="00E65789" w:rsidRPr="00D20324">
        <w:rPr>
          <w:rFonts w:cs="Times New Roman"/>
        </w:rPr>
        <w:t>ed</w:t>
      </w:r>
      <w:r w:rsidR="00280118" w:rsidRPr="00D20324">
        <w:rPr>
          <w:rFonts w:cs="Times New Roman"/>
        </w:rPr>
        <w:t xml:space="preserve"> to </w:t>
      </w:r>
      <w:r w:rsidR="00E65789" w:rsidRPr="00D20324">
        <w:rPr>
          <w:rFonts w:cs="Times New Roman"/>
        </w:rPr>
        <w:t xml:space="preserve">redact </w:t>
      </w:r>
      <w:r w:rsidR="001C31AE" w:rsidRPr="00D20324">
        <w:rPr>
          <w:rFonts w:cs="Times New Roman"/>
        </w:rPr>
        <w:t xml:space="preserve">Mark’s </w:t>
      </w:r>
      <w:r w:rsidR="00E65789" w:rsidRPr="00D20324">
        <w:rPr>
          <w:rFonts w:cs="Times New Roman"/>
        </w:rPr>
        <w:t xml:space="preserve">Jesus in a manner that he otherwise redacts him in the Gospel of Luke.  Second, even </w:t>
      </w:r>
      <w:r w:rsidR="00E12383" w:rsidRPr="00D20324">
        <w:rPr>
          <w:rFonts w:cs="Times New Roman"/>
        </w:rPr>
        <w:t>if Luke intends to indicate only that Peter and John were illiterate and unlearned, with no comment upon Jesus</w:t>
      </w:r>
      <w:r w:rsidR="00E65789" w:rsidRPr="00D20324">
        <w:rPr>
          <w:rFonts w:cs="Times New Roman"/>
        </w:rPr>
        <w:t xml:space="preserve">, both </w:t>
      </w:r>
      <w:r w:rsidR="00280118" w:rsidRPr="00D20324">
        <w:rPr>
          <w:rFonts w:cs="Times New Roman"/>
        </w:rPr>
        <w:t>his sustained re-categorization of Jesus in the Gospel</w:t>
      </w:r>
      <w:r w:rsidR="003F5373" w:rsidRPr="00D20324">
        <w:rPr>
          <w:rFonts w:cs="Times New Roman"/>
        </w:rPr>
        <w:t xml:space="preserve"> of Luke</w:t>
      </w:r>
      <w:r w:rsidR="00280118" w:rsidRPr="00D20324">
        <w:rPr>
          <w:rFonts w:cs="Times New Roman"/>
        </w:rPr>
        <w:t xml:space="preserve"> and </w:t>
      </w:r>
      <w:r w:rsidR="00E12383" w:rsidRPr="00D20324">
        <w:rPr>
          <w:rFonts w:cs="Times New Roman"/>
        </w:rPr>
        <w:t>his comments in A</w:t>
      </w:r>
      <w:r w:rsidR="00280118" w:rsidRPr="00D20324">
        <w:rPr>
          <w:rFonts w:cs="Times New Roman"/>
        </w:rPr>
        <w:t>cts 4:13</w:t>
      </w:r>
      <w:r w:rsidR="003F5373" w:rsidRPr="00D20324">
        <w:rPr>
          <w:rFonts w:cs="Times New Roman"/>
        </w:rPr>
        <w:t>b</w:t>
      </w:r>
      <w:r w:rsidR="00172E7C" w:rsidRPr="00D20324">
        <w:rPr>
          <w:rFonts w:cs="Times New Roman"/>
        </w:rPr>
        <w:t xml:space="preserve"> illustrate his</w:t>
      </w:r>
      <w:r w:rsidR="00280118" w:rsidRPr="00D20324">
        <w:rPr>
          <w:rFonts w:cs="Times New Roman"/>
        </w:rPr>
        <w:t xml:space="preserve"> unwillingness to apply to Jesus</w:t>
      </w:r>
      <w:r w:rsidR="00DB0282" w:rsidRPr="00D20324">
        <w:rPr>
          <w:rFonts w:cs="Times New Roman"/>
        </w:rPr>
        <w:t xml:space="preserve"> a particular apologetic function of the Spirit</w:t>
      </w:r>
      <w:r w:rsidR="00280118" w:rsidRPr="00D20324">
        <w:rPr>
          <w:rFonts w:cs="Times New Roman"/>
        </w:rPr>
        <w:t xml:space="preserve"> </w:t>
      </w:r>
      <w:r w:rsidR="003F5373" w:rsidRPr="00D20324">
        <w:rPr>
          <w:rFonts w:cs="Times New Roman"/>
        </w:rPr>
        <w:t xml:space="preserve">that he </w:t>
      </w:r>
      <w:r w:rsidR="00280118" w:rsidRPr="00D20324">
        <w:rPr>
          <w:rFonts w:cs="Times New Roman"/>
        </w:rPr>
        <w:t>applies</w:t>
      </w:r>
      <w:r w:rsidR="003F5373" w:rsidRPr="00D20324">
        <w:rPr>
          <w:rFonts w:cs="Times New Roman"/>
        </w:rPr>
        <w:t xml:space="preserve"> to</w:t>
      </w:r>
      <w:r w:rsidR="00E12383" w:rsidRPr="00D20324">
        <w:rPr>
          <w:rFonts w:cs="Times New Roman"/>
        </w:rPr>
        <w:t xml:space="preserve"> Peter</w:t>
      </w:r>
      <w:r w:rsidR="00280118" w:rsidRPr="00D20324">
        <w:rPr>
          <w:rFonts w:cs="Times New Roman"/>
        </w:rPr>
        <w:t xml:space="preserve"> in Acts 4:8.  E</w:t>
      </w:r>
      <w:r w:rsidRPr="00D20324">
        <w:rPr>
          <w:rFonts w:cs="Times New Roman"/>
        </w:rPr>
        <w:t xml:space="preserve">ither of these </w:t>
      </w:r>
      <w:r w:rsidR="0069102F" w:rsidRPr="00D20324">
        <w:rPr>
          <w:rFonts w:cs="Times New Roman"/>
        </w:rPr>
        <w:t xml:space="preserve">two </w:t>
      </w:r>
      <w:r w:rsidR="00E65789" w:rsidRPr="00D20324">
        <w:rPr>
          <w:rFonts w:cs="Times New Roman"/>
        </w:rPr>
        <w:t xml:space="preserve">interpretive </w:t>
      </w:r>
      <w:r w:rsidRPr="00D20324">
        <w:rPr>
          <w:rFonts w:cs="Times New Roman"/>
        </w:rPr>
        <w:t>possibilities</w:t>
      </w:r>
      <w:r w:rsidR="00280118" w:rsidRPr="00D20324">
        <w:rPr>
          <w:rFonts w:cs="Times New Roman"/>
        </w:rPr>
        <w:t xml:space="preserve"> raise</w:t>
      </w:r>
      <w:r w:rsidR="003F5373" w:rsidRPr="00D20324">
        <w:rPr>
          <w:rFonts w:cs="Times New Roman"/>
        </w:rPr>
        <w:t>s</w:t>
      </w:r>
      <w:r w:rsidR="00280118" w:rsidRPr="00D20324">
        <w:rPr>
          <w:rFonts w:cs="Times New Roman"/>
        </w:rPr>
        <w:t xml:space="preserve"> the </w:t>
      </w:r>
      <w:r w:rsidR="00E65789" w:rsidRPr="00D20324">
        <w:rPr>
          <w:rFonts w:cs="Times New Roman"/>
        </w:rPr>
        <w:t xml:space="preserve">interesting </w:t>
      </w:r>
      <w:r w:rsidR="00280118" w:rsidRPr="00D20324">
        <w:rPr>
          <w:rFonts w:cs="Times New Roman"/>
        </w:rPr>
        <w:t xml:space="preserve">question of why Luke chose to portray Jesus </w:t>
      </w:r>
      <w:r w:rsidR="00846226" w:rsidRPr="00D20324">
        <w:rPr>
          <w:rFonts w:cs="Times New Roman"/>
        </w:rPr>
        <w:t>vis-à-vis</w:t>
      </w:r>
      <w:r w:rsidR="00280118" w:rsidRPr="00D20324">
        <w:rPr>
          <w:rFonts w:cs="Times New Roman"/>
        </w:rPr>
        <w:t xml:space="preserve"> scribal-literate authority in</w:t>
      </w:r>
      <w:r w:rsidR="00E65789" w:rsidRPr="00D20324">
        <w:rPr>
          <w:rFonts w:cs="Times New Roman"/>
        </w:rPr>
        <w:t xml:space="preserve"> the Gospel of Luke in</w:t>
      </w:r>
      <w:r w:rsidR="00280118" w:rsidRPr="00D20324">
        <w:rPr>
          <w:rFonts w:cs="Times New Roman"/>
        </w:rPr>
        <w:t xml:space="preserve"> the manner that he did.  I consider each</w:t>
      </w:r>
      <w:r w:rsidR="00E12383" w:rsidRPr="00D20324">
        <w:rPr>
          <w:rFonts w:cs="Times New Roman"/>
        </w:rPr>
        <w:t xml:space="preserve"> possibility</w:t>
      </w:r>
      <w:r w:rsidR="00280118" w:rsidRPr="00D20324">
        <w:rPr>
          <w:rFonts w:cs="Times New Roman"/>
        </w:rPr>
        <w:t xml:space="preserve"> i</w:t>
      </w:r>
      <w:r w:rsidRPr="00D20324">
        <w:rPr>
          <w:rFonts w:cs="Times New Roman"/>
        </w:rPr>
        <w:t xml:space="preserve">n turn before offering </w:t>
      </w:r>
      <w:r w:rsidR="00E12383" w:rsidRPr="00D20324">
        <w:rPr>
          <w:rFonts w:cs="Times New Roman"/>
        </w:rPr>
        <w:t xml:space="preserve">a </w:t>
      </w:r>
      <w:r w:rsidR="0069102F" w:rsidRPr="00D20324">
        <w:rPr>
          <w:rFonts w:cs="Times New Roman"/>
        </w:rPr>
        <w:t>possible explanation for this interpretive conundrum</w:t>
      </w:r>
      <w:r w:rsidRPr="00D20324">
        <w:rPr>
          <w:rFonts w:cs="Times New Roman"/>
        </w:rPr>
        <w:t>.</w:t>
      </w:r>
    </w:p>
    <w:p w:rsidR="00280118" w:rsidRPr="00D20324" w:rsidRDefault="00280118" w:rsidP="0069102F">
      <w:pPr>
        <w:spacing w:line="480" w:lineRule="auto"/>
        <w:rPr>
          <w:rFonts w:cs="Times New Roman"/>
        </w:rPr>
      </w:pPr>
      <w:r w:rsidRPr="00D20324">
        <w:rPr>
          <w:rFonts w:cs="Times New Roman"/>
          <w:i/>
          <w:iCs/>
        </w:rPr>
        <w:t>2.1 A Lukan Cameo of the Markan Jesus</w:t>
      </w:r>
      <w:r w:rsidR="007224D2" w:rsidRPr="00D20324">
        <w:rPr>
          <w:rStyle w:val="FootnoteReference"/>
          <w:rFonts w:cs="Times New Roman"/>
        </w:rPr>
        <w:footnoteReference w:id="30"/>
      </w:r>
    </w:p>
    <w:p w:rsidR="00507EA4" w:rsidRPr="00D20324" w:rsidRDefault="00280118" w:rsidP="00847AD9">
      <w:pPr>
        <w:spacing w:line="480" w:lineRule="auto"/>
        <w:rPr>
          <w:rFonts w:cs="Times New Roman"/>
        </w:rPr>
      </w:pPr>
      <w:r w:rsidRPr="00D20324">
        <w:rPr>
          <w:rFonts w:cs="Times New Roman"/>
        </w:rPr>
        <w:tab/>
        <w:t xml:space="preserve">Luke’s re-classification of Jesus from outside the scribal-literate class to inside the scribal-literate class is clear in traditions </w:t>
      </w:r>
      <w:r w:rsidR="00D61F80" w:rsidRPr="00D20324">
        <w:rPr>
          <w:rFonts w:cs="Times New Roman"/>
        </w:rPr>
        <w:t xml:space="preserve">that </w:t>
      </w:r>
      <w:r w:rsidRPr="00D20324">
        <w:rPr>
          <w:rFonts w:cs="Times New Roman"/>
        </w:rPr>
        <w:t xml:space="preserve">he redacts from Mark’s Gospel </w:t>
      </w:r>
      <w:r w:rsidR="00D61F80" w:rsidRPr="00D20324">
        <w:rPr>
          <w:rFonts w:cs="Times New Roman"/>
        </w:rPr>
        <w:t xml:space="preserve">as well as </w:t>
      </w:r>
      <w:r w:rsidRPr="00D20324">
        <w:rPr>
          <w:rFonts w:cs="Times New Roman"/>
        </w:rPr>
        <w:t>traditions that are unique to his Gospel.</w:t>
      </w:r>
      <w:r w:rsidR="00FD48FE" w:rsidRPr="00D20324">
        <w:rPr>
          <w:rStyle w:val="FootnoteReference"/>
          <w:rFonts w:cs="Times New Roman"/>
        </w:rPr>
        <w:footnoteReference w:id="31"/>
      </w:r>
      <w:r w:rsidR="00D61F80" w:rsidRPr="00D20324">
        <w:rPr>
          <w:rFonts w:cs="Times New Roman"/>
        </w:rPr>
        <w:t xml:space="preserve">  </w:t>
      </w:r>
      <w:r w:rsidR="003F5373" w:rsidRPr="00D20324">
        <w:rPr>
          <w:rFonts w:cs="Times New Roman"/>
        </w:rPr>
        <w:t>In the former category of</w:t>
      </w:r>
      <w:r w:rsidR="007224D2" w:rsidRPr="00D20324">
        <w:rPr>
          <w:rFonts w:cs="Times New Roman"/>
        </w:rPr>
        <w:t xml:space="preserve"> texts, </w:t>
      </w:r>
      <w:r w:rsidR="00D84DB5" w:rsidRPr="00D20324">
        <w:rPr>
          <w:rFonts w:cs="Times New Roman"/>
        </w:rPr>
        <w:t xml:space="preserve">each of which deals with Jesus’ status as a synagogue teacher, </w:t>
      </w:r>
      <w:r w:rsidR="007224D2" w:rsidRPr="00D20324">
        <w:rPr>
          <w:rFonts w:cs="Times New Roman"/>
        </w:rPr>
        <w:t xml:space="preserve">Luke either removes Mark’s identifications of Jesus </w:t>
      </w:r>
      <w:r w:rsidR="00D7436B" w:rsidRPr="00D20324">
        <w:rPr>
          <w:rFonts w:cs="Times New Roman"/>
        </w:rPr>
        <w:t xml:space="preserve">as </w:t>
      </w:r>
      <w:r w:rsidR="007224D2" w:rsidRPr="00D20324">
        <w:rPr>
          <w:rFonts w:cs="Times New Roman"/>
        </w:rPr>
        <w:t xml:space="preserve">outside the scribal-literate class or outright attributes to Jesus </w:t>
      </w:r>
      <w:r w:rsidR="00DB0282" w:rsidRPr="00D20324">
        <w:rPr>
          <w:rFonts w:cs="Times New Roman"/>
        </w:rPr>
        <w:t>scribal literacy</w:t>
      </w:r>
      <w:r w:rsidR="007224D2" w:rsidRPr="00D20324">
        <w:rPr>
          <w:rFonts w:cs="Times New Roman"/>
        </w:rPr>
        <w:t>.</w:t>
      </w:r>
      <w:r w:rsidR="00D84DB5" w:rsidRPr="00D20324">
        <w:rPr>
          <w:rFonts w:cs="Times New Roman"/>
        </w:rPr>
        <w:t xml:space="preserve">  </w:t>
      </w:r>
      <w:r w:rsidR="0069102F" w:rsidRPr="00D20324">
        <w:rPr>
          <w:rFonts w:cs="Times New Roman"/>
        </w:rPr>
        <w:t>In the latter category of texts, he enhances the image of Jesus as a scribal-literate te</w:t>
      </w:r>
      <w:r w:rsidR="00847AD9" w:rsidRPr="00D20324">
        <w:rPr>
          <w:rFonts w:cs="Times New Roman"/>
        </w:rPr>
        <w:t>acher</w:t>
      </w:r>
      <w:r w:rsidR="0069102F" w:rsidRPr="00D20324">
        <w:rPr>
          <w:rFonts w:cs="Times New Roman"/>
        </w:rPr>
        <w:t>.</w:t>
      </w:r>
    </w:p>
    <w:p w:rsidR="007224D2" w:rsidRPr="00D20324" w:rsidRDefault="007224D2" w:rsidP="000D0D59">
      <w:pPr>
        <w:spacing w:line="480" w:lineRule="auto"/>
        <w:rPr>
          <w:rFonts w:cs="Times New Roman"/>
        </w:rPr>
      </w:pPr>
      <w:r w:rsidRPr="00D20324">
        <w:rPr>
          <w:rFonts w:cs="Times New Roman"/>
          <w:i/>
          <w:iCs/>
        </w:rPr>
        <w:t>2.1.1 Luke’s Modifications to Markan Tradition</w:t>
      </w:r>
    </w:p>
    <w:p w:rsidR="00F26E67" w:rsidRPr="00D20324" w:rsidRDefault="007224D2" w:rsidP="000716EA">
      <w:pPr>
        <w:spacing w:line="480" w:lineRule="auto"/>
        <w:rPr>
          <w:rFonts w:cs="Times New Roman"/>
        </w:rPr>
      </w:pPr>
      <w:r w:rsidRPr="00D20324">
        <w:rPr>
          <w:rFonts w:cs="Times New Roman"/>
        </w:rPr>
        <w:tab/>
        <w:t xml:space="preserve">Following the order of Mark’s narrative, the first clear example of Luke’s redactional impulses occurs in his usage of Mark 1:22.  In </w:t>
      </w:r>
      <w:r w:rsidR="000716EA" w:rsidRPr="00D20324">
        <w:rPr>
          <w:rFonts w:cs="Times New Roman"/>
        </w:rPr>
        <w:t>Mark 1:22</w:t>
      </w:r>
      <w:r w:rsidRPr="00D20324">
        <w:rPr>
          <w:rFonts w:cs="Times New Roman"/>
        </w:rPr>
        <w:t xml:space="preserve">, Jesus appears in the Capernaum synagogue and the narrator tells </w:t>
      </w:r>
      <w:r w:rsidR="00F26E67" w:rsidRPr="00D20324">
        <w:rPr>
          <w:rFonts w:cs="Times New Roman"/>
        </w:rPr>
        <w:t>readers that he astonished the crowd,</w:t>
      </w:r>
      <w:r w:rsidRPr="00D20324">
        <w:rPr>
          <w:rFonts w:cs="Times New Roman"/>
        </w:rPr>
        <w:t xml:space="preserve"> “</w:t>
      </w:r>
      <w:r w:rsidR="00F26E67" w:rsidRPr="00D20324">
        <w:rPr>
          <w:rFonts w:cs="Times New Roman"/>
        </w:rPr>
        <w:t>f</w:t>
      </w:r>
      <w:r w:rsidRPr="00D20324">
        <w:rPr>
          <w:rFonts w:cs="Times New Roman"/>
        </w:rPr>
        <w:t>or he was teaching them as one who had authority and not like the scribes.”  The narrator here may very well be drawing the reader’s attention to a stylistic difference between teachers who appeal to previous rabbis and Jesus</w:t>
      </w:r>
      <w:r w:rsidR="00172E7C" w:rsidRPr="00D20324">
        <w:rPr>
          <w:rFonts w:cs="Times New Roman"/>
        </w:rPr>
        <w:t>,</w:t>
      </w:r>
      <w:r w:rsidR="00572E6E" w:rsidRPr="00D20324">
        <w:rPr>
          <w:rStyle w:val="FootnoteReference"/>
          <w:rFonts w:cs="Times New Roman"/>
        </w:rPr>
        <w:footnoteReference w:id="32"/>
      </w:r>
      <w:r w:rsidR="00572E6E" w:rsidRPr="00D20324">
        <w:rPr>
          <w:rFonts w:cs="Times New Roman"/>
        </w:rPr>
        <w:t xml:space="preserve"> or even differences of opinion</w:t>
      </w:r>
      <w:r w:rsidR="00F26E67" w:rsidRPr="00D20324">
        <w:rPr>
          <w:rFonts w:cs="Times New Roman"/>
        </w:rPr>
        <w:t xml:space="preserve"> between Jesus and scribes.</w:t>
      </w:r>
      <w:r w:rsidR="00572E6E" w:rsidRPr="00D20324">
        <w:rPr>
          <w:rStyle w:val="FootnoteReference"/>
          <w:rFonts w:cs="Times New Roman"/>
        </w:rPr>
        <w:footnoteReference w:id="33"/>
      </w:r>
      <w:r w:rsidRPr="00D20324">
        <w:rPr>
          <w:rFonts w:cs="Times New Roman"/>
        </w:rPr>
        <w:t xml:space="preserve"> </w:t>
      </w:r>
      <w:r w:rsidR="00F26E67" w:rsidRPr="00D20324">
        <w:rPr>
          <w:rFonts w:cs="Times New Roman"/>
        </w:rPr>
        <w:t xml:space="preserve"> </w:t>
      </w:r>
      <w:r w:rsidR="00172E7C" w:rsidRPr="00D20324">
        <w:rPr>
          <w:rFonts w:cs="Times New Roman"/>
        </w:rPr>
        <w:t>T</w:t>
      </w:r>
      <w:r w:rsidRPr="00D20324">
        <w:rPr>
          <w:rFonts w:cs="Times New Roman"/>
        </w:rPr>
        <w:t>he important point at present</w:t>
      </w:r>
      <w:r w:rsidR="00895570" w:rsidRPr="00D20324">
        <w:rPr>
          <w:rFonts w:cs="Times New Roman"/>
        </w:rPr>
        <w:t xml:space="preserve">, however—which is not mutually exclusive with these other options—is </w:t>
      </w:r>
      <w:r w:rsidR="00172E7C" w:rsidRPr="00D20324">
        <w:rPr>
          <w:rFonts w:cs="Times New Roman"/>
        </w:rPr>
        <w:t xml:space="preserve">the core reality that </w:t>
      </w:r>
      <w:r w:rsidRPr="00D20324">
        <w:rPr>
          <w:rFonts w:cs="Times New Roman"/>
        </w:rPr>
        <w:t xml:space="preserve">the narrator explicitly contrasts Jesus with Jewish teachers who possessed scribal literacy.  Jesus was “not like the scribes,” and this is not the only time that Jesus’ differences with other teachers will elicit </w:t>
      </w:r>
      <w:r w:rsidR="006A7069" w:rsidRPr="00D20324">
        <w:rPr>
          <w:rFonts w:cs="Times New Roman"/>
        </w:rPr>
        <w:t>astonishment</w:t>
      </w:r>
      <w:r w:rsidRPr="00D20324">
        <w:rPr>
          <w:rFonts w:cs="Times New Roman"/>
        </w:rPr>
        <w:t xml:space="preserve"> in a Galilean synagogue in Mark’s Gospel.  </w:t>
      </w:r>
    </w:p>
    <w:p w:rsidR="004972E5" w:rsidRPr="00D20324" w:rsidRDefault="00172E7C" w:rsidP="009E0558">
      <w:pPr>
        <w:spacing w:line="480" w:lineRule="auto"/>
        <w:ind w:firstLine="720"/>
        <w:rPr>
          <w:rFonts w:asciiTheme="majorBidi" w:hAnsiTheme="majorBidi" w:cstheme="majorBidi"/>
        </w:rPr>
      </w:pPr>
      <w:r w:rsidRPr="00D20324">
        <w:rPr>
          <w:rFonts w:cs="Times New Roman"/>
        </w:rPr>
        <w:t>Before getting to that issue</w:t>
      </w:r>
      <w:r w:rsidR="007224D2" w:rsidRPr="00D20324">
        <w:rPr>
          <w:rFonts w:cs="Times New Roman"/>
        </w:rPr>
        <w:t>, however, we must observe that both Matthew and Luke repeat this narratorial explanation for Jesus’ effect as a synagogue teacher.  Matthew moves it outside the synagogue context and after the Sermon on the Mount (Matt 7:</w:t>
      </w:r>
      <w:r w:rsidR="006F6371" w:rsidRPr="00D20324">
        <w:rPr>
          <w:rFonts w:cs="Times New Roman"/>
        </w:rPr>
        <w:t>28–29)</w:t>
      </w:r>
      <w:r w:rsidR="007224D2" w:rsidRPr="00D20324">
        <w:rPr>
          <w:rFonts w:cs="Times New Roman"/>
        </w:rPr>
        <w:t xml:space="preserve"> while Luke leaves it in </w:t>
      </w:r>
      <w:r w:rsidR="006A7069" w:rsidRPr="00D20324">
        <w:rPr>
          <w:rFonts w:cs="Times New Roman"/>
        </w:rPr>
        <w:t>the Capernaum synagogue</w:t>
      </w:r>
      <w:r w:rsidR="00E5082A" w:rsidRPr="00D20324">
        <w:rPr>
          <w:rFonts w:cs="Times New Roman"/>
        </w:rPr>
        <w:t>, but</w:t>
      </w:r>
      <w:r w:rsidR="006A7069" w:rsidRPr="00D20324">
        <w:rPr>
          <w:rFonts w:cs="Times New Roman"/>
        </w:rPr>
        <w:t xml:space="preserve"> places it</w:t>
      </w:r>
      <w:r w:rsidR="00E5082A" w:rsidRPr="00D20324">
        <w:rPr>
          <w:rFonts w:cs="Times New Roman"/>
        </w:rPr>
        <w:t xml:space="preserve"> after Jesus’ trip to Nazareth </w:t>
      </w:r>
      <w:r w:rsidRPr="00D20324">
        <w:rPr>
          <w:rFonts w:cs="Times New Roman"/>
        </w:rPr>
        <w:t xml:space="preserve">(Luke 4:32) </w:t>
      </w:r>
      <w:r w:rsidR="00E5082A" w:rsidRPr="00D20324">
        <w:rPr>
          <w:rFonts w:cs="Times New Roman"/>
        </w:rPr>
        <w:t>rather than before, as in Mark</w:t>
      </w:r>
      <w:r w:rsidR="00765EA5" w:rsidRPr="00D20324">
        <w:rPr>
          <w:rFonts w:cs="Times New Roman"/>
        </w:rPr>
        <w:t xml:space="preserve">.  Each Gospel author uses </w:t>
      </w:r>
      <w:r w:rsidR="009E0558" w:rsidRPr="00D20324">
        <w:rPr>
          <w:rFonts w:ascii="SBL Greek" w:hAnsi="SBL Greek" w:cs="Times New Roman"/>
        </w:rPr>
        <w:t>ἐ</w:t>
      </w:r>
      <w:r w:rsidR="009E0558" w:rsidRPr="00D20324">
        <w:rPr>
          <w:rFonts w:ascii="SBL Greek" w:hAnsi="SBL Greek" w:cs="Times New Roman"/>
          <w:lang w:val="el-GR"/>
        </w:rPr>
        <w:t>κπλήσσω</w:t>
      </w:r>
      <w:r w:rsidR="00765EA5" w:rsidRPr="00D20324">
        <w:rPr>
          <w:rFonts w:asciiTheme="majorBidi" w:hAnsiTheme="majorBidi" w:cstheme="majorBidi"/>
        </w:rPr>
        <w:t xml:space="preserve"> to describe the crowd’s astonishment, </w:t>
      </w:r>
      <w:r w:rsidR="009E0558" w:rsidRPr="00D20324">
        <w:rPr>
          <w:rFonts w:ascii="SBL Greek" w:hAnsi="SBL Greek" w:cstheme="majorBidi"/>
          <w:lang w:val="el-GR"/>
        </w:rPr>
        <w:t>διδαχή</w:t>
      </w:r>
      <w:r w:rsidR="00765EA5" w:rsidRPr="00D20324">
        <w:rPr>
          <w:rFonts w:asciiTheme="majorBidi" w:hAnsiTheme="majorBidi" w:cstheme="majorBidi"/>
        </w:rPr>
        <w:t xml:space="preserve"> for </w:t>
      </w:r>
      <w:r w:rsidR="001C31AE" w:rsidRPr="00D20324">
        <w:rPr>
          <w:rFonts w:asciiTheme="majorBidi" w:hAnsiTheme="majorBidi" w:cstheme="majorBidi"/>
        </w:rPr>
        <w:t>Jesus’</w:t>
      </w:r>
      <w:r w:rsidR="00765EA5" w:rsidRPr="00D20324">
        <w:rPr>
          <w:rFonts w:asciiTheme="majorBidi" w:hAnsiTheme="majorBidi" w:cstheme="majorBidi"/>
        </w:rPr>
        <w:t xml:space="preserve"> “teaching,” and </w:t>
      </w:r>
      <w:r w:rsidR="009E0558" w:rsidRPr="00D20324">
        <w:rPr>
          <w:rFonts w:ascii="SBL Greek" w:hAnsi="SBL Greek" w:cstheme="majorBidi"/>
        </w:rPr>
        <w:t>ἐ</w:t>
      </w:r>
      <w:r w:rsidR="009E0558" w:rsidRPr="00D20324">
        <w:rPr>
          <w:rFonts w:ascii="SBL Greek" w:hAnsi="SBL Greek" w:cstheme="majorBidi"/>
          <w:lang w:val="el-GR"/>
        </w:rPr>
        <w:t>ξουσία</w:t>
      </w:r>
      <w:r w:rsidR="00765EA5" w:rsidRPr="00D20324">
        <w:rPr>
          <w:rFonts w:asciiTheme="majorBidi" w:hAnsiTheme="majorBidi" w:cstheme="majorBidi"/>
        </w:rPr>
        <w:t xml:space="preserve"> for the “authority” that characterize</w:t>
      </w:r>
      <w:r w:rsidR="001C31AE" w:rsidRPr="00D20324">
        <w:rPr>
          <w:rFonts w:asciiTheme="majorBidi" w:hAnsiTheme="majorBidi" w:cstheme="majorBidi"/>
        </w:rPr>
        <w:t>s</w:t>
      </w:r>
      <w:r w:rsidR="00765EA5" w:rsidRPr="00D20324">
        <w:rPr>
          <w:rFonts w:asciiTheme="majorBidi" w:hAnsiTheme="majorBidi" w:cstheme="majorBidi"/>
        </w:rPr>
        <w:t xml:space="preserve"> it.  Luke, however, fails to repeat the claim that Jesus was unlike scribes.</w:t>
      </w:r>
    </w:p>
    <w:p w:rsidR="00765EA5" w:rsidRPr="00D20324" w:rsidRDefault="00765EA5" w:rsidP="009E0558">
      <w:pPr>
        <w:spacing w:line="480" w:lineRule="auto"/>
        <w:ind w:firstLine="720"/>
      </w:pPr>
      <w:r w:rsidRPr="00D20324">
        <w:t>Mark 1:22: “</w:t>
      </w:r>
      <w:r w:rsidR="006F6371" w:rsidRPr="00D20324">
        <w:t>And t</w:t>
      </w:r>
      <w:r w:rsidRPr="00D20324">
        <w:t>hey were astounded (</w:t>
      </w:r>
      <w:r w:rsidR="009E0558" w:rsidRPr="00D20324">
        <w:rPr>
          <w:rFonts w:ascii="SBL Greek" w:hAnsi="SBL Greek"/>
        </w:rPr>
        <w:t>ἐ</w:t>
      </w:r>
      <w:r w:rsidR="009E0558" w:rsidRPr="00D20324">
        <w:rPr>
          <w:rFonts w:ascii="SBL Greek" w:hAnsi="SBL Greek" w:cs="Times New Roman"/>
          <w:lang w:val="el-GR"/>
        </w:rPr>
        <w:t>ξεπλήσσοντο</w:t>
      </w:r>
      <w:r w:rsidRPr="00D20324">
        <w:t>) at his teaching</w:t>
      </w:r>
      <w:r w:rsidR="006F6371" w:rsidRPr="00D20324">
        <w:t xml:space="preserve"> (</w:t>
      </w:r>
      <w:r w:rsidR="009E0558" w:rsidRPr="00D20324">
        <w:rPr>
          <w:rFonts w:ascii="SBL Greek" w:hAnsi="SBL Greek"/>
          <w:lang w:val="el-GR"/>
        </w:rPr>
        <w:t>διδαχῇ</w:t>
      </w:r>
      <w:r w:rsidR="006F6371" w:rsidRPr="00D20324">
        <w:t>)</w:t>
      </w:r>
      <w:r w:rsidRPr="00D20324">
        <w:t>,</w:t>
      </w:r>
    </w:p>
    <w:p w:rsidR="00765EA5" w:rsidRPr="00D20324" w:rsidRDefault="00765EA5" w:rsidP="009E0558">
      <w:pPr>
        <w:pStyle w:val="extract"/>
        <w:ind w:left="1920" w:firstLine="0"/>
        <w:rPr>
          <w:sz w:val="24"/>
          <w:szCs w:val="24"/>
        </w:rPr>
      </w:pPr>
      <w:r w:rsidRPr="00D20324">
        <w:rPr>
          <w:sz w:val="24"/>
          <w:szCs w:val="24"/>
        </w:rPr>
        <w:t>for he</w:t>
      </w:r>
      <w:r w:rsidR="006F6371" w:rsidRPr="00D20324">
        <w:rPr>
          <w:sz w:val="24"/>
          <w:szCs w:val="24"/>
        </w:rPr>
        <w:t xml:space="preserve"> was teaching them a</w:t>
      </w:r>
      <w:r w:rsidRPr="00D20324">
        <w:rPr>
          <w:sz w:val="24"/>
          <w:szCs w:val="24"/>
        </w:rPr>
        <w:t xml:space="preserve">s one </w:t>
      </w:r>
      <w:r w:rsidR="006F6371" w:rsidRPr="00D20324">
        <w:rPr>
          <w:sz w:val="24"/>
          <w:szCs w:val="24"/>
        </w:rPr>
        <w:t xml:space="preserve">who has </w:t>
      </w:r>
      <w:r w:rsidRPr="00D20324">
        <w:rPr>
          <w:sz w:val="24"/>
          <w:szCs w:val="24"/>
        </w:rPr>
        <w:t>authority (</w:t>
      </w:r>
      <w:r w:rsidR="009E0558" w:rsidRPr="00D20324">
        <w:rPr>
          <w:rFonts w:ascii="SBL Greek" w:hAnsi="SBL Greek" w:cstheme="majorBidi"/>
          <w:sz w:val="24"/>
          <w:szCs w:val="24"/>
        </w:rPr>
        <w:t>ἐ</w:t>
      </w:r>
      <w:r w:rsidR="009E0558" w:rsidRPr="00D20324">
        <w:rPr>
          <w:rFonts w:ascii="SBL Greek" w:hAnsi="SBL Greek" w:cstheme="majorBidi"/>
          <w:sz w:val="24"/>
          <w:szCs w:val="24"/>
          <w:lang w:val="el-GR"/>
        </w:rPr>
        <w:t>ξουσίαν</w:t>
      </w:r>
      <w:r w:rsidRPr="00D20324">
        <w:rPr>
          <w:sz w:val="24"/>
          <w:szCs w:val="24"/>
        </w:rPr>
        <w:t>),</w:t>
      </w:r>
    </w:p>
    <w:p w:rsidR="004972E5" w:rsidRPr="00D20324" w:rsidRDefault="00765EA5" w:rsidP="000D0D59">
      <w:pPr>
        <w:pStyle w:val="extract"/>
        <w:ind w:left="1680"/>
        <w:rPr>
          <w:sz w:val="24"/>
          <w:szCs w:val="24"/>
        </w:rPr>
      </w:pPr>
      <w:r w:rsidRPr="00D20324">
        <w:rPr>
          <w:sz w:val="24"/>
          <w:szCs w:val="24"/>
        </w:rPr>
        <w:t>and not as the scribes.”</w:t>
      </w:r>
    </w:p>
    <w:p w:rsidR="00765EA5" w:rsidRPr="00D20324" w:rsidRDefault="00765EA5" w:rsidP="00D20324">
      <w:pPr>
        <w:pStyle w:val="extract"/>
        <w:rPr>
          <w:sz w:val="24"/>
          <w:szCs w:val="24"/>
        </w:rPr>
      </w:pPr>
      <w:r w:rsidRPr="00D20324">
        <w:rPr>
          <w:sz w:val="24"/>
          <w:szCs w:val="24"/>
        </w:rPr>
        <w:t>Matt. 7:28–29: “The crowds were astounded (</w:t>
      </w:r>
      <w:r w:rsidR="009E0558" w:rsidRPr="00D20324">
        <w:rPr>
          <w:rFonts w:ascii="SBL Greek" w:hAnsi="SBL Greek"/>
          <w:sz w:val="24"/>
          <w:szCs w:val="24"/>
        </w:rPr>
        <w:t>ἐ</w:t>
      </w:r>
      <w:r w:rsidR="009E0558" w:rsidRPr="00D20324">
        <w:rPr>
          <w:rFonts w:ascii="SBL Greek" w:hAnsi="SBL Greek"/>
          <w:sz w:val="24"/>
          <w:szCs w:val="24"/>
          <w:lang w:val="el-GR"/>
        </w:rPr>
        <w:t>ξεπλήσσοντο</w:t>
      </w:r>
      <w:r w:rsidRPr="00D20324">
        <w:rPr>
          <w:sz w:val="24"/>
          <w:szCs w:val="24"/>
        </w:rPr>
        <w:t>) at his teaching</w:t>
      </w:r>
      <w:r w:rsidR="006F6371" w:rsidRPr="00D20324">
        <w:rPr>
          <w:sz w:val="24"/>
          <w:szCs w:val="24"/>
        </w:rPr>
        <w:t xml:space="preserve"> (</w:t>
      </w:r>
      <w:r w:rsidR="00D20324" w:rsidRPr="00D20324">
        <w:rPr>
          <w:rFonts w:ascii="SBL Greek" w:hAnsi="SBL Greek"/>
          <w:sz w:val="24"/>
          <w:szCs w:val="24"/>
          <w:lang w:val="el-GR"/>
        </w:rPr>
        <w:t>διδαχῇ</w:t>
      </w:r>
      <w:r w:rsidR="00D20324" w:rsidRPr="00D20324">
        <w:rPr>
          <w:rFonts w:asciiTheme="majorBidi" w:hAnsiTheme="majorBidi" w:cstheme="majorBidi"/>
          <w:sz w:val="24"/>
          <w:szCs w:val="24"/>
          <w:lang w:val="en-GB"/>
        </w:rPr>
        <w:t>)</w:t>
      </w:r>
      <w:r w:rsidRPr="00D20324">
        <w:rPr>
          <w:sz w:val="24"/>
          <w:szCs w:val="24"/>
        </w:rPr>
        <w:t>,</w:t>
      </w:r>
    </w:p>
    <w:p w:rsidR="00765EA5" w:rsidRPr="00D20324" w:rsidRDefault="00765EA5" w:rsidP="009E0558">
      <w:pPr>
        <w:pStyle w:val="extract"/>
        <w:ind w:left="1920" w:firstLine="0"/>
        <w:rPr>
          <w:sz w:val="24"/>
          <w:szCs w:val="24"/>
        </w:rPr>
      </w:pPr>
      <w:r w:rsidRPr="00D20324">
        <w:rPr>
          <w:sz w:val="24"/>
          <w:szCs w:val="24"/>
        </w:rPr>
        <w:t xml:space="preserve">for he </w:t>
      </w:r>
      <w:r w:rsidR="006F6371" w:rsidRPr="00D20324">
        <w:rPr>
          <w:sz w:val="24"/>
          <w:szCs w:val="24"/>
        </w:rPr>
        <w:t>was teaching</w:t>
      </w:r>
      <w:r w:rsidRPr="00D20324">
        <w:rPr>
          <w:sz w:val="24"/>
          <w:szCs w:val="24"/>
        </w:rPr>
        <w:t xml:space="preserve"> them as one </w:t>
      </w:r>
      <w:r w:rsidR="006F6371" w:rsidRPr="00D20324">
        <w:rPr>
          <w:sz w:val="24"/>
          <w:szCs w:val="24"/>
        </w:rPr>
        <w:t>who has</w:t>
      </w:r>
      <w:r w:rsidRPr="00D20324">
        <w:rPr>
          <w:sz w:val="24"/>
          <w:szCs w:val="24"/>
        </w:rPr>
        <w:t xml:space="preserve"> authority (</w:t>
      </w:r>
      <w:r w:rsidR="009E0558" w:rsidRPr="00D20324">
        <w:rPr>
          <w:rFonts w:ascii="SBL Greek" w:hAnsi="SBL Greek" w:cstheme="majorBidi"/>
          <w:sz w:val="24"/>
          <w:szCs w:val="24"/>
        </w:rPr>
        <w:t>ἐ</w:t>
      </w:r>
      <w:r w:rsidR="009E0558" w:rsidRPr="00D20324">
        <w:rPr>
          <w:rFonts w:ascii="SBL Greek" w:hAnsi="SBL Greek" w:cstheme="majorBidi"/>
          <w:sz w:val="24"/>
          <w:szCs w:val="24"/>
          <w:lang w:val="el-GR"/>
        </w:rPr>
        <w:t>ξουσίαν</w:t>
      </w:r>
      <w:r w:rsidRPr="00D20324">
        <w:rPr>
          <w:sz w:val="24"/>
          <w:szCs w:val="24"/>
        </w:rPr>
        <w:t>),</w:t>
      </w:r>
    </w:p>
    <w:p w:rsidR="004972E5" w:rsidRPr="00D20324" w:rsidRDefault="00765EA5" w:rsidP="000D0D59">
      <w:pPr>
        <w:pStyle w:val="extract"/>
        <w:ind w:left="1680"/>
        <w:rPr>
          <w:sz w:val="24"/>
          <w:szCs w:val="24"/>
        </w:rPr>
      </w:pPr>
      <w:r w:rsidRPr="00D20324">
        <w:rPr>
          <w:sz w:val="24"/>
          <w:szCs w:val="24"/>
        </w:rPr>
        <w:t>and not as their scribes.”</w:t>
      </w:r>
    </w:p>
    <w:p w:rsidR="00765EA5" w:rsidRPr="00D20324" w:rsidRDefault="00765EA5" w:rsidP="009E0558">
      <w:pPr>
        <w:pStyle w:val="extract"/>
        <w:rPr>
          <w:sz w:val="24"/>
          <w:szCs w:val="24"/>
        </w:rPr>
      </w:pPr>
      <w:r w:rsidRPr="00D20324">
        <w:rPr>
          <w:sz w:val="24"/>
          <w:szCs w:val="24"/>
        </w:rPr>
        <w:t>Luke 4:32: “They were astounded (</w:t>
      </w:r>
      <w:r w:rsidR="009E0558" w:rsidRPr="00D20324">
        <w:rPr>
          <w:rFonts w:ascii="SBL Greek" w:hAnsi="SBL Greek"/>
          <w:sz w:val="24"/>
          <w:szCs w:val="24"/>
        </w:rPr>
        <w:t>ἐ</w:t>
      </w:r>
      <w:r w:rsidR="009E0558" w:rsidRPr="00D20324">
        <w:rPr>
          <w:rFonts w:ascii="SBL Greek" w:hAnsi="SBL Greek"/>
          <w:sz w:val="24"/>
          <w:szCs w:val="24"/>
          <w:lang w:val="el-GR"/>
        </w:rPr>
        <w:t>ξεπλήσσοντο</w:t>
      </w:r>
      <w:r w:rsidRPr="00D20324">
        <w:rPr>
          <w:sz w:val="24"/>
          <w:szCs w:val="24"/>
        </w:rPr>
        <w:t>) at his teaching (</w:t>
      </w:r>
      <w:r w:rsidR="009E0558" w:rsidRPr="00D20324">
        <w:rPr>
          <w:rFonts w:ascii="SBL Greek" w:hAnsi="SBL Greek"/>
          <w:sz w:val="24"/>
          <w:szCs w:val="24"/>
          <w:lang w:val="el-GR"/>
        </w:rPr>
        <w:t>διδαχῇ</w:t>
      </w:r>
      <w:r w:rsidR="009E0558" w:rsidRPr="00D20324">
        <w:rPr>
          <w:rFonts w:asciiTheme="majorBidi" w:hAnsiTheme="majorBidi" w:cstheme="majorBidi"/>
          <w:sz w:val="24"/>
          <w:szCs w:val="24"/>
          <w:lang w:val="en-GB"/>
        </w:rPr>
        <w:t>)</w:t>
      </w:r>
      <w:r w:rsidRPr="00D20324">
        <w:rPr>
          <w:sz w:val="24"/>
          <w:szCs w:val="24"/>
        </w:rPr>
        <w:t>,</w:t>
      </w:r>
    </w:p>
    <w:p w:rsidR="00765EA5" w:rsidRPr="00D20324" w:rsidRDefault="00765EA5" w:rsidP="009E0558">
      <w:pPr>
        <w:pStyle w:val="extract"/>
        <w:ind w:left="1920" w:firstLine="0"/>
        <w:rPr>
          <w:sz w:val="24"/>
          <w:szCs w:val="24"/>
        </w:rPr>
      </w:pPr>
      <w:r w:rsidRPr="00D20324">
        <w:rPr>
          <w:sz w:val="24"/>
          <w:szCs w:val="24"/>
        </w:rPr>
        <w:t>because his speech was in authority (</w:t>
      </w:r>
      <w:r w:rsidR="009E0558" w:rsidRPr="00D20324">
        <w:rPr>
          <w:rFonts w:ascii="SBL Greek" w:hAnsi="SBL Greek" w:cstheme="majorBidi"/>
          <w:sz w:val="24"/>
          <w:szCs w:val="24"/>
        </w:rPr>
        <w:t>ἐ</w:t>
      </w:r>
      <w:r w:rsidR="009E0558" w:rsidRPr="00D20324">
        <w:rPr>
          <w:rFonts w:ascii="SBL Greek" w:hAnsi="SBL Greek" w:cstheme="majorBidi"/>
          <w:sz w:val="24"/>
          <w:szCs w:val="24"/>
          <w:lang w:val="el-GR"/>
        </w:rPr>
        <w:t>ξουσίᾳ</w:t>
      </w:r>
      <w:r w:rsidRPr="00D20324">
        <w:rPr>
          <w:sz w:val="24"/>
          <w:szCs w:val="24"/>
        </w:rPr>
        <w:t>).”</w:t>
      </w:r>
    </w:p>
    <w:p w:rsidR="00DB0282" w:rsidRPr="00D20324" w:rsidRDefault="00DB0282" w:rsidP="001C31AE">
      <w:pPr>
        <w:spacing w:line="480" w:lineRule="auto"/>
        <w:rPr>
          <w:rFonts w:cs="Times New Roman"/>
          <w:lang w:val="en-US"/>
        </w:rPr>
      </w:pPr>
      <w:r w:rsidRPr="00D20324">
        <w:rPr>
          <w:rFonts w:cs="Times New Roman"/>
          <w:lang w:val="en-US"/>
        </w:rPr>
        <w:tab/>
      </w:r>
      <w:r w:rsidRPr="00D20324">
        <w:rPr>
          <w:rFonts w:cs="Times New Roman"/>
          <w:lang w:val="en-US"/>
        </w:rPr>
        <w:tab/>
        <w:t xml:space="preserve">        </w:t>
      </w:r>
    </w:p>
    <w:p w:rsidR="007848C1" w:rsidRPr="00D20324" w:rsidRDefault="006F6371" w:rsidP="001C31AE">
      <w:pPr>
        <w:spacing w:line="480" w:lineRule="auto"/>
        <w:rPr>
          <w:rFonts w:cs="Times New Roman"/>
          <w:lang w:val="en-US"/>
        </w:rPr>
      </w:pPr>
      <w:r w:rsidRPr="00D20324">
        <w:rPr>
          <w:rFonts w:cs="Times New Roman"/>
          <w:lang w:val="en-US"/>
        </w:rPr>
        <w:t xml:space="preserve">In </w:t>
      </w:r>
      <w:r w:rsidR="00216BA3" w:rsidRPr="00D20324">
        <w:rPr>
          <w:rFonts w:cs="Times New Roman"/>
          <w:lang w:val="en-US"/>
        </w:rPr>
        <w:t xml:space="preserve">light of Luke’s </w:t>
      </w:r>
      <w:r w:rsidRPr="00D20324">
        <w:rPr>
          <w:rFonts w:cs="Times New Roman"/>
          <w:lang w:val="en-US"/>
        </w:rPr>
        <w:t>clear dependence upon Mark for the vocabulary of this narratorial explanation</w:t>
      </w:r>
      <w:r w:rsidR="003F5373" w:rsidRPr="00D20324">
        <w:rPr>
          <w:rFonts w:cs="Times New Roman"/>
          <w:lang w:val="en-US"/>
        </w:rPr>
        <w:t>, as well as Luke’s</w:t>
      </w:r>
      <w:r w:rsidR="004546C1" w:rsidRPr="00D20324">
        <w:rPr>
          <w:rFonts w:cs="Times New Roman"/>
          <w:lang w:val="en-US"/>
        </w:rPr>
        <w:t xml:space="preserve"> verbatim repetition of the first clause</w:t>
      </w:r>
      <w:r w:rsidRPr="00D20324">
        <w:rPr>
          <w:rFonts w:cs="Times New Roman"/>
          <w:lang w:val="en-US"/>
        </w:rPr>
        <w:t>, one cannot consider Luke’</w:t>
      </w:r>
      <w:r w:rsidR="00CF6945" w:rsidRPr="00D20324">
        <w:rPr>
          <w:rFonts w:cs="Times New Roman"/>
          <w:lang w:val="en-US"/>
        </w:rPr>
        <w:t xml:space="preserve">s failure to repeat </w:t>
      </w:r>
      <w:r w:rsidR="001F36B1" w:rsidRPr="00D20324">
        <w:rPr>
          <w:rFonts w:cs="Times New Roman"/>
          <w:lang w:val="en-US"/>
        </w:rPr>
        <w:t xml:space="preserve">the entire final clause—Mark’s </w:t>
      </w:r>
      <w:r w:rsidR="00CF6945" w:rsidRPr="00D20324">
        <w:rPr>
          <w:rFonts w:cs="Times New Roman"/>
          <w:lang w:val="en-US"/>
        </w:rPr>
        <w:t>contrast of Jesus and scribal-literate teachers</w:t>
      </w:r>
      <w:r w:rsidR="009664E1" w:rsidRPr="00D20324">
        <w:rPr>
          <w:rFonts w:cs="Times New Roman"/>
          <w:lang w:val="en-US"/>
        </w:rPr>
        <w:t xml:space="preserve">—as </w:t>
      </w:r>
      <w:r w:rsidR="00CF6945" w:rsidRPr="00D20324">
        <w:rPr>
          <w:rFonts w:cs="Times New Roman"/>
          <w:lang w:val="en-US"/>
        </w:rPr>
        <w:t>mere happenstance.</w:t>
      </w:r>
      <w:r w:rsidR="00CF6945" w:rsidRPr="00D20324">
        <w:rPr>
          <w:rStyle w:val="FootnoteReference"/>
          <w:rFonts w:cs="Times New Roman"/>
          <w:lang w:val="en-US"/>
        </w:rPr>
        <w:footnoteReference w:id="34"/>
      </w:r>
      <w:r w:rsidR="00DB467E" w:rsidRPr="00D20324">
        <w:rPr>
          <w:rFonts w:cs="Times New Roman"/>
          <w:lang w:val="en-US"/>
        </w:rPr>
        <w:t xml:space="preserve">  </w:t>
      </w:r>
      <w:r w:rsidR="003F5373" w:rsidRPr="00D20324">
        <w:rPr>
          <w:rFonts w:cs="Times New Roman"/>
          <w:lang w:val="en-US"/>
        </w:rPr>
        <w:t>In offering an explanation,</w:t>
      </w:r>
      <w:r w:rsidR="001E68CC" w:rsidRPr="00D20324">
        <w:rPr>
          <w:rFonts w:cs="Times New Roman"/>
          <w:lang w:val="en-US"/>
        </w:rPr>
        <w:t xml:space="preserve"> Schweizer posits that this statement was omitted because scribes “were no longer so important in the time of Luke.”</w:t>
      </w:r>
      <w:r w:rsidR="001E68CC" w:rsidRPr="00D20324">
        <w:rPr>
          <w:rStyle w:val="FootnoteReference"/>
          <w:rFonts w:cs="Times New Roman"/>
          <w:lang w:val="en-US"/>
        </w:rPr>
        <w:footnoteReference w:id="35"/>
      </w:r>
      <w:r w:rsidR="003F5373" w:rsidRPr="00D20324">
        <w:rPr>
          <w:rFonts w:cs="Times New Roman"/>
          <w:lang w:val="en-US"/>
        </w:rPr>
        <w:t xml:space="preserve"> </w:t>
      </w:r>
      <w:r w:rsidR="001E68CC" w:rsidRPr="00D20324">
        <w:rPr>
          <w:rFonts w:cs="Times New Roman"/>
          <w:lang w:val="en-US"/>
        </w:rPr>
        <w:t xml:space="preserve"> Likewise, </w:t>
      </w:r>
      <w:r w:rsidR="00DB467E" w:rsidRPr="00D20324">
        <w:rPr>
          <w:rFonts w:cs="Times New Roman"/>
          <w:lang w:val="en-US"/>
        </w:rPr>
        <w:t>Fitzmyer posits</w:t>
      </w:r>
      <w:r w:rsidR="003F5373" w:rsidRPr="00D20324">
        <w:rPr>
          <w:rFonts w:cs="Times New Roman"/>
          <w:lang w:val="en-US"/>
        </w:rPr>
        <w:t xml:space="preserve">, </w:t>
      </w:r>
      <w:r w:rsidR="00DB467E" w:rsidRPr="00D20324">
        <w:rPr>
          <w:rFonts w:cs="Times New Roman"/>
          <w:lang w:val="en-US"/>
        </w:rPr>
        <w:t>“</w:t>
      </w:r>
      <w:r w:rsidR="003F5373" w:rsidRPr="00D20324">
        <w:rPr>
          <w:rFonts w:cs="Times New Roman"/>
          <w:lang w:val="en-US"/>
        </w:rPr>
        <w:t>T</w:t>
      </w:r>
      <w:r w:rsidR="00DB467E" w:rsidRPr="00D20324">
        <w:rPr>
          <w:rFonts w:cs="Times New Roman"/>
          <w:lang w:val="en-US"/>
        </w:rPr>
        <w:t>he Christians for whom he writes are not those preoccupied with opposition from the rabbis and their interpretation of the OT.”</w:t>
      </w:r>
      <w:r w:rsidR="00DB467E" w:rsidRPr="00D20324">
        <w:rPr>
          <w:rStyle w:val="FootnoteReference"/>
          <w:rFonts w:cs="Times New Roman"/>
          <w:lang w:val="en-US"/>
        </w:rPr>
        <w:footnoteReference w:id="36"/>
      </w:r>
      <w:r w:rsidR="00C626CF" w:rsidRPr="00D20324">
        <w:rPr>
          <w:rFonts w:cs="Times New Roman"/>
          <w:lang w:val="en-US"/>
        </w:rPr>
        <w:t xml:space="preserve">  </w:t>
      </w:r>
      <w:r w:rsidR="004972E5" w:rsidRPr="00D20324">
        <w:rPr>
          <w:rFonts w:cs="Times New Roman"/>
          <w:lang w:val="en-US"/>
        </w:rPr>
        <w:t xml:space="preserve">In a similar vein, </w:t>
      </w:r>
      <w:r w:rsidR="00C626CF" w:rsidRPr="00D20324">
        <w:rPr>
          <w:rFonts w:cs="Times New Roman"/>
          <w:lang w:val="en-US"/>
        </w:rPr>
        <w:t xml:space="preserve">Lagrange </w:t>
      </w:r>
      <w:r w:rsidR="0038195D" w:rsidRPr="00D20324">
        <w:rPr>
          <w:rFonts w:cs="Times New Roman"/>
          <w:lang w:val="en-US"/>
        </w:rPr>
        <w:t>proposes</w:t>
      </w:r>
      <w:r w:rsidR="00C626CF" w:rsidRPr="00D20324">
        <w:rPr>
          <w:rFonts w:cs="Times New Roman"/>
          <w:lang w:val="en-US"/>
        </w:rPr>
        <w:t xml:space="preserve"> </w:t>
      </w:r>
      <w:r w:rsidR="0038195D" w:rsidRPr="00D20324">
        <w:rPr>
          <w:rFonts w:cs="Times New Roman"/>
          <w:lang w:val="en-US"/>
        </w:rPr>
        <w:t xml:space="preserve">that the </w:t>
      </w:r>
      <w:r w:rsidR="00C626CF" w:rsidRPr="00D20324">
        <w:rPr>
          <w:rFonts w:cs="Times New Roman"/>
          <w:lang w:val="en-US"/>
        </w:rPr>
        <w:t>omission was a concession to Luke’s Gentile readers:  “Luc n’ajoute pas «et non comme les scribes» car c</w:t>
      </w:r>
      <w:r w:rsidR="00C8679A">
        <w:rPr>
          <w:rFonts w:cs="Times New Roman"/>
          <w:lang w:val="en-US"/>
        </w:rPr>
        <w:t>ette comparaison eût plutôt posé</w:t>
      </w:r>
      <w:r w:rsidR="00C626CF" w:rsidRPr="00D20324">
        <w:rPr>
          <w:rFonts w:cs="Times New Roman"/>
          <w:lang w:val="en-US"/>
        </w:rPr>
        <w:t xml:space="preserve"> une question à des lecteurs non juifs.”</w:t>
      </w:r>
      <w:r w:rsidR="00C626CF" w:rsidRPr="00D20324">
        <w:rPr>
          <w:rStyle w:val="FootnoteReference"/>
          <w:rFonts w:cs="Times New Roman"/>
          <w:lang w:val="en-US"/>
        </w:rPr>
        <w:footnoteReference w:id="37"/>
      </w:r>
      <w:r w:rsidR="0038195D" w:rsidRPr="00D20324">
        <w:rPr>
          <w:rFonts w:cs="Times New Roman"/>
          <w:lang w:val="en-US"/>
        </w:rPr>
        <w:t xml:space="preserve">  </w:t>
      </w:r>
      <w:r w:rsidR="006D34CB" w:rsidRPr="00D20324">
        <w:rPr>
          <w:rFonts w:cs="Times New Roman"/>
          <w:lang w:val="en-US"/>
        </w:rPr>
        <w:t>Lagrange</w:t>
      </w:r>
      <w:r w:rsidR="0038195D" w:rsidRPr="00D20324">
        <w:rPr>
          <w:rFonts w:cs="Times New Roman"/>
          <w:lang w:val="en-US"/>
        </w:rPr>
        <w:t xml:space="preserve"> does not clarify precisely what question the phrase would have raised, but one may note</w:t>
      </w:r>
      <w:r w:rsidR="006D34CB" w:rsidRPr="00D20324">
        <w:rPr>
          <w:rFonts w:cs="Times New Roman"/>
          <w:lang w:val="en-US"/>
        </w:rPr>
        <w:t xml:space="preserve"> </w:t>
      </w:r>
      <w:r w:rsidR="0038195D" w:rsidRPr="00D20324">
        <w:rPr>
          <w:rFonts w:cs="Times New Roman"/>
          <w:lang w:val="en-US"/>
        </w:rPr>
        <w:t xml:space="preserve">against </w:t>
      </w:r>
      <w:r w:rsidR="001E68CC" w:rsidRPr="00D20324">
        <w:rPr>
          <w:rFonts w:cs="Times New Roman"/>
          <w:lang w:val="en-US"/>
        </w:rPr>
        <w:t>all</w:t>
      </w:r>
      <w:r w:rsidR="006D34CB" w:rsidRPr="00D20324">
        <w:rPr>
          <w:rFonts w:cs="Times New Roman"/>
          <w:lang w:val="en-US"/>
        </w:rPr>
        <w:t xml:space="preserve"> these</w:t>
      </w:r>
      <w:r w:rsidR="0038195D" w:rsidRPr="00D20324">
        <w:rPr>
          <w:rFonts w:cs="Times New Roman"/>
          <w:lang w:val="en-US"/>
        </w:rPr>
        <w:t xml:space="preserve"> suggestion</w:t>
      </w:r>
      <w:r w:rsidR="006D34CB" w:rsidRPr="00D20324">
        <w:rPr>
          <w:rFonts w:cs="Times New Roman"/>
          <w:lang w:val="en-US"/>
        </w:rPr>
        <w:t>s</w:t>
      </w:r>
      <w:r w:rsidR="0038195D" w:rsidRPr="00D20324">
        <w:rPr>
          <w:rFonts w:cs="Times New Roman"/>
          <w:lang w:val="en-US"/>
        </w:rPr>
        <w:t xml:space="preserve"> that Luke clearly assumes substantial knowledge of Jewish </w:t>
      </w:r>
      <w:r w:rsidR="003F5373" w:rsidRPr="00D20324">
        <w:rPr>
          <w:rFonts w:cs="Times New Roman"/>
          <w:lang w:val="en-US"/>
        </w:rPr>
        <w:t xml:space="preserve">history and </w:t>
      </w:r>
      <w:r w:rsidR="000312B9">
        <w:rPr>
          <w:rFonts w:cs="Times New Roman"/>
          <w:lang w:val="en-US"/>
        </w:rPr>
        <w:t>customs for his readers (who</w:t>
      </w:r>
      <w:r w:rsidR="0038195D" w:rsidRPr="00D20324">
        <w:rPr>
          <w:rFonts w:cs="Times New Roman"/>
          <w:lang w:val="en-US"/>
        </w:rPr>
        <w:t xml:space="preserve">ever they may be) and that </w:t>
      </w:r>
      <w:r w:rsidR="003F5373" w:rsidRPr="00D20324">
        <w:rPr>
          <w:rFonts w:cs="Times New Roman"/>
          <w:lang w:val="en-US"/>
        </w:rPr>
        <w:t>“</w:t>
      </w:r>
      <w:r w:rsidR="0038195D" w:rsidRPr="00D20324">
        <w:rPr>
          <w:rFonts w:cs="Times New Roman"/>
          <w:lang w:val="en-US"/>
        </w:rPr>
        <w:t>scribes</w:t>
      </w:r>
      <w:r w:rsidR="003F5373" w:rsidRPr="00D20324">
        <w:rPr>
          <w:rFonts w:cs="Times New Roman"/>
          <w:lang w:val="en-US"/>
        </w:rPr>
        <w:t>”</w:t>
      </w:r>
      <w:r w:rsidR="0038195D" w:rsidRPr="00D20324">
        <w:rPr>
          <w:rFonts w:cs="Times New Roman"/>
          <w:lang w:val="en-US"/>
        </w:rPr>
        <w:t xml:space="preserve"> otherwise appear </w:t>
      </w:r>
      <w:r w:rsidR="006E1F0B" w:rsidRPr="00D20324">
        <w:rPr>
          <w:rFonts w:cs="Times New Roman"/>
          <w:lang w:val="en-US"/>
        </w:rPr>
        <w:t xml:space="preserve">in </w:t>
      </w:r>
      <w:r w:rsidR="0038195D" w:rsidRPr="00D20324">
        <w:rPr>
          <w:rFonts w:cs="Times New Roman"/>
          <w:lang w:val="en-US"/>
        </w:rPr>
        <w:t>Luke</w:t>
      </w:r>
      <w:r w:rsidR="001C31AE" w:rsidRPr="00D20324">
        <w:rPr>
          <w:rFonts w:cs="Times New Roman"/>
          <w:lang w:val="en-US"/>
        </w:rPr>
        <w:t>-Acts</w:t>
      </w:r>
      <w:r w:rsidR="006D34CB" w:rsidRPr="00D20324">
        <w:rPr>
          <w:rFonts w:cs="Times New Roman"/>
          <w:lang w:val="en-US"/>
        </w:rPr>
        <w:t xml:space="preserve"> </w:t>
      </w:r>
      <w:r w:rsidR="00922882" w:rsidRPr="00D20324">
        <w:rPr>
          <w:rFonts w:cs="Times New Roman"/>
          <w:i/>
          <w:lang w:val="en-US"/>
        </w:rPr>
        <w:t>seven</w:t>
      </w:r>
      <w:r w:rsidR="006D34CB" w:rsidRPr="00D20324">
        <w:rPr>
          <w:rFonts w:cs="Times New Roman"/>
          <w:i/>
          <w:lang w:val="en-US"/>
        </w:rPr>
        <w:t>teen</w:t>
      </w:r>
      <w:r w:rsidR="006D34CB" w:rsidRPr="00D20324">
        <w:rPr>
          <w:rFonts w:cs="Times New Roman"/>
          <w:lang w:val="en-US"/>
        </w:rPr>
        <w:t xml:space="preserve"> times.</w:t>
      </w:r>
      <w:r w:rsidR="00922882" w:rsidRPr="00D20324">
        <w:rPr>
          <w:rStyle w:val="FootnoteReference"/>
          <w:rFonts w:cs="Times New Roman"/>
          <w:lang w:val="en-US"/>
        </w:rPr>
        <w:footnoteReference w:id="38"/>
      </w:r>
      <w:r w:rsidR="006D34CB" w:rsidRPr="00D20324">
        <w:rPr>
          <w:rFonts w:cs="Times New Roman"/>
          <w:lang w:val="en-US"/>
        </w:rPr>
        <w:t xml:space="preserve">  If Luke engaged in removing references to </w:t>
      </w:r>
      <w:r w:rsidR="00922882" w:rsidRPr="00D20324">
        <w:rPr>
          <w:rFonts w:cs="Times New Roman"/>
          <w:lang w:val="en-US"/>
        </w:rPr>
        <w:t>scribes</w:t>
      </w:r>
      <w:r w:rsidR="006D34CB" w:rsidRPr="00D20324">
        <w:rPr>
          <w:rFonts w:cs="Times New Roman"/>
          <w:lang w:val="en-US"/>
        </w:rPr>
        <w:t xml:space="preserve"> for the sake of his current readership, he was a uniquely incompetent </w:t>
      </w:r>
      <w:r w:rsidR="00922882" w:rsidRPr="00D20324">
        <w:rPr>
          <w:rFonts w:cs="Times New Roman"/>
          <w:lang w:val="en-US"/>
        </w:rPr>
        <w:t>ancient author.</w:t>
      </w:r>
      <w:r w:rsidR="006D34CB" w:rsidRPr="00D20324">
        <w:rPr>
          <w:rFonts w:cs="Times New Roman"/>
          <w:lang w:val="en-US"/>
        </w:rPr>
        <w:t xml:space="preserve"> </w:t>
      </w:r>
      <w:r w:rsidR="0038195D" w:rsidRPr="00D20324">
        <w:rPr>
          <w:rFonts w:cs="Times New Roman"/>
          <w:lang w:val="en-US"/>
        </w:rPr>
        <w:t xml:space="preserve"> I here suggest </w:t>
      </w:r>
      <w:r w:rsidR="00922882" w:rsidRPr="00D20324">
        <w:rPr>
          <w:rFonts w:cs="Times New Roman"/>
          <w:lang w:val="en-US"/>
        </w:rPr>
        <w:t>instead</w:t>
      </w:r>
      <w:r w:rsidR="0038195D" w:rsidRPr="00D20324">
        <w:rPr>
          <w:rFonts w:cs="Times New Roman"/>
          <w:lang w:val="en-US"/>
        </w:rPr>
        <w:t xml:space="preserve"> that this</w:t>
      </w:r>
      <w:r w:rsidR="00922882" w:rsidRPr="00D20324">
        <w:rPr>
          <w:rFonts w:cs="Times New Roman"/>
          <w:lang w:val="en-US"/>
        </w:rPr>
        <w:t xml:space="preserve"> failure to follow Mark’s Gospel</w:t>
      </w:r>
      <w:r w:rsidR="00CF6945" w:rsidRPr="00D20324">
        <w:rPr>
          <w:rFonts w:cs="Times New Roman"/>
          <w:lang w:val="en-US"/>
        </w:rPr>
        <w:t xml:space="preserve"> is simply the first in a </w:t>
      </w:r>
      <w:r w:rsidR="00184BFF" w:rsidRPr="00D20324">
        <w:rPr>
          <w:rFonts w:cs="Times New Roman"/>
          <w:lang w:val="en-US"/>
        </w:rPr>
        <w:t>sustained</w:t>
      </w:r>
      <w:r w:rsidR="00922882" w:rsidRPr="00D20324">
        <w:rPr>
          <w:rFonts w:cs="Times New Roman"/>
          <w:lang w:val="en-US"/>
        </w:rPr>
        <w:t xml:space="preserve"> </w:t>
      </w:r>
      <w:r w:rsidR="00CF6945" w:rsidRPr="00D20324">
        <w:rPr>
          <w:rFonts w:cs="Times New Roman"/>
          <w:lang w:val="en-US"/>
        </w:rPr>
        <w:t>pattern of Lukan redaction</w:t>
      </w:r>
      <w:r w:rsidR="00F26E67" w:rsidRPr="00D20324">
        <w:rPr>
          <w:rFonts w:cs="Times New Roman"/>
          <w:lang w:val="en-US"/>
        </w:rPr>
        <w:t xml:space="preserve"> whereby Luke aligns Jesus with the scribal-literate class of Scripture authorities in terms of the </w:t>
      </w:r>
      <w:r w:rsidR="00501817" w:rsidRPr="00D20324">
        <w:rPr>
          <w:rFonts w:cs="Times New Roman"/>
          <w:lang w:val="en-US"/>
        </w:rPr>
        <w:t>authoritative and educational basis from which their respective teachings derive</w:t>
      </w:r>
      <w:r w:rsidR="00CF6945" w:rsidRPr="00D20324">
        <w:rPr>
          <w:rFonts w:cs="Times New Roman"/>
          <w:lang w:val="en-US"/>
        </w:rPr>
        <w:t>.</w:t>
      </w:r>
    </w:p>
    <w:p w:rsidR="007848C1" w:rsidRPr="00D20324" w:rsidRDefault="00CF6945" w:rsidP="00D20324">
      <w:pPr>
        <w:spacing w:line="480" w:lineRule="auto"/>
        <w:ind w:firstLine="720"/>
        <w:rPr>
          <w:rFonts w:asciiTheme="majorBidi" w:hAnsiTheme="majorBidi" w:cstheme="majorBidi"/>
          <w:lang w:val="en-US"/>
        </w:rPr>
      </w:pPr>
      <w:r w:rsidRPr="00D20324">
        <w:rPr>
          <w:rFonts w:cs="Times New Roman"/>
          <w:lang w:val="en-US"/>
        </w:rPr>
        <w:t>Following the order of Mark’s Gospel, the next example in this pattern is Luke’s substantial reshaping of Jesus’ rejection in the Nazareth synagogue</w:t>
      </w:r>
      <w:r w:rsidR="009664E1" w:rsidRPr="00D20324">
        <w:rPr>
          <w:rFonts w:cs="Times New Roman"/>
          <w:lang w:val="en-US"/>
        </w:rPr>
        <w:t>, occurring in Mark 6 and Luke 4 (</w:t>
      </w:r>
      <w:r w:rsidR="001C31AE" w:rsidRPr="00D20324">
        <w:rPr>
          <w:rFonts w:cs="Times New Roman"/>
          <w:lang w:val="en-US"/>
        </w:rPr>
        <w:t xml:space="preserve">also </w:t>
      </w:r>
      <w:r w:rsidR="009664E1" w:rsidRPr="00D20324">
        <w:rPr>
          <w:rFonts w:cs="Times New Roman"/>
          <w:lang w:val="en-US"/>
        </w:rPr>
        <w:t>Matt 13)</w:t>
      </w:r>
      <w:r w:rsidRPr="00D20324">
        <w:rPr>
          <w:rFonts w:cs="Times New Roman"/>
          <w:lang w:val="en-US"/>
        </w:rPr>
        <w:t>.</w:t>
      </w:r>
      <w:r w:rsidR="009664E1" w:rsidRPr="00D20324">
        <w:rPr>
          <w:rFonts w:cs="Times New Roman"/>
          <w:lang w:val="en-US"/>
        </w:rPr>
        <w:t xml:space="preserve">  Luke follows Mark in claiming that Jesus taught in his hometown, was rejected there, and claimed that prophets have no honor in their hometowns, as does Matthew (Mark 6:4//Matt 13:57//Luke 4:24).  </w:t>
      </w:r>
      <w:r w:rsidR="00097417" w:rsidRPr="00D20324">
        <w:rPr>
          <w:rFonts w:cs="Times New Roman"/>
          <w:lang w:val="en-US"/>
        </w:rPr>
        <w:t xml:space="preserve">Luke does not follow Mark in explaining why Jesus was rejected, however.  According to Mark, Jesus is rejected as a synagogue teacher </w:t>
      </w:r>
      <w:r w:rsidR="001F36B1" w:rsidRPr="00D20324">
        <w:rPr>
          <w:rFonts w:cs="Times New Roman"/>
          <w:lang w:val="en-US"/>
        </w:rPr>
        <w:t xml:space="preserve">specifically </w:t>
      </w:r>
      <w:r w:rsidR="00097417" w:rsidRPr="00D20324">
        <w:rPr>
          <w:rFonts w:cs="Times New Roman"/>
          <w:lang w:val="en-US"/>
        </w:rPr>
        <w:t>on the basis of his identity as a carpenter</w:t>
      </w:r>
      <w:r w:rsidR="000716EA" w:rsidRPr="00D20324">
        <w:rPr>
          <w:rFonts w:cs="Times New Roman"/>
          <w:lang w:val="en-US"/>
        </w:rPr>
        <w:t>/artisan</w:t>
      </w:r>
      <w:r w:rsidR="00097417" w:rsidRPr="00D20324">
        <w:rPr>
          <w:rFonts w:cs="Times New Roman"/>
          <w:lang w:val="en-US"/>
        </w:rPr>
        <w:t xml:space="preserve"> (</w:t>
      </w:r>
      <w:r w:rsidR="00D20324" w:rsidRPr="00D20324">
        <w:rPr>
          <w:rFonts w:ascii="SBL Greek" w:hAnsi="SBL Greek" w:cs="Times New Roman"/>
          <w:lang w:val="el-GR"/>
        </w:rPr>
        <w:t>τέκτων</w:t>
      </w:r>
      <w:r w:rsidR="00097417" w:rsidRPr="00D20324">
        <w:rPr>
          <w:rFonts w:asciiTheme="majorBidi" w:hAnsiTheme="majorBidi" w:cstheme="majorBidi"/>
          <w:lang w:val="en-US"/>
        </w:rPr>
        <w:t>)</w:t>
      </w:r>
      <w:r w:rsidR="00B65A5E" w:rsidRPr="00D20324">
        <w:rPr>
          <w:rFonts w:asciiTheme="majorBidi" w:hAnsiTheme="majorBidi" w:cstheme="majorBidi"/>
          <w:lang w:val="en-US"/>
        </w:rPr>
        <w:t>, a claim that corroborates Mark’s earlier statement that Jesus was “not like the scribes” (Mark 1:22)</w:t>
      </w:r>
      <w:r w:rsidR="00501817" w:rsidRPr="00D20324">
        <w:rPr>
          <w:rFonts w:asciiTheme="majorBidi" w:hAnsiTheme="majorBidi" w:cstheme="majorBidi"/>
          <w:lang w:val="en-US"/>
        </w:rPr>
        <w:t>.</w:t>
      </w:r>
      <w:r w:rsidR="001F36B1" w:rsidRPr="00D20324">
        <w:rPr>
          <w:rStyle w:val="FootnoteReference"/>
          <w:rFonts w:asciiTheme="majorBidi" w:hAnsiTheme="majorBidi" w:cstheme="majorBidi"/>
          <w:lang w:val="en-US"/>
        </w:rPr>
        <w:footnoteReference w:id="39"/>
      </w:r>
      <w:r w:rsidR="001F36B1" w:rsidRPr="00D20324">
        <w:rPr>
          <w:rFonts w:asciiTheme="majorBidi" w:hAnsiTheme="majorBidi" w:cstheme="majorBidi"/>
          <w:lang w:val="en-US"/>
        </w:rPr>
        <w:t xml:space="preserve">  </w:t>
      </w:r>
      <w:r w:rsidR="007848C1" w:rsidRPr="00D20324">
        <w:rPr>
          <w:rFonts w:asciiTheme="majorBidi" w:hAnsiTheme="majorBidi" w:cstheme="majorBidi"/>
          <w:lang w:val="en-US"/>
        </w:rPr>
        <w:t>Luke</w:t>
      </w:r>
      <w:r w:rsidR="00172E7C" w:rsidRPr="00D20324">
        <w:rPr>
          <w:rFonts w:asciiTheme="majorBidi" w:hAnsiTheme="majorBidi" w:cstheme="majorBidi"/>
          <w:lang w:val="en-US"/>
        </w:rPr>
        <w:t>, however,</w:t>
      </w:r>
      <w:r w:rsidR="007848C1" w:rsidRPr="00D20324">
        <w:rPr>
          <w:rFonts w:asciiTheme="majorBidi" w:hAnsiTheme="majorBidi" w:cstheme="majorBidi"/>
          <w:lang w:val="en-US"/>
        </w:rPr>
        <w:t xml:space="preserve"> removes the reference to</w:t>
      </w:r>
      <w:r w:rsidR="00172E7C" w:rsidRPr="00D20324">
        <w:rPr>
          <w:rFonts w:asciiTheme="majorBidi" w:hAnsiTheme="majorBidi" w:cstheme="majorBidi"/>
          <w:lang w:val="en-US"/>
        </w:rPr>
        <w:t xml:space="preserve"> Jesus as a carpenter just as he remo</w:t>
      </w:r>
      <w:r w:rsidR="00B42F38" w:rsidRPr="00D20324">
        <w:rPr>
          <w:rFonts w:asciiTheme="majorBidi" w:hAnsiTheme="majorBidi" w:cstheme="majorBidi"/>
          <w:lang w:val="en-US"/>
        </w:rPr>
        <w:t>ved the contrast with scribes from</w:t>
      </w:r>
      <w:r w:rsidR="00172E7C" w:rsidRPr="00D20324">
        <w:rPr>
          <w:rFonts w:asciiTheme="majorBidi" w:hAnsiTheme="majorBidi" w:cstheme="majorBidi"/>
          <w:lang w:val="en-US"/>
        </w:rPr>
        <w:t xml:space="preserve"> Mark 1:22.  In Luke, </w:t>
      </w:r>
      <w:r w:rsidR="00B65A5E" w:rsidRPr="00D20324">
        <w:rPr>
          <w:rFonts w:asciiTheme="majorBidi" w:hAnsiTheme="majorBidi" w:cstheme="majorBidi"/>
          <w:lang w:val="en-US"/>
        </w:rPr>
        <w:t>Jesus’ hometown</w:t>
      </w:r>
      <w:r w:rsidR="00172E7C" w:rsidRPr="00D20324">
        <w:rPr>
          <w:rFonts w:asciiTheme="majorBidi" w:hAnsiTheme="majorBidi" w:cstheme="majorBidi"/>
          <w:lang w:val="en-US"/>
        </w:rPr>
        <w:t xml:space="preserve"> instead identifies</w:t>
      </w:r>
      <w:r w:rsidR="007848C1" w:rsidRPr="00D20324">
        <w:rPr>
          <w:rFonts w:asciiTheme="majorBidi" w:hAnsiTheme="majorBidi" w:cstheme="majorBidi"/>
          <w:lang w:val="en-US"/>
        </w:rPr>
        <w:t xml:space="preserve"> </w:t>
      </w:r>
      <w:r w:rsidR="00B65A5E" w:rsidRPr="00D20324">
        <w:rPr>
          <w:rFonts w:asciiTheme="majorBidi" w:hAnsiTheme="majorBidi" w:cstheme="majorBidi"/>
          <w:lang w:val="en-US"/>
        </w:rPr>
        <w:t>him</w:t>
      </w:r>
      <w:r w:rsidR="007848C1" w:rsidRPr="00D20324">
        <w:rPr>
          <w:rFonts w:asciiTheme="majorBidi" w:hAnsiTheme="majorBidi" w:cstheme="majorBidi"/>
          <w:lang w:val="en-US"/>
        </w:rPr>
        <w:t xml:space="preserve"> as “Jose</w:t>
      </w:r>
      <w:r w:rsidR="00B42F38" w:rsidRPr="00D20324">
        <w:rPr>
          <w:rFonts w:asciiTheme="majorBidi" w:hAnsiTheme="majorBidi" w:cstheme="majorBidi"/>
          <w:lang w:val="en-US"/>
        </w:rPr>
        <w:t>ph’s son” (4:22; cf. John 6:42).</w:t>
      </w:r>
      <w:r w:rsidR="007848C1" w:rsidRPr="00D20324">
        <w:rPr>
          <w:rStyle w:val="FootnoteReference"/>
          <w:rFonts w:asciiTheme="majorBidi" w:hAnsiTheme="majorBidi" w:cstheme="majorBidi"/>
          <w:lang w:val="en-US"/>
        </w:rPr>
        <w:footnoteReference w:id="40"/>
      </w:r>
      <w:r w:rsidR="00B42F38" w:rsidRPr="00D20324">
        <w:rPr>
          <w:rFonts w:asciiTheme="majorBidi" w:hAnsiTheme="majorBidi" w:cstheme="majorBidi"/>
          <w:lang w:val="en-US"/>
        </w:rPr>
        <w:t xml:space="preserve"> Luke also alters the source of their anger.  </w:t>
      </w:r>
      <w:r w:rsidR="00B65A5E" w:rsidRPr="00D20324">
        <w:rPr>
          <w:rFonts w:asciiTheme="majorBidi" w:hAnsiTheme="majorBidi" w:cstheme="majorBidi"/>
          <w:lang w:val="en-US"/>
        </w:rPr>
        <w:t>T</w:t>
      </w:r>
      <w:r w:rsidR="007848C1" w:rsidRPr="00D20324">
        <w:rPr>
          <w:rFonts w:asciiTheme="majorBidi" w:hAnsiTheme="majorBidi" w:cstheme="majorBidi"/>
          <w:lang w:val="en-US"/>
        </w:rPr>
        <w:t xml:space="preserve">he source of their anger </w:t>
      </w:r>
      <w:r w:rsidR="00B65A5E" w:rsidRPr="00D20324">
        <w:rPr>
          <w:rFonts w:asciiTheme="majorBidi" w:hAnsiTheme="majorBidi" w:cstheme="majorBidi"/>
          <w:lang w:val="en-US"/>
        </w:rPr>
        <w:t xml:space="preserve">in Luke is </w:t>
      </w:r>
      <w:r w:rsidR="00501817" w:rsidRPr="00D20324">
        <w:rPr>
          <w:rFonts w:asciiTheme="majorBidi" w:hAnsiTheme="majorBidi" w:cstheme="majorBidi"/>
          <w:lang w:val="en-US"/>
        </w:rPr>
        <w:t>the content of Jesus’ teaching—</w:t>
      </w:r>
      <w:r w:rsidR="00B65A5E" w:rsidRPr="00D20324">
        <w:rPr>
          <w:rFonts w:asciiTheme="majorBidi" w:hAnsiTheme="majorBidi" w:cstheme="majorBidi"/>
          <w:lang w:val="en-US"/>
        </w:rPr>
        <w:t>which</w:t>
      </w:r>
      <w:r w:rsidR="00501817" w:rsidRPr="00D20324">
        <w:rPr>
          <w:rFonts w:asciiTheme="majorBidi" w:hAnsiTheme="majorBidi" w:cstheme="majorBidi"/>
          <w:lang w:val="en-US"/>
        </w:rPr>
        <w:t xml:space="preserve"> </w:t>
      </w:r>
      <w:r w:rsidR="00B65A5E" w:rsidRPr="00D20324">
        <w:rPr>
          <w:rFonts w:asciiTheme="majorBidi" w:hAnsiTheme="majorBidi" w:cstheme="majorBidi"/>
          <w:lang w:val="en-US"/>
        </w:rPr>
        <w:t>goes unmentioned in the Markan version</w:t>
      </w:r>
      <w:r w:rsidR="00501817" w:rsidRPr="00D20324">
        <w:rPr>
          <w:rFonts w:asciiTheme="majorBidi" w:hAnsiTheme="majorBidi" w:cstheme="majorBidi"/>
          <w:lang w:val="en-US"/>
        </w:rPr>
        <w:t>—</w:t>
      </w:r>
      <w:r w:rsidR="001F36B1" w:rsidRPr="00D20324">
        <w:rPr>
          <w:rFonts w:asciiTheme="majorBidi" w:hAnsiTheme="majorBidi" w:cstheme="majorBidi"/>
          <w:lang w:val="en-US"/>
        </w:rPr>
        <w:t>and</w:t>
      </w:r>
      <w:r w:rsidR="00501817" w:rsidRPr="00D20324">
        <w:rPr>
          <w:rFonts w:asciiTheme="majorBidi" w:hAnsiTheme="majorBidi" w:cstheme="majorBidi"/>
          <w:lang w:val="en-US"/>
        </w:rPr>
        <w:t xml:space="preserve"> </w:t>
      </w:r>
      <w:r w:rsidR="001F36B1" w:rsidRPr="00D20324">
        <w:rPr>
          <w:rFonts w:asciiTheme="majorBidi" w:hAnsiTheme="majorBidi" w:cstheme="majorBidi"/>
          <w:lang w:val="en-US"/>
        </w:rPr>
        <w:t>specifically the fact that</w:t>
      </w:r>
      <w:r w:rsidR="00B65A5E" w:rsidRPr="00D20324">
        <w:rPr>
          <w:rFonts w:asciiTheme="majorBidi" w:hAnsiTheme="majorBidi" w:cstheme="majorBidi"/>
          <w:lang w:val="en-US"/>
        </w:rPr>
        <w:t xml:space="preserve"> he</w:t>
      </w:r>
      <w:r w:rsidR="001F36B1" w:rsidRPr="00D20324">
        <w:rPr>
          <w:rFonts w:asciiTheme="majorBidi" w:hAnsiTheme="majorBidi" w:cstheme="majorBidi"/>
          <w:lang w:val="en-US"/>
        </w:rPr>
        <w:t xml:space="preserve"> initiates conflict by stating that he will not perform miracles in his h</w:t>
      </w:r>
      <w:r w:rsidR="00B42F38" w:rsidRPr="00D20324">
        <w:rPr>
          <w:rFonts w:asciiTheme="majorBidi" w:hAnsiTheme="majorBidi" w:cstheme="majorBidi"/>
          <w:lang w:val="en-US"/>
        </w:rPr>
        <w:t xml:space="preserve">ometown </w:t>
      </w:r>
      <w:r w:rsidR="001F36B1" w:rsidRPr="00D20324">
        <w:rPr>
          <w:rFonts w:asciiTheme="majorBidi" w:hAnsiTheme="majorBidi" w:cstheme="majorBidi"/>
          <w:lang w:val="en-US"/>
        </w:rPr>
        <w:t>(Luke 4:23–27).</w:t>
      </w:r>
      <w:r w:rsidR="007848C1" w:rsidRPr="00D20324">
        <w:rPr>
          <w:rFonts w:asciiTheme="majorBidi" w:hAnsiTheme="majorBidi" w:cstheme="majorBidi"/>
          <w:lang w:val="en-US"/>
        </w:rPr>
        <w:t xml:space="preserve">  </w:t>
      </w:r>
    </w:p>
    <w:p w:rsidR="007848C1" w:rsidRPr="00D20324" w:rsidRDefault="002E4E00" w:rsidP="00D20324">
      <w:pPr>
        <w:spacing w:line="480" w:lineRule="auto"/>
        <w:ind w:firstLine="720"/>
      </w:pPr>
      <w:r w:rsidRPr="00D20324">
        <w:rPr>
          <w:rFonts w:asciiTheme="majorBidi" w:hAnsiTheme="majorBidi" w:cstheme="majorBidi"/>
          <w:lang w:val="en-US"/>
        </w:rPr>
        <w:t xml:space="preserve">Two further aspects of Luke 4 confirm </w:t>
      </w:r>
      <w:r w:rsidR="007848C1" w:rsidRPr="00D20324">
        <w:rPr>
          <w:rFonts w:asciiTheme="majorBidi" w:hAnsiTheme="majorBidi" w:cstheme="majorBidi"/>
          <w:lang w:val="en-US"/>
        </w:rPr>
        <w:t>that Luke rejects the Markan notion that Jesus was not qualified to be a synagogue teacher</w:t>
      </w:r>
      <w:r w:rsidRPr="00D20324">
        <w:rPr>
          <w:rFonts w:asciiTheme="majorBidi" w:hAnsiTheme="majorBidi" w:cstheme="majorBidi"/>
          <w:lang w:val="en-US"/>
        </w:rPr>
        <w:t>.  First, Luke</w:t>
      </w:r>
      <w:r w:rsidR="007848C1" w:rsidRPr="00D20324">
        <w:rPr>
          <w:rFonts w:asciiTheme="majorBidi" w:hAnsiTheme="majorBidi" w:cstheme="majorBidi"/>
          <w:lang w:val="en-US"/>
        </w:rPr>
        <w:t xml:space="preserve"> attributes to Jesus </w:t>
      </w:r>
      <w:r w:rsidR="00E16634" w:rsidRPr="00D20324">
        <w:rPr>
          <w:rFonts w:asciiTheme="majorBidi" w:hAnsiTheme="majorBidi" w:cstheme="majorBidi"/>
          <w:lang w:val="en-US"/>
        </w:rPr>
        <w:t xml:space="preserve">the </w:t>
      </w:r>
      <w:r w:rsidR="007848C1" w:rsidRPr="00D20324">
        <w:rPr>
          <w:rFonts w:asciiTheme="majorBidi" w:hAnsiTheme="majorBidi" w:cstheme="majorBidi"/>
          <w:lang w:val="en-US"/>
        </w:rPr>
        <w:t>scribal-literate skill</w:t>
      </w:r>
      <w:r w:rsidR="00E16634" w:rsidRPr="00D20324">
        <w:rPr>
          <w:rFonts w:asciiTheme="majorBidi" w:hAnsiTheme="majorBidi" w:cstheme="majorBidi"/>
          <w:lang w:val="en-US"/>
        </w:rPr>
        <w:t>s</w:t>
      </w:r>
      <w:r w:rsidR="007848C1" w:rsidRPr="00D20324">
        <w:rPr>
          <w:rFonts w:asciiTheme="majorBidi" w:hAnsiTheme="majorBidi" w:cstheme="majorBidi"/>
          <w:lang w:val="en-US"/>
        </w:rPr>
        <w:t xml:space="preserve"> of publicly </w:t>
      </w:r>
      <w:r w:rsidR="00B42F38" w:rsidRPr="00D20324">
        <w:rPr>
          <w:rFonts w:asciiTheme="majorBidi" w:hAnsiTheme="majorBidi" w:cstheme="majorBidi"/>
          <w:lang w:val="en-US"/>
        </w:rPr>
        <w:t xml:space="preserve">reading </w:t>
      </w:r>
      <w:r w:rsidR="007848C1" w:rsidRPr="00D20324">
        <w:rPr>
          <w:rFonts w:asciiTheme="majorBidi" w:hAnsiTheme="majorBidi" w:cstheme="majorBidi"/>
          <w:lang w:val="en-US"/>
        </w:rPr>
        <w:t>a scroll of Isaiah</w:t>
      </w:r>
      <w:r w:rsidR="00E16634" w:rsidRPr="00D20324">
        <w:rPr>
          <w:rFonts w:asciiTheme="majorBidi" w:hAnsiTheme="majorBidi" w:cstheme="majorBidi"/>
          <w:lang w:val="en-US"/>
        </w:rPr>
        <w:t xml:space="preserve"> and teaching upon it</w:t>
      </w:r>
      <w:r w:rsidR="007848C1" w:rsidRPr="00D20324">
        <w:rPr>
          <w:rFonts w:asciiTheme="majorBidi" w:hAnsiTheme="majorBidi" w:cstheme="majorBidi"/>
          <w:lang w:val="en-US"/>
        </w:rPr>
        <w:t xml:space="preserve">, </w:t>
      </w:r>
      <w:r w:rsidR="00E16634" w:rsidRPr="00D20324">
        <w:rPr>
          <w:rFonts w:asciiTheme="majorBidi" w:hAnsiTheme="majorBidi" w:cstheme="majorBidi"/>
          <w:lang w:val="en-US"/>
        </w:rPr>
        <w:t xml:space="preserve">even </w:t>
      </w:r>
      <w:r w:rsidR="007848C1" w:rsidRPr="00D20324">
        <w:rPr>
          <w:rFonts w:asciiTheme="majorBidi" w:hAnsiTheme="majorBidi" w:cstheme="majorBidi"/>
          <w:lang w:val="en-US"/>
        </w:rPr>
        <w:t xml:space="preserve">claiming that Jesus unrolled the scroll and found a particular reading (4:17).  In order to understand the significance of this Lukan addition to the tradition, and its diametrical opposition to the claim of the Markan Nazareth audience that Jesus was a </w:t>
      </w:r>
      <w:r w:rsidR="000716EA" w:rsidRPr="00D20324">
        <w:rPr>
          <w:rFonts w:asciiTheme="majorBidi" w:hAnsiTheme="majorBidi" w:cstheme="majorBidi"/>
          <w:lang w:val="en-US"/>
        </w:rPr>
        <w:t>manual laborer</w:t>
      </w:r>
      <w:r w:rsidR="007848C1" w:rsidRPr="00D20324">
        <w:rPr>
          <w:rFonts w:asciiTheme="majorBidi" w:hAnsiTheme="majorBidi" w:cstheme="majorBidi"/>
          <w:lang w:val="en-US"/>
        </w:rPr>
        <w:t xml:space="preserve">, one must note that </w:t>
      </w:r>
      <w:r w:rsidR="007848C1" w:rsidRPr="00D20324">
        <w:t xml:space="preserve">the distinction between </w:t>
      </w:r>
      <w:r w:rsidRPr="00D20324">
        <w:t xml:space="preserve">these two images of Jesus, as well as the distinction between </w:t>
      </w:r>
      <w:r w:rsidR="007848C1" w:rsidRPr="00D20324">
        <w:t>the Sanhedrin and the disciples in Acts 4:13</w:t>
      </w:r>
      <w:r w:rsidRPr="00D20324">
        <w:t>,</w:t>
      </w:r>
      <w:r w:rsidR="007848C1" w:rsidRPr="00D20324">
        <w:t xml:space="preserve"> is fundamentally one of social class.  </w:t>
      </w:r>
      <w:r w:rsidRPr="00D20324">
        <w:t xml:space="preserve">The Markan audience is surprised at Jesus for the same reason that the </w:t>
      </w:r>
      <w:r w:rsidR="007848C1" w:rsidRPr="00D20324">
        <w:t>Sanhedrin is surprised that Peter can speak eloquently concerning the Hebrew Scriptures</w:t>
      </w:r>
      <w:r w:rsidRPr="00D20324">
        <w:t xml:space="preserve">:  they  are </w:t>
      </w:r>
      <w:r w:rsidR="007848C1" w:rsidRPr="00D20324">
        <w:t xml:space="preserve">not from the </w:t>
      </w:r>
      <w:r w:rsidR="00E16634" w:rsidRPr="00D20324">
        <w:t>scribal-</w:t>
      </w:r>
      <w:r w:rsidR="007848C1" w:rsidRPr="00D20324">
        <w:t>educated stratum of Palestinian society.  Although members of the scribal-literate class could of course participate in manual labor if they desired or needed,</w:t>
      </w:r>
      <w:r w:rsidR="007848C1" w:rsidRPr="00D20324">
        <w:rPr>
          <w:rStyle w:val="FootnoteReference"/>
        </w:rPr>
        <w:footnoteReference w:id="41"/>
      </w:r>
      <w:r w:rsidR="007848C1" w:rsidRPr="00D20324">
        <w:t xml:space="preserve"> members of the manual-labor class could not</w:t>
      </w:r>
      <w:r w:rsidR="00C8679A">
        <w:t xml:space="preserve"> necessarily</w:t>
      </w:r>
      <w:r w:rsidR="007848C1" w:rsidRPr="00D20324">
        <w:t xml:space="preserve"> participate in activities that required scribal literacy, such as the public reading of the law or copying scrolls of </w:t>
      </w:r>
      <w:r w:rsidR="000716EA" w:rsidRPr="00D20324">
        <w:t>it</w:t>
      </w:r>
      <w:r w:rsidR="007848C1" w:rsidRPr="00D20324">
        <w:t xml:space="preserve">.  This </w:t>
      </w:r>
      <w:r w:rsidR="00E16634" w:rsidRPr="00D20324">
        <w:t xml:space="preserve">fundamental </w:t>
      </w:r>
      <w:r w:rsidR="007848C1" w:rsidRPr="00D20324">
        <w:t xml:space="preserve">disjunction between the educated scribal elite and manual laborers appears in various ways in Second Temple sources.  </w:t>
      </w:r>
      <w:r w:rsidR="00E16634" w:rsidRPr="00D20324">
        <w:t>Sometimes, as in Mark 6:3 (//Matt 13:55), it is stated explicitly.</w:t>
      </w:r>
      <w:r w:rsidR="007848C1" w:rsidRPr="00D20324">
        <w:t xml:space="preserve"> </w:t>
      </w:r>
      <w:r w:rsidR="00E16634" w:rsidRPr="00D20324">
        <w:t xml:space="preserve"> </w:t>
      </w:r>
      <w:r w:rsidR="007848C1" w:rsidRPr="00D20324">
        <w:t xml:space="preserve">Sirach (second century BCE) praises the scribe by contrasting him with manual laborers of all sorts, </w:t>
      </w:r>
      <w:r w:rsidR="000716EA" w:rsidRPr="00D20324">
        <w:t xml:space="preserve">including the carpenter/artisan </w:t>
      </w:r>
      <w:r w:rsidR="007848C1" w:rsidRPr="00D20324">
        <w:t>(</w:t>
      </w:r>
      <w:r w:rsidR="00D20324" w:rsidRPr="00D20324">
        <w:rPr>
          <w:rFonts w:ascii="SBL Greek" w:hAnsi="SBL Greek" w:cs="Times New Roman"/>
          <w:lang w:val="el-GR"/>
        </w:rPr>
        <w:t>τέκτων</w:t>
      </w:r>
      <w:r w:rsidR="007848C1" w:rsidRPr="00D20324">
        <w:t>)</w:t>
      </w:r>
      <w:r w:rsidR="00B65A5E" w:rsidRPr="00D20324">
        <w:t>, precisely the same word that the Markan Nazareth audience uses to designate Jesus</w:t>
      </w:r>
      <w:r w:rsidR="007848C1" w:rsidRPr="00D20324">
        <w:t>:</w:t>
      </w:r>
    </w:p>
    <w:p w:rsidR="00DC20FE" w:rsidRDefault="007848C1" w:rsidP="00DC20FE">
      <w:pPr>
        <w:spacing w:line="480" w:lineRule="auto"/>
        <w:ind w:left="1440" w:right="804"/>
        <w:jc w:val="both"/>
      </w:pPr>
      <w:r w:rsidRPr="00D20324">
        <w:t>The wisdom of the scribe depends on the opportunity of leisure.</w:t>
      </w:r>
      <w:r w:rsidRPr="00D20324">
        <w:rPr>
          <w:rStyle w:val="FootnoteReference"/>
        </w:rPr>
        <w:footnoteReference w:id="42"/>
      </w:r>
      <w:r w:rsidRPr="00D20324">
        <w:t xml:space="preserve">  Only the one who has little business can become wise.  How can one become wise who handles the plow, and who glories in the shaft of a goad, who drives oxen and is occupied with their work, and whose talk is about bulls? . . .  So it is with every artisan (</w:t>
      </w:r>
      <w:r w:rsidR="00D20324" w:rsidRPr="00D20324">
        <w:rPr>
          <w:rFonts w:ascii="SBL Greek" w:hAnsi="SBL Greek" w:cs="Times New Roman"/>
          <w:lang w:val="el-GR"/>
        </w:rPr>
        <w:t>τέκτων</w:t>
      </w:r>
      <w:r w:rsidRPr="00D20324">
        <w:t>) and master artisan who labours by night as well as by day. . . . So it is with the smith. . . .  So it is with the potter. . . .  All these rely on their hands, and all are skillful in their work.  Yet they are not sought out for the council of the people, nor do they attain eminence in the public assembly (</w:t>
      </w:r>
      <w:r w:rsidR="00D20324" w:rsidRPr="00D20324">
        <w:rPr>
          <w:rFonts w:ascii="SBL Greek" w:hAnsi="SBL Greek"/>
        </w:rPr>
        <w:t>ἐ</w:t>
      </w:r>
      <w:r w:rsidR="00D20324" w:rsidRPr="00D20324">
        <w:rPr>
          <w:rFonts w:ascii="SBL Greek" w:hAnsi="SBL Greek"/>
          <w:lang w:val="el-GR"/>
        </w:rPr>
        <w:t>κκλησίᾳ</w:t>
      </w:r>
      <w:r w:rsidRPr="00D20324">
        <w:t>). . . .  How different the one who devotes himself to the study of the law</w:t>
      </w:r>
      <w:r w:rsidR="00B65A5E" w:rsidRPr="00D20324">
        <w:t xml:space="preserve"> of the Most High.  He seeks out</w:t>
      </w:r>
      <w:r w:rsidRPr="00D20324">
        <w:t xml:space="preserve"> the wisdom of all the ancients, and is concerned with prophecies; he preserves the sayings of the famous and penetr</w:t>
      </w:r>
      <w:r w:rsidR="007A7828" w:rsidRPr="00D20324">
        <w:t>ates the subtleties of parables.  (Sir 38:24–39:2, NRSV)</w:t>
      </w:r>
      <w:r w:rsidR="001A492B" w:rsidRPr="00D20324">
        <w:rPr>
          <w:rStyle w:val="FootnoteReference"/>
        </w:rPr>
        <w:footnoteReference w:id="43"/>
      </w:r>
      <w:r w:rsidR="001A492B" w:rsidRPr="00D20324">
        <w:t xml:space="preserve">  </w:t>
      </w:r>
    </w:p>
    <w:p w:rsidR="00F805BA" w:rsidRPr="00DC20FE" w:rsidRDefault="00F805BA" w:rsidP="00DC20FE">
      <w:pPr>
        <w:spacing w:line="480" w:lineRule="auto"/>
        <w:ind w:right="804"/>
        <w:jc w:val="both"/>
      </w:pPr>
      <w:r w:rsidRPr="00D20324">
        <w:t>Particularly noteworthy</w:t>
      </w:r>
      <w:r w:rsidR="001A492B" w:rsidRPr="00D20324">
        <w:t xml:space="preserve"> in this regard</w:t>
      </w:r>
      <w:r w:rsidRPr="00D20324">
        <w:t xml:space="preserve"> is </w:t>
      </w:r>
      <w:r w:rsidR="00150474" w:rsidRPr="00D20324">
        <w:t xml:space="preserve">the </w:t>
      </w:r>
      <w:r w:rsidR="000F0AAA" w:rsidRPr="00D20324">
        <w:t>shared opinion</w:t>
      </w:r>
      <w:r w:rsidR="00150474" w:rsidRPr="00D20324">
        <w:t xml:space="preserve"> between</w:t>
      </w:r>
      <w:r w:rsidRPr="00D20324">
        <w:t xml:space="preserve"> the M</w:t>
      </w:r>
      <w:r w:rsidR="007A7828" w:rsidRPr="00D20324">
        <w:t>arkan Nazareth synagogue audience</w:t>
      </w:r>
      <w:r w:rsidR="00150474" w:rsidRPr="00D20324">
        <w:t xml:space="preserve"> and </w:t>
      </w:r>
      <w:r w:rsidR="007848C1" w:rsidRPr="00D20324">
        <w:t>Sirach that a carpenter (</w:t>
      </w:r>
      <w:r w:rsidR="00D20324" w:rsidRPr="00D20324">
        <w:rPr>
          <w:rFonts w:ascii="SBL Greek" w:hAnsi="SBL Greek" w:cs="Times New Roman"/>
          <w:lang w:val="el-GR"/>
        </w:rPr>
        <w:t>τέκτων</w:t>
      </w:r>
      <w:r w:rsidR="007848C1" w:rsidRPr="00D20324">
        <w:rPr>
          <w:rFonts w:asciiTheme="majorBidi" w:hAnsiTheme="majorBidi" w:cstheme="majorBidi"/>
        </w:rPr>
        <w:t>;</w:t>
      </w:r>
      <w:r w:rsidR="007848C1" w:rsidRPr="00D20324">
        <w:t xml:space="preserve"> </w:t>
      </w:r>
      <w:r w:rsidR="000F0AAA" w:rsidRPr="00D20324">
        <w:t xml:space="preserve">Sir </w:t>
      </w:r>
      <w:r w:rsidR="007848C1" w:rsidRPr="00D20324">
        <w:t xml:space="preserve">38:27) does not attain prominence in the </w:t>
      </w:r>
      <w:r w:rsidR="000716EA" w:rsidRPr="00D20324">
        <w:t>s</w:t>
      </w:r>
      <w:r w:rsidR="007848C1" w:rsidRPr="00D20324">
        <w:t>ynagogue (</w:t>
      </w:r>
      <w:r w:rsidR="00D20324" w:rsidRPr="00D20324">
        <w:rPr>
          <w:rFonts w:ascii="SBL Greek" w:hAnsi="SBL Greek"/>
        </w:rPr>
        <w:t>ἐ</w:t>
      </w:r>
      <w:r w:rsidR="00D20324" w:rsidRPr="00D20324">
        <w:rPr>
          <w:rFonts w:ascii="SBL Greek" w:hAnsi="SBL Greek"/>
          <w:lang w:val="el-GR"/>
        </w:rPr>
        <w:t>κκλησία</w:t>
      </w:r>
      <w:r w:rsidR="007848C1" w:rsidRPr="00D20324">
        <w:rPr>
          <w:rFonts w:asciiTheme="majorBidi" w:hAnsiTheme="majorBidi" w:cstheme="majorBidi"/>
        </w:rPr>
        <w:t xml:space="preserve">; </w:t>
      </w:r>
      <w:r w:rsidR="000F0AAA" w:rsidRPr="00D20324">
        <w:rPr>
          <w:rFonts w:asciiTheme="majorBidi" w:hAnsiTheme="majorBidi" w:cstheme="majorBidi"/>
        </w:rPr>
        <w:t xml:space="preserve">Sir </w:t>
      </w:r>
      <w:r w:rsidR="007848C1" w:rsidRPr="00D20324">
        <w:rPr>
          <w:rFonts w:asciiTheme="majorBidi" w:hAnsiTheme="majorBidi" w:cstheme="majorBidi"/>
        </w:rPr>
        <w:t>38:33)</w:t>
      </w:r>
      <w:r w:rsidRPr="00D20324">
        <w:rPr>
          <w:rFonts w:asciiTheme="majorBidi" w:hAnsiTheme="majorBidi" w:cstheme="majorBidi"/>
        </w:rPr>
        <w:t>.</w:t>
      </w:r>
      <w:r w:rsidR="007848C1" w:rsidRPr="00D20324">
        <w:rPr>
          <w:rStyle w:val="FootnoteReference"/>
          <w:rFonts w:asciiTheme="majorBidi" w:hAnsiTheme="majorBidi" w:cstheme="majorBidi"/>
        </w:rPr>
        <w:footnoteReference w:id="44"/>
      </w:r>
      <w:r w:rsidR="007848C1" w:rsidRPr="00D20324">
        <w:rPr>
          <w:rFonts w:asciiTheme="majorBidi" w:hAnsiTheme="majorBidi" w:cstheme="majorBidi"/>
        </w:rPr>
        <w:t xml:space="preserve"> </w:t>
      </w:r>
    </w:p>
    <w:p w:rsidR="00F805BA" w:rsidRPr="00D20324" w:rsidRDefault="00F805BA" w:rsidP="00F805BA">
      <w:pPr>
        <w:spacing w:line="480" w:lineRule="auto"/>
        <w:ind w:firstLine="720"/>
        <w:rPr>
          <w:rFonts w:asciiTheme="majorBidi" w:hAnsiTheme="majorBidi" w:cstheme="majorBidi"/>
        </w:rPr>
      </w:pPr>
      <w:r w:rsidRPr="00D20324">
        <w:rPr>
          <w:rFonts w:asciiTheme="majorBidi" w:hAnsiTheme="majorBidi" w:cstheme="majorBidi"/>
        </w:rPr>
        <w:t>Sometimes the disjunction between the scribal-literate class and manual laborers emerges in the ancient evidence in less explicit manners.  For example, and related directly to the topic at hand, one may note that outside Mark 6:3 (//Matt 13:55), there is not a single example in the entire historical record of someone identified as a manual laborer actively teaching in a synagogue.</w:t>
      </w:r>
      <w:r w:rsidR="002C31F8" w:rsidRPr="00D20324">
        <w:rPr>
          <w:rStyle w:val="FootnoteReference"/>
          <w:rFonts w:asciiTheme="majorBidi" w:hAnsiTheme="majorBidi" w:cstheme="majorBidi"/>
        </w:rPr>
        <w:footnoteReference w:id="45"/>
      </w:r>
      <w:r w:rsidRPr="00D20324">
        <w:rPr>
          <w:rFonts w:asciiTheme="majorBidi" w:hAnsiTheme="majorBidi" w:cstheme="majorBidi"/>
        </w:rPr>
        <w:t xml:space="preserve">  </w:t>
      </w:r>
      <w:r w:rsidR="004B7A96" w:rsidRPr="00D20324">
        <w:rPr>
          <w:rFonts w:asciiTheme="majorBidi" w:hAnsiTheme="majorBidi" w:cstheme="majorBidi"/>
        </w:rPr>
        <w:t xml:space="preserve">In this light, </w:t>
      </w:r>
      <w:r w:rsidRPr="00D20324">
        <w:rPr>
          <w:rFonts w:asciiTheme="majorBidi" w:hAnsiTheme="majorBidi" w:cstheme="majorBidi"/>
        </w:rPr>
        <w:t xml:space="preserve">Jesus’ rejection </w:t>
      </w:r>
      <w:r w:rsidR="004B7A96" w:rsidRPr="00D20324">
        <w:rPr>
          <w:rFonts w:asciiTheme="majorBidi" w:hAnsiTheme="majorBidi" w:cstheme="majorBidi"/>
        </w:rPr>
        <w:t xml:space="preserve">in Nazareth </w:t>
      </w:r>
      <w:r w:rsidRPr="00D20324">
        <w:rPr>
          <w:rFonts w:asciiTheme="majorBidi" w:hAnsiTheme="majorBidi" w:cstheme="majorBidi"/>
        </w:rPr>
        <w:t xml:space="preserve">on this basis </w:t>
      </w:r>
      <w:r w:rsidR="004B7A96" w:rsidRPr="00D20324">
        <w:rPr>
          <w:rFonts w:asciiTheme="majorBidi" w:hAnsiTheme="majorBidi" w:cstheme="majorBidi"/>
        </w:rPr>
        <w:t>is unsurprising</w:t>
      </w:r>
      <w:r w:rsidRPr="00D20324">
        <w:rPr>
          <w:rFonts w:asciiTheme="majorBidi" w:hAnsiTheme="majorBidi" w:cstheme="majorBidi"/>
        </w:rPr>
        <w:t>.  D</w:t>
      </w:r>
      <w:r w:rsidR="007848C1" w:rsidRPr="00D20324">
        <w:rPr>
          <w:rFonts w:asciiTheme="majorBidi" w:hAnsiTheme="majorBidi" w:cstheme="majorBidi"/>
        </w:rPr>
        <w:t>epictions of synagogue teaching in the Second Temple period identify whose who break from their labor as sitting and listening to the law read and taught by others (priests, elders), not reading it themselves.</w:t>
      </w:r>
      <w:r w:rsidR="007848C1" w:rsidRPr="00D20324">
        <w:rPr>
          <w:rStyle w:val="FootnoteReference"/>
          <w:rFonts w:asciiTheme="majorBidi" w:hAnsiTheme="majorBidi" w:cstheme="majorBidi"/>
        </w:rPr>
        <w:footnoteReference w:id="46"/>
      </w:r>
      <w:r w:rsidR="007848C1" w:rsidRPr="00D20324">
        <w:rPr>
          <w:rFonts w:asciiTheme="majorBidi" w:hAnsiTheme="majorBidi" w:cstheme="majorBidi"/>
        </w:rPr>
        <w:t xml:space="preserve">  </w:t>
      </w:r>
      <w:r w:rsidR="00A740A7" w:rsidRPr="00D20324">
        <w:rPr>
          <w:rFonts w:asciiTheme="majorBidi" w:hAnsiTheme="majorBidi" w:cstheme="majorBidi"/>
        </w:rPr>
        <w:t xml:space="preserve">Public reading </w:t>
      </w:r>
      <w:r w:rsidR="00216BA3" w:rsidRPr="00D20324">
        <w:rPr>
          <w:rFonts w:asciiTheme="majorBidi" w:hAnsiTheme="majorBidi" w:cstheme="majorBidi"/>
        </w:rPr>
        <w:t xml:space="preserve">of the Scripture </w:t>
      </w:r>
      <w:r w:rsidR="00A740A7" w:rsidRPr="00D20324">
        <w:rPr>
          <w:rFonts w:asciiTheme="majorBidi" w:hAnsiTheme="majorBidi" w:cstheme="majorBidi"/>
        </w:rPr>
        <w:t>was a specialized skill acquired in scribal-literate education.  Not even all the Qumranites had mastered it (4Q266 5.2.1–4).</w:t>
      </w:r>
    </w:p>
    <w:p w:rsidR="007848C1" w:rsidRPr="00D20324" w:rsidRDefault="00F805BA" w:rsidP="00D6797F">
      <w:pPr>
        <w:spacing w:line="480" w:lineRule="auto"/>
        <w:ind w:firstLine="720"/>
        <w:rPr>
          <w:rFonts w:asciiTheme="majorBidi" w:hAnsiTheme="majorBidi" w:cstheme="majorBidi"/>
        </w:rPr>
      </w:pPr>
      <w:r w:rsidRPr="00D20324">
        <w:rPr>
          <w:rFonts w:asciiTheme="majorBidi" w:hAnsiTheme="majorBidi" w:cstheme="majorBidi"/>
        </w:rPr>
        <w:t>The disjunction between the manual-labor class and scribal-literate class evident in these sources does not indicate that no member of the manual-labor class ever accessed scribal-literate education at any point in Second Temple Judaism.  There may very well have been exceptions.</w:t>
      </w:r>
      <w:r w:rsidRPr="00D20324">
        <w:rPr>
          <w:rStyle w:val="FootnoteReference"/>
          <w:rFonts w:asciiTheme="majorBidi" w:hAnsiTheme="majorBidi" w:cstheme="majorBidi"/>
        </w:rPr>
        <w:footnoteReference w:id="47"/>
      </w:r>
      <w:r w:rsidRPr="00D20324">
        <w:rPr>
          <w:rFonts w:asciiTheme="majorBidi" w:hAnsiTheme="majorBidi" w:cstheme="majorBidi"/>
        </w:rPr>
        <w:t xml:space="preserve">  These sources indicate, however, just how exce</w:t>
      </w:r>
      <w:r w:rsidR="00D84DB5" w:rsidRPr="00D20324">
        <w:rPr>
          <w:rFonts w:asciiTheme="majorBidi" w:hAnsiTheme="majorBidi" w:cstheme="majorBidi"/>
        </w:rPr>
        <w:t xml:space="preserve">ptional </w:t>
      </w:r>
      <w:r w:rsidR="004B7A96" w:rsidRPr="00D20324">
        <w:rPr>
          <w:rFonts w:asciiTheme="majorBidi" w:hAnsiTheme="majorBidi" w:cstheme="majorBidi"/>
        </w:rPr>
        <w:t xml:space="preserve">such </w:t>
      </w:r>
      <w:r w:rsidR="00D84DB5" w:rsidRPr="00D20324">
        <w:rPr>
          <w:rFonts w:asciiTheme="majorBidi" w:hAnsiTheme="majorBidi" w:cstheme="majorBidi"/>
        </w:rPr>
        <w:t>a case would be</w:t>
      </w:r>
      <w:r w:rsidR="00932499" w:rsidRPr="00D20324">
        <w:rPr>
          <w:rFonts w:asciiTheme="majorBidi" w:hAnsiTheme="majorBidi" w:cstheme="majorBidi"/>
        </w:rPr>
        <w:t>,</w:t>
      </w:r>
      <w:r w:rsidR="00D84DB5" w:rsidRPr="00D20324">
        <w:rPr>
          <w:rFonts w:asciiTheme="majorBidi" w:hAnsiTheme="majorBidi" w:cstheme="majorBidi"/>
        </w:rPr>
        <w:t xml:space="preserve"> the individual having accomplished something that Sirach believed all but impossible. </w:t>
      </w:r>
      <w:r w:rsidRPr="00D20324">
        <w:rPr>
          <w:rFonts w:asciiTheme="majorBidi" w:hAnsiTheme="majorBidi" w:cstheme="majorBidi"/>
        </w:rPr>
        <w:t xml:space="preserve"> </w:t>
      </w:r>
      <w:r w:rsidR="00D84DB5" w:rsidRPr="00D20324">
        <w:rPr>
          <w:rFonts w:asciiTheme="majorBidi" w:hAnsiTheme="majorBidi" w:cstheme="majorBidi"/>
        </w:rPr>
        <w:t xml:space="preserve">For </w:t>
      </w:r>
      <w:r w:rsidR="008F0343" w:rsidRPr="00D20324">
        <w:rPr>
          <w:rFonts w:asciiTheme="majorBidi" w:hAnsiTheme="majorBidi" w:cstheme="majorBidi"/>
        </w:rPr>
        <w:t xml:space="preserve">the vast majority </w:t>
      </w:r>
      <w:r w:rsidR="00D84DB5" w:rsidRPr="00D20324">
        <w:rPr>
          <w:rFonts w:asciiTheme="majorBidi" w:hAnsiTheme="majorBidi" w:cstheme="majorBidi"/>
        </w:rPr>
        <w:t xml:space="preserve">of Second Temple Judaism, manual labor and scribal literacy dwelled in mutually exclusive </w:t>
      </w:r>
      <w:r w:rsidR="002C31F8" w:rsidRPr="00D20324">
        <w:rPr>
          <w:rFonts w:asciiTheme="majorBidi" w:hAnsiTheme="majorBidi" w:cstheme="majorBidi"/>
        </w:rPr>
        <w:t xml:space="preserve">social </w:t>
      </w:r>
      <w:r w:rsidR="00D84DB5" w:rsidRPr="00D20324">
        <w:rPr>
          <w:rFonts w:asciiTheme="majorBidi" w:hAnsiTheme="majorBidi" w:cstheme="majorBidi"/>
        </w:rPr>
        <w:t xml:space="preserve">categories, and this reality is precisely what the charge </w:t>
      </w:r>
      <w:r w:rsidR="00A87847" w:rsidRPr="00D20324">
        <w:rPr>
          <w:rFonts w:asciiTheme="majorBidi" w:hAnsiTheme="majorBidi" w:cstheme="majorBidi"/>
        </w:rPr>
        <w:t xml:space="preserve">against Jesus </w:t>
      </w:r>
      <w:r w:rsidR="00D84DB5" w:rsidRPr="00D20324">
        <w:rPr>
          <w:rFonts w:asciiTheme="majorBidi" w:hAnsiTheme="majorBidi" w:cstheme="majorBidi"/>
        </w:rPr>
        <w:t xml:space="preserve">in Mark 6:3 reflects.  </w:t>
      </w:r>
      <w:r w:rsidR="00A87847" w:rsidRPr="00D20324">
        <w:rPr>
          <w:rFonts w:asciiTheme="majorBidi" w:hAnsiTheme="majorBidi" w:cstheme="majorBidi"/>
        </w:rPr>
        <w:t xml:space="preserve">Furthermore, </w:t>
      </w:r>
      <w:r w:rsidR="00D84DB5" w:rsidRPr="00D20324">
        <w:rPr>
          <w:rFonts w:asciiTheme="majorBidi" w:hAnsiTheme="majorBidi" w:cstheme="majorBidi"/>
        </w:rPr>
        <w:t xml:space="preserve">Luke </w:t>
      </w:r>
      <w:r w:rsidR="00A87847" w:rsidRPr="00D20324">
        <w:rPr>
          <w:rFonts w:asciiTheme="majorBidi" w:hAnsiTheme="majorBidi" w:cstheme="majorBidi"/>
        </w:rPr>
        <w:t xml:space="preserve">clearly </w:t>
      </w:r>
      <w:r w:rsidR="00D84DB5" w:rsidRPr="00D20324">
        <w:rPr>
          <w:rFonts w:asciiTheme="majorBidi" w:hAnsiTheme="majorBidi" w:cstheme="majorBidi"/>
        </w:rPr>
        <w:t xml:space="preserve">reads the text in </w:t>
      </w:r>
      <w:r w:rsidR="00D6797F" w:rsidRPr="00D20324">
        <w:rPr>
          <w:rFonts w:asciiTheme="majorBidi" w:hAnsiTheme="majorBidi" w:cstheme="majorBidi"/>
        </w:rPr>
        <w:t xml:space="preserve">exactly </w:t>
      </w:r>
      <w:r w:rsidR="00D84DB5" w:rsidRPr="00D20324">
        <w:rPr>
          <w:rFonts w:asciiTheme="majorBidi" w:hAnsiTheme="majorBidi" w:cstheme="majorBidi"/>
        </w:rPr>
        <w:t xml:space="preserve">this manner.  In order to attribute to Jesus the skills of public reading and teaching in the synagogue, he </w:t>
      </w:r>
      <w:r w:rsidR="00D6797F" w:rsidRPr="00D20324">
        <w:rPr>
          <w:rFonts w:asciiTheme="majorBidi" w:hAnsiTheme="majorBidi" w:cstheme="majorBidi"/>
        </w:rPr>
        <w:t>r</w:t>
      </w:r>
      <w:r w:rsidR="002E4E00" w:rsidRPr="00D20324">
        <w:rPr>
          <w:rFonts w:asciiTheme="majorBidi" w:hAnsiTheme="majorBidi" w:cstheme="majorBidi"/>
        </w:rPr>
        <w:t>emove</w:t>
      </w:r>
      <w:r w:rsidR="00D6797F" w:rsidRPr="00D20324">
        <w:rPr>
          <w:rFonts w:asciiTheme="majorBidi" w:hAnsiTheme="majorBidi" w:cstheme="majorBidi"/>
        </w:rPr>
        <w:t>s</w:t>
      </w:r>
      <w:r w:rsidR="002E4E00" w:rsidRPr="00D20324">
        <w:rPr>
          <w:rFonts w:asciiTheme="majorBidi" w:hAnsiTheme="majorBidi" w:cstheme="majorBidi"/>
        </w:rPr>
        <w:t xml:space="preserve"> the reference to Jesus as a carpenter</w:t>
      </w:r>
      <w:r w:rsidR="00D84DB5" w:rsidRPr="00D20324">
        <w:rPr>
          <w:rFonts w:asciiTheme="majorBidi" w:hAnsiTheme="majorBidi" w:cstheme="majorBidi"/>
        </w:rPr>
        <w:t>.  Luke thereby</w:t>
      </w:r>
      <w:r w:rsidR="002E4E00" w:rsidRPr="00D20324">
        <w:rPr>
          <w:rFonts w:asciiTheme="majorBidi" w:hAnsiTheme="majorBidi" w:cstheme="majorBidi"/>
        </w:rPr>
        <w:t xml:space="preserve"> moves Jesus from scribal-illiterate </w:t>
      </w:r>
      <w:r w:rsidR="007A7828" w:rsidRPr="00D20324">
        <w:rPr>
          <w:rFonts w:asciiTheme="majorBidi" w:hAnsiTheme="majorBidi" w:cstheme="majorBidi"/>
        </w:rPr>
        <w:t xml:space="preserve">status </w:t>
      </w:r>
      <w:r w:rsidR="002E4E00" w:rsidRPr="00D20324">
        <w:rPr>
          <w:rFonts w:asciiTheme="majorBidi" w:hAnsiTheme="majorBidi" w:cstheme="majorBidi"/>
        </w:rPr>
        <w:t>to scribal-literate status</w:t>
      </w:r>
      <w:r w:rsidR="00D84DB5" w:rsidRPr="00D20324">
        <w:rPr>
          <w:rFonts w:asciiTheme="majorBidi" w:hAnsiTheme="majorBidi" w:cstheme="majorBidi"/>
        </w:rPr>
        <w:t>, from being “not like the scribes” (Mark 1:22//Matt 7:29) to being like the</w:t>
      </w:r>
      <w:r w:rsidR="00D6797F" w:rsidRPr="00D20324">
        <w:rPr>
          <w:rFonts w:asciiTheme="majorBidi" w:hAnsiTheme="majorBidi" w:cstheme="majorBidi"/>
        </w:rPr>
        <w:t>m</w:t>
      </w:r>
      <w:r w:rsidR="002B09F2" w:rsidRPr="00D20324">
        <w:rPr>
          <w:rFonts w:asciiTheme="majorBidi" w:hAnsiTheme="majorBidi" w:cstheme="majorBidi"/>
        </w:rPr>
        <w:t>, which is most likely why he also does not repeat the final clause of Mark 1:22 in Luke 4:32.</w:t>
      </w:r>
    </w:p>
    <w:p w:rsidR="00CF6945" w:rsidRPr="00D20324" w:rsidRDefault="002E4E00" w:rsidP="00D20324">
      <w:pPr>
        <w:spacing w:line="480" w:lineRule="auto"/>
        <w:rPr>
          <w:rFonts w:asciiTheme="majorBidi" w:hAnsiTheme="majorBidi" w:cstheme="majorBidi"/>
        </w:rPr>
      </w:pPr>
      <w:r w:rsidRPr="00D20324">
        <w:rPr>
          <w:rFonts w:asciiTheme="majorBidi" w:hAnsiTheme="majorBidi" w:cstheme="majorBidi"/>
        </w:rPr>
        <w:tab/>
      </w:r>
      <w:r w:rsidR="002C31F8" w:rsidRPr="00D20324">
        <w:rPr>
          <w:rFonts w:asciiTheme="majorBidi" w:hAnsiTheme="majorBidi" w:cstheme="majorBidi"/>
        </w:rPr>
        <w:t>The next example of Lukan redaction of Mark’s Jesus deals once more with exactly this complex of issues</w:t>
      </w:r>
      <w:r w:rsidR="00DC211B">
        <w:rPr>
          <w:rFonts w:asciiTheme="majorBidi" w:hAnsiTheme="majorBidi" w:cstheme="majorBidi"/>
        </w:rPr>
        <w:t xml:space="preserve"> and is the second aspect of Luke 4 that demonstrates Luke’s rejection of the Markan portrayal of a Jesus who was unqualified to be a synagogue teacher</w:t>
      </w:r>
      <w:r w:rsidR="002C31F8" w:rsidRPr="00D20324">
        <w:rPr>
          <w:rFonts w:asciiTheme="majorBidi" w:hAnsiTheme="majorBidi" w:cstheme="majorBidi"/>
        </w:rPr>
        <w:t xml:space="preserve">.  </w:t>
      </w:r>
      <w:r w:rsidRPr="00D20324">
        <w:rPr>
          <w:rFonts w:asciiTheme="majorBidi" w:hAnsiTheme="majorBidi" w:cstheme="majorBidi"/>
        </w:rPr>
        <w:t xml:space="preserve">In both Mark’s and Matthew’s Gospels, Jesus never again sets foot in a synagogue after being rejected in his hometown.  Mark 10:1 thus describes Jesus’ pedagogical habit as teaching crowds </w:t>
      </w:r>
      <w:r w:rsidR="00A87847" w:rsidRPr="00D20324">
        <w:rPr>
          <w:rFonts w:asciiTheme="majorBidi" w:hAnsiTheme="majorBidi" w:cstheme="majorBidi"/>
        </w:rPr>
        <w:t>as they gather</w:t>
      </w:r>
      <w:r w:rsidRPr="00D20324">
        <w:rPr>
          <w:rFonts w:asciiTheme="majorBidi" w:hAnsiTheme="majorBidi" w:cstheme="majorBidi"/>
        </w:rPr>
        <w:t xml:space="preserve"> around him:  “And the crowds were again gathering to him, and he again began teaching them, as was his custom (</w:t>
      </w:r>
      <w:r w:rsidR="00D20324" w:rsidRPr="00D20324">
        <w:rPr>
          <w:rFonts w:ascii="SBL Greek" w:hAnsi="SBL Greek" w:cstheme="majorBidi"/>
        </w:rPr>
        <w:t>ὡ</w:t>
      </w:r>
      <w:r w:rsidR="00D20324" w:rsidRPr="00D20324">
        <w:rPr>
          <w:rFonts w:ascii="SBL Greek" w:hAnsi="SBL Greek" w:cstheme="majorBidi"/>
          <w:lang w:val="el-GR"/>
        </w:rPr>
        <w:t>ς</w:t>
      </w:r>
      <w:r w:rsidR="00D20324" w:rsidRPr="00D20324">
        <w:rPr>
          <w:rFonts w:ascii="SBL Greek" w:hAnsi="SBL Greek" w:cstheme="majorBidi"/>
        </w:rPr>
        <w:t xml:space="preserve"> </w:t>
      </w:r>
      <w:r w:rsidR="00D20324" w:rsidRPr="00D20324">
        <w:rPr>
          <w:rFonts w:ascii="SBL Greek" w:hAnsi="SBL Greek" w:cstheme="majorBidi"/>
          <w:lang w:val="el-GR"/>
        </w:rPr>
        <w:t>εἰώθει</w:t>
      </w:r>
      <w:r w:rsidRPr="00D20324">
        <w:rPr>
          <w:rFonts w:asciiTheme="majorBidi" w:hAnsiTheme="majorBidi" w:cstheme="majorBidi"/>
        </w:rPr>
        <w:t>).”  In contrast, the Lukan Jesus not only teaches in synagogues</w:t>
      </w:r>
      <w:r w:rsidR="002C31F8" w:rsidRPr="00D20324">
        <w:rPr>
          <w:rFonts w:asciiTheme="majorBidi" w:hAnsiTheme="majorBidi" w:cstheme="majorBidi"/>
        </w:rPr>
        <w:t xml:space="preserve"> after his rejection in Nazareth</w:t>
      </w:r>
      <w:r w:rsidRPr="00D20324">
        <w:rPr>
          <w:rFonts w:asciiTheme="majorBidi" w:hAnsiTheme="majorBidi" w:cstheme="majorBidi"/>
        </w:rPr>
        <w:t xml:space="preserve"> (</w:t>
      </w:r>
      <w:r w:rsidR="00312210" w:rsidRPr="00D20324">
        <w:rPr>
          <w:rFonts w:asciiTheme="majorBidi" w:hAnsiTheme="majorBidi" w:cstheme="majorBidi"/>
        </w:rPr>
        <w:t>Luke 4:</w:t>
      </w:r>
      <w:r w:rsidRPr="00D20324">
        <w:t>44; 6:6; 13:10</w:t>
      </w:r>
      <w:r w:rsidR="00A87847" w:rsidRPr="00D20324">
        <w:rPr>
          <w:rFonts w:asciiTheme="majorBidi" w:hAnsiTheme="majorBidi" w:cstheme="majorBidi"/>
        </w:rPr>
        <w:t>) but</w:t>
      </w:r>
      <w:r w:rsidR="002C31F8" w:rsidRPr="00D20324">
        <w:rPr>
          <w:rFonts w:asciiTheme="majorBidi" w:hAnsiTheme="majorBidi" w:cstheme="majorBidi"/>
        </w:rPr>
        <w:t xml:space="preserve"> does so </w:t>
      </w:r>
      <w:r w:rsidRPr="00D20324">
        <w:rPr>
          <w:rFonts w:asciiTheme="majorBidi" w:hAnsiTheme="majorBidi" w:cstheme="majorBidi"/>
        </w:rPr>
        <w:t xml:space="preserve">in the very next </w:t>
      </w:r>
      <w:r w:rsidR="007A7828" w:rsidRPr="00D20324">
        <w:rPr>
          <w:rFonts w:asciiTheme="majorBidi" w:hAnsiTheme="majorBidi" w:cstheme="majorBidi"/>
        </w:rPr>
        <w:t>pericope</w:t>
      </w:r>
      <w:r w:rsidRPr="00D20324">
        <w:rPr>
          <w:rFonts w:asciiTheme="majorBidi" w:hAnsiTheme="majorBidi" w:cstheme="majorBidi"/>
        </w:rPr>
        <w:t xml:space="preserve"> (Luke 4:31–37).</w:t>
      </w:r>
      <w:r w:rsidR="00312210" w:rsidRPr="00D20324">
        <w:rPr>
          <w:rFonts w:asciiTheme="majorBidi" w:hAnsiTheme="majorBidi" w:cstheme="majorBidi"/>
        </w:rPr>
        <w:t xml:space="preserve">  </w:t>
      </w:r>
      <w:r w:rsidR="002C31F8" w:rsidRPr="00D20324">
        <w:rPr>
          <w:rFonts w:asciiTheme="majorBidi" w:hAnsiTheme="majorBidi" w:cstheme="majorBidi"/>
        </w:rPr>
        <w:t xml:space="preserve">Consistent with this difference between Mark and Luke, and in contrast to Mark 10:1, </w:t>
      </w:r>
      <w:r w:rsidR="00312210" w:rsidRPr="00D20324">
        <w:rPr>
          <w:rFonts w:asciiTheme="majorBidi" w:hAnsiTheme="majorBidi" w:cstheme="majorBidi"/>
        </w:rPr>
        <w:t xml:space="preserve">Luke 4:16 </w:t>
      </w:r>
      <w:r w:rsidR="002C31F8" w:rsidRPr="00D20324">
        <w:rPr>
          <w:rFonts w:asciiTheme="majorBidi" w:hAnsiTheme="majorBidi" w:cstheme="majorBidi"/>
        </w:rPr>
        <w:t>describes Jesus’ pedagogical habit as teaching and reading in the synagogue</w:t>
      </w:r>
      <w:r w:rsidR="00312210" w:rsidRPr="00D20324">
        <w:rPr>
          <w:rFonts w:asciiTheme="majorBidi" w:hAnsiTheme="majorBidi" w:cstheme="majorBidi"/>
        </w:rPr>
        <w:t>:  “And he went, according to his custom (</w:t>
      </w:r>
      <w:r w:rsidR="00D20324" w:rsidRPr="00D20324">
        <w:rPr>
          <w:rFonts w:ascii="SBL Greek" w:hAnsi="SBL Greek" w:cstheme="majorBidi"/>
          <w:lang w:val="el-GR"/>
        </w:rPr>
        <w:t>κατὰ</w:t>
      </w:r>
      <w:r w:rsidR="00D20324" w:rsidRPr="00D20324">
        <w:rPr>
          <w:rFonts w:ascii="SBL Greek" w:hAnsi="SBL Greek" w:cstheme="majorBidi"/>
        </w:rPr>
        <w:t xml:space="preserve"> </w:t>
      </w:r>
      <w:r w:rsidR="00D20324" w:rsidRPr="00D20324">
        <w:rPr>
          <w:rFonts w:ascii="SBL Greek" w:hAnsi="SBL Greek" w:cstheme="majorBidi"/>
          <w:lang w:val="el-GR"/>
        </w:rPr>
        <w:t>τὸ</w:t>
      </w:r>
      <w:r w:rsidR="00D20324" w:rsidRPr="00D20324">
        <w:rPr>
          <w:rFonts w:ascii="SBL Greek" w:hAnsi="SBL Greek" w:cstheme="majorBidi"/>
        </w:rPr>
        <w:t xml:space="preserve"> </w:t>
      </w:r>
      <w:r w:rsidR="00D20324" w:rsidRPr="00D20324">
        <w:rPr>
          <w:rFonts w:ascii="SBL Greek" w:hAnsi="SBL Greek" w:cstheme="majorBidi"/>
          <w:lang w:val="el-GR"/>
        </w:rPr>
        <w:t>εἰωθὸς</w:t>
      </w:r>
      <w:r w:rsidR="00D20324" w:rsidRPr="00D20324">
        <w:rPr>
          <w:rFonts w:ascii="SBL Greek" w:hAnsi="SBL Greek" w:cstheme="majorBidi"/>
        </w:rPr>
        <w:t xml:space="preserve"> </w:t>
      </w:r>
      <w:r w:rsidR="00D20324" w:rsidRPr="00D20324">
        <w:rPr>
          <w:rFonts w:ascii="SBL Greek" w:hAnsi="SBL Greek" w:cstheme="majorBidi"/>
          <w:lang w:val="el-GR"/>
        </w:rPr>
        <w:t>αὐτῷ</w:t>
      </w:r>
      <w:r w:rsidR="00312210" w:rsidRPr="00D20324">
        <w:rPr>
          <w:rFonts w:asciiTheme="majorBidi" w:hAnsiTheme="majorBidi" w:cstheme="majorBidi"/>
        </w:rPr>
        <w:t xml:space="preserve">) on the Sabbath day, into the synagogue and he stood in order to read.”  This text is more significant than may first appear and I will return to it at the end of this essay.  For present purposes, it will suffice to observe that, whereas Mark’s </w:t>
      </w:r>
      <w:r w:rsidR="002C31F8" w:rsidRPr="00D20324">
        <w:rPr>
          <w:rFonts w:asciiTheme="majorBidi" w:hAnsiTheme="majorBidi" w:cstheme="majorBidi"/>
        </w:rPr>
        <w:t xml:space="preserve">carpenter </w:t>
      </w:r>
      <w:r w:rsidR="00312210" w:rsidRPr="00D20324">
        <w:rPr>
          <w:rFonts w:asciiTheme="majorBidi" w:hAnsiTheme="majorBidi" w:cstheme="majorBidi"/>
        </w:rPr>
        <w:t xml:space="preserve">Jesus is exposed as an imposter to the role of synagogue teacher </w:t>
      </w:r>
      <w:r w:rsidR="000F0AAA" w:rsidRPr="00D20324">
        <w:rPr>
          <w:rFonts w:asciiTheme="majorBidi" w:hAnsiTheme="majorBidi" w:cstheme="majorBidi"/>
        </w:rPr>
        <w:t xml:space="preserve">in his hometown </w:t>
      </w:r>
      <w:r w:rsidR="00312210" w:rsidRPr="00D20324">
        <w:rPr>
          <w:rFonts w:asciiTheme="majorBidi" w:hAnsiTheme="majorBidi" w:cstheme="majorBidi"/>
        </w:rPr>
        <w:t>and never attempts to function as one the</w:t>
      </w:r>
      <w:r w:rsidR="00A87847" w:rsidRPr="00D20324">
        <w:rPr>
          <w:rFonts w:asciiTheme="majorBidi" w:hAnsiTheme="majorBidi" w:cstheme="majorBidi"/>
        </w:rPr>
        <w:t>reafter, Luke’s Jesus is regularly</w:t>
      </w:r>
      <w:r w:rsidR="00312210" w:rsidRPr="00D20324">
        <w:rPr>
          <w:rFonts w:asciiTheme="majorBidi" w:hAnsiTheme="majorBidi" w:cstheme="majorBidi"/>
        </w:rPr>
        <w:t xml:space="preserve"> in a synagogue, reading and </w:t>
      </w:r>
      <w:r w:rsidR="000F0AAA" w:rsidRPr="00D20324">
        <w:rPr>
          <w:rFonts w:asciiTheme="majorBidi" w:hAnsiTheme="majorBidi" w:cstheme="majorBidi"/>
        </w:rPr>
        <w:t>t</w:t>
      </w:r>
      <w:r w:rsidR="00312210" w:rsidRPr="00D20324">
        <w:rPr>
          <w:rFonts w:asciiTheme="majorBidi" w:hAnsiTheme="majorBidi" w:cstheme="majorBidi"/>
        </w:rPr>
        <w:t>eachin</w:t>
      </w:r>
      <w:r w:rsidR="000F0AAA" w:rsidRPr="00D20324">
        <w:rPr>
          <w:rFonts w:asciiTheme="majorBidi" w:hAnsiTheme="majorBidi" w:cstheme="majorBidi"/>
        </w:rPr>
        <w:t>g on Scripture</w:t>
      </w:r>
      <w:r w:rsidR="00312210" w:rsidRPr="00D20324">
        <w:rPr>
          <w:rFonts w:asciiTheme="majorBidi" w:hAnsiTheme="majorBidi" w:cstheme="majorBidi"/>
        </w:rPr>
        <w:t>.</w:t>
      </w:r>
    </w:p>
    <w:p w:rsidR="00312210" w:rsidRPr="00D20324" w:rsidRDefault="00312210" w:rsidP="000D0D59">
      <w:pPr>
        <w:spacing w:line="480" w:lineRule="auto"/>
        <w:rPr>
          <w:rFonts w:asciiTheme="majorBidi" w:hAnsiTheme="majorBidi" w:cstheme="majorBidi"/>
        </w:rPr>
      </w:pPr>
      <w:r w:rsidRPr="00D20324">
        <w:rPr>
          <w:rFonts w:asciiTheme="majorBidi" w:hAnsiTheme="majorBidi" w:cstheme="majorBidi"/>
          <w:i/>
          <w:iCs/>
        </w:rPr>
        <w:t>2.1.2 Material Unique to Luke’s Gospel</w:t>
      </w:r>
    </w:p>
    <w:p w:rsidR="00A42682" w:rsidRPr="00D20324" w:rsidRDefault="00312210" w:rsidP="002C31F8">
      <w:pPr>
        <w:spacing w:line="480" w:lineRule="auto"/>
        <w:rPr>
          <w:rFonts w:asciiTheme="majorBidi" w:hAnsiTheme="majorBidi" w:cstheme="majorBidi"/>
        </w:rPr>
      </w:pPr>
      <w:r w:rsidRPr="00D20324">
        <w:rPr>
          <w:rFonts w:asciiTheme="majorBidi" w:hAnsiTheme="majorBidi" w:cstheme="majorBidi"/>
        </w:rPr>
        <w:tab/>
      </w:r>
      <w:r w:rsidR="002C31F8" w:rsidRPr="00D20324">
        <w:rPr>
          <w:rFonts w:asciiTheme="majorBidi" w:hAnsiTheme="majorBidi" w:cstheme="majorBidi"/>
        </w:rPr>
        <w:t>We have alrea</w:t>
      </w:r>
      <w:r w:rsidR="000F0AAA" w:rsidRPr="00D20324">
        <w:rPr>
          <w:rFonts w:asciiTheme="majorBidi" w:hAnsiTheme="majorBidi" w:cstheme="majorBidi"/>
        </w:rPr>
        <w:t>dy considered one unique Lukan ad</w:t>
      </w:r>
      <w:r w:rsidR="002C31F8" w:rsidRPr="00D20324">
        <w:rPr>
          <w:rFonts w:asciiTheme="majorBidi" w:hAnsiTheme="majorBidi" w:cstheme="majorBidi"/>
        </w:rPr>
        <w:t xml:space="preserve">dition to his Gospel that establishes Jesus as a scribal-literate authority instead of a manual laborer:  Luke’s attribution of public reading of Isaiah </w:t>
      </w:r>
      <w:r w:rsidR="001A0D86" w:rsidRPr="00D20324">
        <w:rPr>
          <w:rFonts w:asciiTheme="majorBidi" w:hAnsiTheme="majorBidi" w:cstheme="majorBidi"/>
        </w:rPr>
        <w:t xml:space="preserve">in a synagogue </w:t>
      </w:r>
      <w:r w:rsidR="002C31F8" w:rsidRPr="00D20324">
        <w:rPr>
          <w:rFonts w:asciiTheme="majorBidi" w:hAnsiTheme="majorBidi" w:cstheme="majorBidi"/>
        </w:rPr>
        <w:t>to Jesus.</w:t>
      </w:r>
      <w:r w:rsidR="001A0D86" w:rsidRPr="00D20324">
        <w:rPr>
          <w:rFonts w:asciiTheme="majorBidi" w:hAnsiTheme="majorBidi" w:cstheme="majorBidi"/>
        </w:rPr>
        <w:t xml:space="preserve">  Other uniquely Lukan traditions are not quite as explicit in affirming Jesus’ status as a scribal-literate teacher, but are consistent with it.</w:t>
      </w:r>
    </w:p>
    <w:p w:rsidR="00A57E30" w:rsidRPr="00D20324" w:rsidRDefault="00A42682" w:rsidP="002B09F2">
      <w:pPr>
        <w:spacing w:line="480" w:lineRule="auto"/>
        <w:rPr>
          <w:rFonts w:asciiTheme="majorBidi" w:hAnsiTheme="majorBidi" w:cstheme="majorBidi"/>
        </w:rPr>
      </w:pPr>
      <w:r w:rsidRPr="00D20324">
        <w:rPr>
          <w:rFonts w:asciiTheme="majorBidi" w:hAnsiTheme="majorBidi" w:cstheme="majorBidi"/>
        </w:rPr>
        <w:tab/>
      </w:r>
      <w:r w:rsidR="00F2212F" w:rsidRPr="00D20324">
        <w:rPr>
          <w:rFonts w:asciiTheme="majorBidi" w:hAnsiTheme="majorBidi" w:cstheme="majorBidi"/>
        </w:rPr>
        <w:t>First,</w:t>
      </w:r>
      <w:r w:rsidR="007F6114" w:rsidRPr="00D20324">
        <w:rPr>
          <w:rFonts w:asciiTheme="majorBidi" w:hAnsiTheme="majorBidi" w:cstheme="majorBidi"/>
        </w:rPr>
        <w:t xml:space="preserve"> only in Luke’s Gospel does the child Jesus appear among scribal-literate authorities in the temple in Jerusalem (Luke 2:41–52).  Given that Luke here presents the young Jesus in the temple</w:t>
      </w:r>
      <w:r w:rsidR="00A57E30" w:rsidRPr="00D20324">
        <w:rPr>
          <w:rFonts w:asciiTheme="majorBidi" w:hAnsiTheme="majorBidi" w:cstheme="majorBidi"/>
        </w:rPr>
        <w:t xml:space="preserve"> and</w:t>
      </w:r>
      <w:r w:rsidR="001A0D86" w:rsidRPr="00D20324">
        <w:rPr>
          <w:rFonts w:asciiTheme="majorBidi" w:hAnsiTheme="majorBidi" w:cstheme="majorBidi"/>
        </w:rPr>
        <w:t>, furthermore,</w:t>
      </w:r>
      <w:r w:rsidR="007F6114" w:rsidRPr="00D20324">
        <w:rPr>
          <w:rFonts w:asciiTheme="majorBidi" w:hAnsiTheme="majorBidi" w:cstheme="majorBidi"/>
        </w:rPr>
        <w:t xml:space="preserve"> “in the midst of the teacher</w:t>
      </w:r>
      <w:r w:rsidR="00A57E30" w:rsidRPr="00D20324">
        <w:rPr>
          <w:rFonts w:asciiTheme="majorBidi" w:hAnsiTheme="majorBidi" w:cstheme="majorBidi"/>
        </w:rPr>
        <w:t>s” (2:46)</w:t>
      </w:r>
      <w:r w:rsidR="007F6114" w:rsidRPr="00D20324">
        <w:rPr>
          <w:rFonts w:asciiTheme="majorBidi" w:hAnsiTheme="majorBidi" w:cstheme="majorBidi"/>
        </w:rPr>
        <w:t>, readers should conclude that Jesus is here participating in a discussion of the Scriptures with scribal-literate aut</w:t>
      </w:r>
      <w:r w:rsidR="00DB467E" w:rsidRPr="00D20324">
        <w:rPr>
          <w:rFonts w:asciiTheme="majorBidi" w:hAnsiTheme="majorBidi" w:cstheme="majorBidi"/>
        </w:rPr>
        <w:t xml:space="preserve">horities.  Bovon is correct to note that Luke portrays Jesus as an equal participant in the discussion, not </w:t>
      </w:r>
      <w:r w:rsidR="00A57E30" w:rsidRPr="00D20324">
        <w:rPr>
          <w:rFonts w:asciiTheme="majorBidi" w:hAnsiTheme="majorBidi" w:cstheme="majorBidi"/>
        </w:rPr>
        <w:t xml:space="preserve">as </w:t>
      </w:r>
      <w:r w:rsidR="00DB467E" w:rsidRPr="00D20324">
        <w:rPr>
          <w:rFonts w:asciiTheme="majorBidi" w:hAnsiTheme="majorBidi" w:cstheme="majorBidi"/>
        </w:rPr>
        <w:t>a pupil:  “Er sitzt nicht wie ein Jünger zu den Füßen dieser Lehrer. . . .  Seine Position ist eher die des Lehrers.”</w:t>
      </w:r>
      <w:r w:rsidR="00DB467E" w:rsidRPr="00D20324">
        <w:rPr>
          <w:rStyle w:val="FootnoteReference"/>
          <w:rFonts w:asciiTheme="majorBidi" w:hAnsiTheme="majorBidi" w:cstheme="majorBidi"/>
        </w:rPr>
        <w:footnoteReference w:id="48"/>
      </w:r>
      <w:r w:rsidR="00184BFF" w:rsidRPr="00D20324">
        <w:rPr>
          <w:rFonts w:asciiTheme="majorBidi" w:hAnsiTheme="majorBidi" w:cstheme="majorBidi"/>
        </w:rPr>
        <w:t xml:space="preserve">  Despite his age, Luke affirms that Jesus belongs in scribal-literate discussion of the law, </w:t>
      </w:r>
      <w:r w:rsidR="00A87847" w:rsidRPr="00D20324">
        <w:rPr>
          <w:rFonts w:asciiTheme="majorBidi" w:hAnsiTheme="majorBidi" w:cstheme="majorBidi"/>
        </w:rPr>
        <w:t>accentuating</w:t>
      </w:r>
      <w:r w:rsidR="00184BFF" w:rsidRPr="00D20324">
        <w:rPr>
          <w:rFonts w:asciiTheme="majorBidi" w:hAnsiTheme="majorBidi" w:cstheme="majorBidi"/>
        </w:rPr>
        <w:t xml:space="preserve"> this point by attributing his parents’ surprise to a lack of understanding (Luke 2:48, 51).  </w:t>
      </w:r>
    </w:p>
    <w:p w:rsidR="00184BFF" w:rsidRPr="00D20324" w:rsidRDefault="00F2212F" w:rsidP="000F0AAA">
      <w:pPr>
        <w:spacing w:line="480" w:lineRule="auto"/>
        <w:ind w:firstLine="720"/>
        <w:rPr>
          <w:rFonts w:asciiTheme="majorBidi" w:hAnsiTheme="majorBidi" w:cstheme="majorBidi"/>
        </w:rPr>
      </w:pPr>
      <w:r w:rsidRPr="00D20324">
        <w:rPr>
          <w:rFonts w:asciiTheme="majorBidi" w:hAnsiTheme="majorBidi" w:cstheme="majorBidi"/>
        </w:rPr>
        <w:t>Second,</w:t>
      </w:r>
      <w:r w:rsidR="00184BFF" w:rsidRPr="00D20324">
        <w:rPr>
          <w:rFonts w:asciiTheme="majorBidi" w:hAnsiTheme="majorBidi" w:cstheme="majorBidi"/>
        </w:rPr>
        <w:t xml:space="preserve"> </w:t>
      </w:r>
      <w:r w:rsidR="001A0D86" w:rsidRPr="00D20324">
        <w:rPr>
          <w:rFonts w:asciiTheme="majorBidi" w:hAnsiTheme="majorBidi" w:cstheme="majorBidi"/>
        </w:rPr>
        <w:t>only in Luke’s Gospel does Jesus, on</w:t>
      </w:r>
      <w:r w:rsidR="00D12DD3" w:rsidRPr="00D20324">
        <w:rPr>
          <w:rFonts w:asciiTheme="majorBidi" w:hAnsiTheme="majorBidi" w:cstheme="majorBidi"/>
        </w:rPr>
        <w:t xml:space="preserve"> the road to Emmaus, interpret the entirety of Moses and the prophets (24:27)</w:t>
      </w:r>
      <w:r w:rsidR="001A0D86" w:rsidRPr="00D20324">
        <w:rPr>
          <w:rFonts w:asciiTheme="majorBidi" w:hAnsiTheme="majorBidi" w:cstheme="majorBidi"/>
        </w:rPr>
        <w:t xml:space="preserve"> for two disciples</w:t>
      </w:r>
      <w:r w:rsidR="00D12DD3" w:rsidRPr="00D20324">
        <w:rPr>
          <w:rFonts w:asciiTheme="majorBidi" w:hAnsiTheme="majorBidi" w:cstheme="majorBidi"/>
        </w:rPr>
        <w:t>, prompting the</w:t>
      </w:r>
      <w:r w:rsidR="001A0D86" w:rsidRPr="00D20324">
        <w:rPr>
          <w:rFonts w:asciiTheme="majorBidi" w:hAnsiTheme="majorBidi" w:cstheme="majorBidi"/>
        </w:rPr>
        <w:t>m</w:t>
      </w:r>
      <w:r w:rsidR="00D12DD3" w:rsidRPr="00D20324">
        <w:rPr>
          <w:rFonts w:asciiTheme="majorBidi" w:hAnsiTheme="majorBidi" w:cstheme="majorBidi"/>
        </w:rPr>
        <w:t xml:space="preserve"> to acknowledge that Jesus “opened the Scriptures” for them (24:32).  Jesus later joins the collected group of disciples</w:t>
      </w:r>
      <w:r w:rsidR="00473828" w:rsidRPr="00D20324">
        <w:rPr>
          <w:rFonts w:asciiTheme="majorBidi" w:hAnsiTheme="majorBidi" w:cstheme="majorBidi"/>
        </w:rPr>
        <w:t xml:space="preserve"> and</w:t>
      </w:r>
      <w:r w:rsidR="000E467B" w:rsidRPr="00D20324">
        <w:rPr>
          <w:rFonts w:asciiTheme="majorBidi" w:hAnsiTheme="majorBidi" w:cstheme="majorBidi"/>
        </w:rPr>
        <w:t xml:space="preserve"> tells them that his actions have fulfilled “all that is written in the law of Moses and the prophets and the psalms” (24:44), after which</w:t>
      </w:r>
      <w:r w:rsidR="00D12DD3" w:rsidRPr="00D20324">
        <w:rPr>
          <w:rFonts w:asciiTheme="majorBidi" w:hAnsiTheme="majorBidi" w:cstheme="majorBidi"/>
        </w:rPr>
        <w:t xml:space="preserve"> Luke tells his readers that </w:t>
      </w:r>
      <w:r w:rsidR="000F0AAA" w:rsidRPr="00D20324">
        <w:rPr>
          <w:rFonts w:asciiTheme="majorBidi" w:hAnsiTheme="majorBidi" w:cstheme="majorBidi"/>
        </w:rPr>
        <w:t>Jesus</w:t>
      </w:r>
      <w:r w:rsidR="00D12DD3" w:rsidRPr="00D20324">
        <w:rPr>
          <w:rFonts w:asciiTheme="majorBidi" w:hAnsiTheme="majorBidi" w:cstheme="majorBidi"/>
        </w:rPr>
        <w:t xml:space="preserve"> “opened their minds in order to understand the Scriptures” (24:45)</w:t>
      </w:r>
      <w:r w:rsidR="00265946" w:rsidRPr="00D20324">
        <w:rPr>
          <w:rFonts w:asciiTheme="majorBidi" w:hAnsiTheme="majorBidi" w:cstheme="majorBidi"/>
        </w:rPr>
        <w:t>.</w:t>
      </w:r>
    </w:p>
    <w:p w:rsidR="00F2212F" w:rsidRPr="00D20324" w:rsidRDefault="00F2212F" w:rsidP="00847AD9">
      <w:pPr>
        <w:spacing w:line="480" w:lineRule="auto"/>
        <w:ind w:firstLine="720"/>
        <w:rPr>
          <w:rFonts w:asciiTheme="majorBidi" w:hAnsiTheme="majorBidi" w:cstheme="majorBidi"/>
        </w:rPr>
      </w:pPr>
      <w:r w:rsidRPr="00D20324">
        <w:rPr>
          <w:rFonts w:asciiTheme="majorBidi" w:hAnsiTheme="majorBidi" w:cstheme="majorBidi"/>
        </w:rPr>
        <w:t>Third, only in Luke’s Gospel is Jesus connected in familial terms to the priesthood.  John the Baptist’s father is a priest who displays a</w:t>
      </w:r>
      <w:r w:rsidR="00847AD9" w:rsidRPr="00D20324">
        <w:rPr>
          <w:rFonts w:asciiTheme="majorBidi" w:hAnsiTheme="majorBidi" w:cstheme="majorBidi"/>
        </w:rPr>
        <w:t xml:space="preserve"> limited</w:t>
      </w:r>
      <w:r w:rsidRPr="00D20324">
        <w:rPr>
          <w:rFonts w:asciiTheme="majorBidi" w:hAnsiTheme="majorBidi" w:cstheme="majorBidi"/>
        </w:rPr>
        <w:t xml:space="preserve"> ability to write (1:63), and his mother is also from the line of Aaron (Luke 1:5).  Likewise, only Luke’s Gospel identifies the Baptist’s mother as a kinswoman of Jesus’ mother (1:36).  This point may seem trivial, but in Jewish tradition there is a longstanding connection between scribal-literate skills and the priesthood.</w:t>
      </w:r>
      <w:r w:rsidRPr="00D20324">
        <w:rPr>
          <w:rStyle w:val="FootnoteReference"/>
          <w:rFonts w:asciiTheme="majorBidi" w:hAnsiTheme="majorBidi" w:cstheme="majorBidi"/>
        </w:rPr>
        <w:footnoteReference w:id="49"/>
      </w:r>
      <w:r w:rsidRPr="00D20324">
        <w:rPr>
          <w:rFonts w:asciiTheme="majorBidi" w:hAnsiTheme="majorBidi" w:cstheme="majorBidi"/>
        </w:rPr>
        <w:t xml:space="preserve">  Regardless of Luke’s intentions for connecting Jesus to the priesthood, one may note that this interpretive move coheres with placing him in the scribal-literate class.  </w:t>
      </w:r>
    </w:p>
    <w:p w:rsidR="00A42682" w:rsidRPr="00D20324" w:rsidRDefault="000E467B" w:rsidP="000D0D59">
      <w:pPr>
        <w:spacing w:line="480" w:lineRule="auto"/>
        <w:rPr>
          <w:rFonts w:asciiTheme="majorBidi" w:hAnsiTheme="majorBidi" w:cstheme="majorBidi"/>
        </w:rPr>
      </w:pPr>
      <w:r w:rsidRPr="00D20324">
        <w:rPr>
          <w:rFonts w:asciiTheme="majorBidi" w:hAnsiTheme="majorBidi" w:cstheme="majorBidi"/>
          <w:i/>
          <w:iCs/>
        </w:rPr>
        <w:t>2.1.3 Summary</w:t>
      </w:r>
    </w:p>
    <w:p w:rsidR="000E467B" w:rsidRPr="00D20324" w:rsidRDefault="000E467B" w:rsidP="00F96430">
      <w:pPr>
        <w:spacing w:line="480" w:lineRule="auto"/>
        <w:rPr>
          <w:rFonts w:asciiTheme="majorBidi" w:hAnsiTheme="majorBidi" w:cstheme="majorBidi"/>
        </w:rPr>
      </w:pPr>
      <w:r w:rsidRPr="00D20324">
        <w:rPr>
          <w:rFonts w:asciiTheme="majorBidi" w:hAnsiTheme="majorBidi" w:cstheme="majorBidi"/>
        </w:rPr>
        <w:tab/>
      </w:r>
      <w:r w:rsidR="00A87847" w:rsidRPr="00D20324">
        <w:rPr>
          <w:rFonts w:asciiTheme="majorBidi" w:hAnsiTheme="majorBidi" w:cstheme="majorBidi"/>
        </w:rPr>
        <w:t>In each of the previous Lukan texts, Luke either explicitly attributes to Jesus scribal literacy or aligns Jesus</w:t>
      </w:r>
      <w:r w:rsidR="00D6797F" w:rsidRPr="00D20324">
        <w:rPr>
          <w:rFonts w:asciiTheme="majorBidi" w:hAnsiTheme="majorBidi" w:cstheme="majorBidi"/>
        </w:rPr>
        <w:t>—in terms of his pedagogical status—</w:t>
      </w:r>
      <w:r w:rsidR="00A87847" w:rsidRPr="00D20324">
        <w:rPr>
          <w:rFonts w:asciiTheme="majorBidi" w:hAnsiTheme="majorBidi" w:cstheme="majorBidi"/>
        </w:rPr>
        <w:t>in</w:t>
      </w:r>
      <w:r w:rsidR="00D6797F" w:rsidRPr="00D20324">
        <w:rPr>
          <w:rFonts w:asciiTheme="majorBidi" w:hAnsiTheme="majorBidi" w:cstheme="majorBidi"/>
        </w:rPr>
        <w:t xml:space="preserve"> </w:t>
      </w:r>
      <w:r w:rsidR="00A87847" w:rsidRPr="00D20324">
        <w:rPr>
          <w:rFonts w:asciiTheme="majorBidi" w:hAnsiTheme="majorBidi" w:cstheme="majorBidi"/>
        </w:rPr>
        <w:t>some way with the class of scribal-literate Scripture authorities, w</w:t>
      </w:r>
      <w:r w:rsidR="00A94FF3" w:rsidRPr="00D20324">
        <w:rPr>
          <w:rFonts w:asciiTheme="majorBidi" w:hAnsiTheme="majorBidi" w:cstheme="majorBidi"/>
        </w:rPr>
        <w:t xml:space="preserve">hether by including traditions not found in Mark or </w:t>
      </w:r>
      <w:r w:rsidR="000F0AAA" w:rsidRPr="00D20324">
        <w:rPr>
          <w:rFonts w:asciiTheme="majorBidi" w:hAnsiTheme="majorBidi" w:cstheme="majorBidi"/>
        </w:rPr>
        <w:t>altering</w:t>
      </w:r>
      <w:r w:rsidR="00A94FF3" w:rsidRPr="00D20324">
        <w:rPr>
          <w:rFonts w:asciiTheme="majorBidi" w:hAnsiTheme="majorBidi" w:cstheme="majorBidi"/>
        </w:rPr>
        <w:t xml:space="preserve"> Markan traditions.  </w:t>
      </w:r>
      <w:r w:rsidRPr="00D20324">
        <w:rPr>
          <w:rFonts w:asciiTheme="majorBidi" w:hAnsiTheme="majorBidi" w:cstheme="majorBidi"/>
        </w:rPr>
        <w:t>If, therefore, Acts 4:13</w:t>
      </w:r>
      <w:r w:rsidR="003F5373" w:rsidRPr="00D20324">
        <w:rPr>
          <w:rFonts w:asciiTheme="majorBidi" w:hAnsiTheme="majorBidi" w:cstheme="majorBidi"/>
        </w:rPr>
        <w:t>b</w:t>
      </w:r>
      <w:r w:rsidRPr="00D20324">
        <w:rPr>
          <w:rFonts w:asciiTheme="majorBidi" w:hAnsiTheme="majorBidi" w:cstheme="majorBidi"/>
        </w:rPr>
        <w:t xml:space="preserve"> means that the Sanhedrin recognized Peter and John as companions of Jesus on account of the fact that Jesus, too, was an “illiterate” and “unlearned” teacher,</w:t>
      </w:r>
      <w:r w:rsidR="00473828" w:rsidRPr="00D20324">
        <w:rPr>
          <w:rStyle w:val="FootnoteReference"/>
          <w:rFonts w:asciiTheme="majorBidi" w:hAnsiTheme="majorBidi" w:cstheme="majorBidi"/>
        </w:rPr>
        <w:footnoteReference w:id="50"/>
      </w:r>
      <w:r w:rsidRPr="00D20324">
        <w:rPr>
          <w:rFonts w:asciiTheme="majorBidi" w:hAnsiTheme="majorBidi" w:cstheme="majorBidi"/>
        </w:rPr>
        <w:t xml:space="preserve"> this</w:t>
      </w:r>
      <w:r w:rsidR="00D66558" w:rsidRPr="00D20324">
        <w:rPr>
          <w:rFonts w:asciiTheme="majorBidi" w:hAnsiTheme="majorBidi" w:cstheme="majorBidi"/>
        </w:rPr>
        <w:t xml:space="preserve"> portrayal of Jesus</w:t>
      </w:r>
      <w:r w:rsidR="00DF69DD" w:rsidRPr="00D20324">
        <w:rPr>
          <w:rFonts w:asciiTheme="majorBidi" w:hAnsiTheme="majorBidi" w:cstheme="majorBidi"/>
        </w:rPr>
        <w:t xml:space="preserve"> stands at odds with Luke’s otherwise consistent rejection of</w:t>
      </w:r>
      <w:r w:rsidRPr="00D20324">
        <w:rPr>
          <w:rFonts w:asciiTheme="majorBidi" w:hAnsiTheme="majorBidi" w:cstheme="majorBidi"/>
        </w:rPr>
        <w:t xml:space="preserve"> the Markan portrayal of Jesus as someone who is “unlike” scribal-literate authorities and is not a proper scribal-literate synagogue teacher.</w:t>
      </w:r>
      <w:r w:rsidR="00847AD9" w:rsidRPr="00D20324">
        <w:rPr>
          <w:rFonts w:asciiTheme="majorBidi" w:hAnsiTheme="majorBidi" w:cstheme="majorBidi"/>
        </w:rPr>
        <w:t xml:space="preserve">  </w:t>
      </w:r>
      <w:r w:rsidR="00EE5FC9" w:rsidRPr="00D20324">
        <w:rPr>
          <w:rFonts w:asciiTheme="majorBidi" w:hAnsiTheme="majorBidi" w:cstheme="majorBidi"/>
        </w:rPr>
        <w:t xml:space="preserve">Under this scenario, </w:t>
      </w:r>
      <w:r w:rsidR="00E41ADC" w:rsidRPr="00D20324">
        <w:rPr>
          <w:rFonts w:asciiTheme="majorBidi" w:hAnsiTheme="majorBidi" w:cstheme="majorBidi"/>
        </w:rPr>
        <w:t xml:space="preserve">I propose that </w:t>
      </w:r>
      <w:r w:rsidR="00EE5FC9" w:rsidRPr="00D20324">
        <w:rPr>
          <w:rFonts w:asciiTheme="majorBidi" w:hAnsiTheme="majorBidi" w:cstheme="majorBidi"/>
        </w:rPr>
        <w:t>Acts 4:13</w:t>
      </w:r>
      <w:r w:rsidR="0016071F" w:rsidRPr="00D20324">
        <w:rPr>
          <w:rFonts w:asciiTheme="majorBidi" w:hAnsiTheme="majorBidi" w:cstheme="majorBidi"/>
        </w:rPr>
        <w:t>b</w:t>
      </w:r>
      <w:r w:rsidR="00EE5FC9" w:rsidRPr="00D20324">
        <w:rPr>
          <w:rFonts w:asciiTheme="majorBidi" w:hAnsiTheme="majorBidi" w:cstheme="majorBidi"/>
        </w:rPr>
        <w:t xml:space="preserve"> constitute</w:t>
      </w:r>
      <w:r w:rsidR="00A94FF3" w:rsidRPr="00D20324">
        <w:rPr>
          <w:rFonts w:asciiTheme="majorBidi" w:hAnsiTheme="majorBidi" w:cstheme="majorBidi"/>
        </w:rPr>
        <w:t>s</w:t>
      </w:r>
      <w:r w:rsidR="00EE5FC9" w:rsidRPr="00D20324">
        <w:rPr>
          <w:rFonts w:asciiTheme="majorBidi" w:hAnsiTheme="majorBidi" w:cstheme="majorBidi"/>
        </w:rPr>
        <w:t xml:space="preserve"> a Lukan cameo of the Markan Jesus</w:t>
      </w:r>
      <w:r w:rsidR="00265946" w:rsidRPr="00D20324">
        <w:rPr>
          <w:rFonts w:asciiTheme="majorBidi" w:hAnsiTheme="majorBidi" w:cstheme="majorBidi"/>
        </w:rPr>
        <w:t xml:space="preserve">, a hitherto unnoticed confirmation of the </w:t>
      </w:r>
      <w:r w:rsidR="00F96430">
        <w:rPr>
          <w:rFonts w:asciiTheme="majorBidi" w:hAnsiTheme="majorBidi" w:cstheme="majorBidi"/>
          <w:iCs/>
        </w:rPr>
        <w:t>majority opinion</w:t>
      </w:r>
      <w:r w:rsidR="00265946" w:rsidRPr="00D20324">
        <w:rPr>
          <w:rFonts w:asciiTheme="majorBidi" w:hAnsiTheme="majorBidi" w:cstheme="majorBidi"/>
        </w:rPr>
        <w:t xml:space="preserve"> </w:t>
      </w:r>
      <w:r w:rsidR="00A94FF3" w:rsidRPr="00D20324">
        <w:rPr>
          <w:rFonts w:asciiTheme="majorBidi" w:hAnsiTheme="majorBidi" w:cstheme="majorBidi"/>
        </w:rPr>
        <w:t xml:space="preserve">that Luke </w:t>
      </w:r>
      <w:r w:rsidR="00A11CA5" w:rsidRPr="00D20324">
        <w:rPr>
          <w:rFonts w:asciiTheme="majorBidi" w:hAnsiTheme="majorBidi" w:cstheme="majorBidi"/>
        </w:rPr>
        <w:t>knew and used</w:t>
      </w:r>
      <w:r w:rsidR="00265946" w:rsidRPr="00D20324">
        <w:rPr>
          <w:rFonts w:asciiTheme="majorBidi" w:hAnsiTheme="majorBidi" w:cstheme="majorBidi"/>
        </w:rPr>
        <w:t xml:space="preserve"> Mark’s Gospel.</w:t>
      </w:r>
    </w:p>
    <w:p w:rsidR="007848C1" w:rsidRPr="00D20324" w:rsidRDefault="000E467B" w:rsidP="000D0D59">
      <w:pPr>
        <w:spacing w:line="480" w:lineRule="auto"/>
        <w:rPr>
          <w:rFonts w:asciiTheme="majorBidi" w:hAnsiTheme="majorBidi" w:cstheme="majorBidi"/>
        </w:rPr>
      </w:pPr>
      <w:r w:rsidRPr="00D20324">
        <w:rPr>
          <w:rFonts w:asciiTheme="majorBidi" w:hAnsiTheme="majorBidi" w:cstheme="majorBidi"/>
          <w:i/>
          <w:iCs/>
        </w:rPr>
        <w:t xml:space="preserve">2.2 </w:t>
      </w:r>
      <w:r w:rsidR="007D4E2A" w:rsidRPr="00D20324">
        <w:rPr>
          <w:rFonts w:asciiTheme="majorBidi" w:hAnsiTheme="majorBidi" w:cstheme="majorBidi"/>
          <w:i/>
          <w:iCs/>
        </w:rPr>
        <w:t xml:space="preserve">Withholding the </w:t>
      </w:r>
      <w:r w:rsidR="007D4E2A" w:rsidRPr="00D20324">
        <w:rPr>
          <w:rFonts w:asciiTheme="majorBidi" w:hAnsiTheme="majorBidi" w:cstheme="majorBidi"/>
        </w:rPr>
        <w:t xml:space="preserve">Pneuma </w:t>
      </w:r>
      <w:r w:rsidR="007D4E2A" w:rsidRPr="00D20324">
        <w:rPr>
          <w:rFonts w:asciiTheme="majorBidi" w:hAnsiTheme="majorBidi" w:cstheme="majorBidi"/>
          <w:i/>
          <w:iCs/>
        </w:rPr>
        <w:t>Apologetic</w:t>
      </w:r>
      <w:r w:rsidRPr="00D20324">
        <w:rPr>
          <w:rFonts w:asciiTheme="majorBidi" w:hAnsiTheme="majorBidi" w:cstheme="majorBidi"/>
        </w:rPr>
        <w:t xml:space="preserve"> </w:t>
      </w:r>
    </w:p>
    <w:p w:rsidR="00E92F15" w:rsidRPr="00D20324" w:rsidRDefault="000E467B" w:rsidP="000D0D59">
      <w:pPr>
        <w:spacing w:line="480" w:lineRule="auto"/>
        <w:ind w:firstLine="720"/>
        <w:rPr>
          <w:rFonts w:asciiTheme="majorBidi" w:hAnsiTheme="majorBidi" w:cstheme="majorBidi"/>
        </w:rPr>
      </w:pPr>
      <w:r w:rsidRPr="00D20324">
        <w:rPr>
          <w:rFonts w:asciiTheme="majorBidi" w:hAnsiTheme="majorBidi" w:cstheme="majorBidi"/>
        </w:rPr>
        <w:t>Luke’s interpretive strategy concerning the scribal-literate Jesus in his Gospel is clear</w:t>
      </w:r>
      <w:r w:rsidR="000C0054" w:rsidRPr="00D20324">
        <w:rPr>
          <w:rFonts w:asciiTheme="majorBidi" w:hAnsiTheme="majorBidi" w:cstheme="majorBidi"/>
        </w:rPr>
        <w:t>.  W</w:t>
      </w:r>
      <w:r w:rsidRPr="00D20324">
        <w:rPr>
          <w:rFonts w:asciiTheme="majorBidi" w:hAnsiTheme="majorBidi" w:cstheme="majorBidi"/>
        </w:rPr>
        <w:t xml:space="preserve">hether he intends </w:t>
      </w:r>
      <w:r w:rsidR="00EE5FC9" w:rsidRPr="00D20324">
        <w:rPr>
          <w:rFonts w:asciiTheme="majorBidi" w:hAnsiTheme="majorBidi" w:cstheme="majorBidi"/>
        </w:rPr>
        <w:t xml:space="preserve">in Acts 4:13 </w:t>
      </w:r>
      <w:r w:rsidRPr="00D20324">
        <w:rPr>
          <w:rFonts w:asciiTheme="majorBidi" w:hAnsiTheme="majorBidi" w:cstheme="majorBidi"/>
        </w:rPr>
        <w:t xml:space="preserve">to describe Jesus </w:t>
      </w:r>
      <w:r w:rsidRPr="00D20324">
        <w:rPr>
          <w:rFonts w:asciiTheme="majorBidi" w:hAnsiTheme="majorBidi" w:cstheme="majorBidi"/>
          <w:i/>
          <w:iCs/>
        </w:rPr>
        <w:t>himself</w:t>
      </w:r>
      <w:r w:rsidRPr="00D20324">
        <w:rPr>
          <w:rFonts w:asciiTheme="majorBidi" w:hAnsiTheme="majorBidi" w:cstheme="majorBidi"/>
        </w:rPr>
        <w:t xml:space="preserve"> as “illiterate” and “unlearned” is </w:t>
      </w:r>
      <w:r w:rsidR="00D66558" w:rsidRPr="00D20324">
        <w:rPr>
          <w:rFonts w:asciiTheme="majorBidi" w:hAnsiTheme="majorBidi" w:cstheme="majorBidi"/>
        </w:rPr>
        <w:t>less clear</w:t>
      </w:r>
      <w:r w:rsidRPr="00D20324">
        <w:rPr>
          <w:rFonts w:asciiTheme="majorBidi" w:hAnsiTheme="majorBidi" w:cstheme="majorBidi"/>
        </w:rPr>
        <w:t xml:space="preserve">.  </w:t>
      </w:r>
      <w:r w:rsidR="000C0054" w:rsidRPr="00D20324">
        <w:rPr>
          <w:rFonts w:asciiTheme="majorBidi" w:hAnsiTheme="majorBidi" w:cstheme="majorBidi"/>
        </w:rPr>
        <w:t>Luke</w:t>
      </w:r>
      <w:r w:rsidR="00D66558" w:rsidRPr="00D20324">
        <w:rPr>
          <w:rFonts w:asciiTheme="majorBidi" w:hAnsiTheme="majorBidi" w:cstheme="majorBidi"/>
        </w:rPr>
        <w:t xml:space="preserve"> possibly</w:t>
      </w:r>
      <w:r w:rsidR="000C0054" w:rsidRPr="00D20324">
        <w:rPr>
          <w:rFonts w:asciiTheme="majorBidi" w:hAnsiTheme="majorBidi" w:cstheme="majorBidi"/>
        </w:rPr>
        <w:t xml:space="preserve"> intends to indicate only that Jesus was known to have illiterate and unlearned followers, with no specific comment upon Jesus himself.</w:t>
      </w:r>
      <w:r w:rsidR="005D5A78" w:rsidRPr="00D20324">
        <w:rPr>
          <w:rFonts w:asciiTheme="majorBidi" w:hAnsiTheme="majorBidi" w:cstheme="majorBidi"/>
        </w:rPr>
        <w:t xml:space="preserve">  Luke has affirmed as much regarding the disciples by stating that Peter and John both came from the manual-labor stratum of society as fishermen (Luke 5:1–11).  </w:t>
      </w:r>
      <w:r w:rsidR="007D4E2A" w:rsidRPr="00D20324">
        <w:rPr>
          <w:rFonts w:asciiTheme="majorBidi" w:hAnsiTheme="majorBidi" w:cstheme="majorBidi"/>
        </w:rPr>
        <w:t>But even this knowledge—that Luke certainly indicates that Jesus’ followers were illiterate and unlearned—proves intriguing in light of Luke’s interpretive strategy for Jesus in his Gospel.</w:t>
      </w:r>
    </w:p>
    <w:p w:rsidR="00E92F15" w:rsidRPr="00D20324" w:rsidRDefault="00E92F15" w:rsidP="00F96430">
      <w:pPr>
        <w:spacing w:line="480" w:lineRule="auto"/>
        <w:ind w:firstLine="720"/>
        <w:rPr>
          <w:rFonts w:cs="Times New Roman"/>
        </w:rPr>
      </w:pPr>
      <w:r w:rsidRPr="00D20324">
        <w:rPr>
          <w:rFonts w:asciiTheme="majorBidi" w:hAnsiTheme="majorBidi" w:cstheme="majorBidi"/>
        </w:rPr>
        <w:t xml:space="preserve">The reason it proves intriguing is that </w:t>
      </w:r>
      <w:r w:rsidRPr="00D20324">
        <w:t xml:space="preserve">“the two Apostles’ lack of learning is stressed to make their </w:t>
      </w:r>
      <w:r w:rsidR="00F96430">
        <w:rPr>
          <w:rFonts w:ascii="SBL Greek" w:hAnsi="SBL Greek"/>
          <w:lang w:val="el-GR"/>
        </w:rPr>
        <w:t>παρρησία</w:t>
      </w:r>
      <w:r w:rsidRPr="00D20324">
        <w:rPr>
          <w:rFonts w:cs="Times New Roman"/>
        </w:rPr>
        <w:t xml:space="preserve"> the more astonishing.”</w:t>
      </w:r>
      <w:r w:rsidRPr="00D20324">
        <w:rPr>
          <w:rStyle w:val="FootnoteReference"/>
          <w:rFonts w:cs="Times New Roman"/>
        </w:rPr>
        <w:footnoteReference w:id="51"/>
      </w:r>
      <w:r w:rsidR="00E0403F" w:rsidRPr="00D20324">
        <w:rPr>
          <w:rFonts w:cs="Times New Roman"/>
        </w:rPr>
        <w:t xml:space="preserve">  </w:t>
      </w:r>
      <w:r w:rsidR="00A11CA5" w:rsidRPr="00D20324">
        <w:rPr>
          <w:rFonts w:cs="Times New Roman"/>
        </w:rPr>
        <w:t>And t</w:t>
      </w:r>
      <w:r w:rsidRPr="00D20324">
        <w:rPr>
          <w:rFonts w:cs="Times New Roman"/>
        </w:rPr>
        <w:t>heir boldness of speech</w:t>
      </w:r>
      <w:r w:rsidR="0043310C" w:rsidRPr="00D20324">
        <w:rPr>
          <w:rFonts w:cs="Times New Roman"/>
        </w:rPr>
        <w:t>—“naturlich nur für studierte und sachkundige Leute”</w:t>
      </w:r>
      <w:r w:rsidR="0043310C" w:rsidRPr="00D20324">
        <w:rPr>
          <w:rStyle w:val="FootnoteReference"/>
          <w:rFonts w:cs="Times New Roman"/>
        </w:rPr>
        <w:footnoteReference w:id="52"/>
      </w:r>
      <w:r w:rsidR="0043310C" w:rsidRPr="00D20324">
        <w:rPr>
          <w:rFonts w:cs="Times New Roman"/>
        </w:rPr>
        <w:t>—</w:t>
      </w:r>
      <w:r w:rsidR="00606851" w:rsidRPr="00D20324">
        <w:rPr>
          <w:rFonts w:cs="Times New Roman"/>
        </w:rPr>
        <w:t>is</w:t>
      </w:r>
      <w:r w:rsidR="0043310C" w:rsidRPr="00D20324">
        <w:rPr>
          <w:rFonts w:cs="Times New Roman"/>
        </w:rPr>
        <w:t xml:space="preserve"> </w:t>
      </w:r>
      <w:r w:rsidRPr="00D20324">
        <w:rPr>
          <w:rFonts w:cs="Times New Roman"/>
        </w:rPr>
        <w:t xml:space="preserve">astonishing in the narrative </w:t>
      </w:r>
      <w:r w:rsidR="0043310C" w:rsidRPr="00D20324">
        <w:rPr>
          <w:rFonts w:cs="Times New Roman"/>
        </w:rPr>
        <w:t>precisely not as their work</w:t>
      </w:r>
      <w:r w:rsidRPr="00D20324">
        <w:rPr>
          <w:rFonts w:cs="Times New Roman"/>
        </w:rPr>
        <w:t xml:space="preserve"> but</w:t>
      </w:r>
      <w:r w:rsidR="00C966B2" w:rsidRPr="00D20324">
        <w:rPr>
          <w:rFonts w:cs="Times New Roman"/>
        </w:rPr>
        <w:t xml:space="preserve"> “als Geschenck des Geistes”</w:t>
      </w:r>
      <w:r w:rsidR="00C966B2" w:rsidRPr="00D20324">
        <w:rPr>
          <w:rStyle w:val="FootnoteReference"/>
          <w:rFonts w:cs="Times New Roman"/>
        </w:rPr>
        <w:footnoteReference w:id="53"/>
      </w:r>
      <w:r w:rsidR="00C966B2" w:rsidRPr="00D20324">
        <w:rPr>
          <w:rFonts w:cs="Times New Roman"/>
        </w:rPr>
        <w:t xml:space="preserve"> and thus</w:t>
      </w:r>
      <w:r w:rsidRPr="00D20324">
        <w:rPr>
          <w:rFonts w:cs="Times New Roman"/>
        </w:rPr>
        <w:t xml:space="preserve"> </w:t>
      </w:r>
      <w:r w:rsidR="00936045" w:rsidRPr="00D20324">
        <w:rPr>
          <w:rFonts w:cs="Times New Roman"/>
        </w:rPr>
        <w:t>“enabled by God.”</w:t>
      </w:r>
      <w:r w:rsidR="00936045" w:rsidRPr="00D20324">
        <w:rPr>
          <w:rStyle w:val="FootnoteReference"/>
          <w:rFonts w:cs="Times New Roman"/>
        </w:rPr>
        <w:footnoteReference w:id="54"/>
      </w:r>
      <w:r w:rsidRPr="00D20324">
        <w:rPr>
          <w:rFonts w:cs="Times New Roman"/>
        </w:rPr>
        <w:t xml:space="preserve">  Luke is purposeful in this respect, </w:t>
      </w:r>
      <w:r w:rsidR="004948A6" w:rsidRPr="00D20324">
        <w:rPr>
          <w:rFonts w:cs="Times New Roman"/>
        </w:rPr>
        <w:t>noting</w:t>
      </w:r>
      <w:r w:rsidRPr="00D20324">
        <w:rPr>
          <w:rFonts w:cs="Times New Roman"/>
        </w:rPr>
        <w:t xml:space="preserve"> that Peter was “full of the Holy Spirit” (Acts 4:8) while giving his speech before the Sanhedrin.  Luke thus applies a </w:t>
      </w:r>
      <w:r w:rsidRPr="00D20324">
        <w:rPr>
          <w:rFonts w:cs="Times New Roman"/>
          <w:i/>
          <w:iCs/>
        </w:rPr>
        <w:t>pneuma</w:t>
      </w:r>
      <w:r w:rsidR="00E12912" w:rsidRPr="00D20324">
        <w:rPr>
          <w:rFonts w:cs="Times New Roman"/>
        </w:rPr>
        <w:t xml:space="preserve"> apologetic to the disciples—</w:t>
      </w:r>
      <w:r w:rsidRPr="00D20324">
        <w:rPr>
          <w:rFonts w:cs="Times New Roman"/>
        </w:rPr>
        <w:t>the</w:t>
      </w:r>
      <w:r w:rsidR="00E12912" w:rsidRPr="00D20324">
        <w:rPr>
          <w:rFonts w:cs="Times New Roman"/>
        </w:rPr>
        <w:t xml:space="preserve"> </w:t>
      </w:r>
      <w:r w:rsidRPr="00D20324">
        <w:rPr>
          <w:rFonts w:cs="Times New Roman"/>
        </w:rPr>
        <w:t xml:space="preserve">Holy Spirit </w:t>
      </w:r>
      <w:r w:rsidR="00A74D66" w:rsidRPr="00D20324">
        <w:rPr>
          <w:rFonts w:cs="Times New Roman"/>
        </w:rPr>
        <w:t xml:space="preserve">provides gravitas for Peter’s ability that </w:t>
      </w:r>
      <w:r w:rsidR="00E0403F" w:rsidRPr="00D20324">
        <w:rPr>
          <w:rFonts w:cs="Times New Roman"/>
        </w:rPr>
        <w:t xml:space="preserve">a </w:t>
      </w:r>
      <w:r w:rsidR="00A74D66" w:rsidRPr="00D20324">
        <w:rPr>
          <w:rFonts w:cs="Times New Roman"/>
        </w:rPr>
        <w:t>scribal-literate education obviously could not</w:t>
      </w:r>
      <w:r w:rsidR="00E0403F" w:rsidRPr="00D20324">
        <w:rPr>
          <w:rFonts w:cs="Times New Roman"/>
        </w:rPr>
        <w:t xml:space="preserve"> since he had not received one</w:t>
      </w:r>
      <w:r w:rsidR="004948A6" w:rsidRPr="00D20324">
        <w:rPr>
          <w:rFonts w:cs="Times New Roman"/>
        </w:rPr>
        <w:t xml:space="preserve"> as an </w:t>
      </w:r>
      <w:r w:rsidR="001866F1" w:rsidRPr="00D20324">
        <w:rPr>
          <w:rFonts w:ascii="SBL Greek" w:hAnsi="SBL Greek"/>
          <w:lang w:val="el-GR"/>
        </w:rPr>
        <w:t>ἀγράμματος</w:t>
      </w:r>
      <w:r w:rsidRPr="00D20324">
        <w:rPr>
          <w:rFonts w:cs="Times New Roman"/>
        </w:rPr>
        <w:t>.  “In place of a rhetorical production appears a speech which is due to the work of the Spirit.”</w:t>
      </w:r>
      <w:r w:rsidRPr="00D20324">
        <w:rPr>
          <w:rStyle w:val="FootnoteReference"/>
          <w:rFonts w:cs="Times New Roman"/>
        </w:rPr>
        <w:footnoteReference w:id="55"/>
      </w:r>
      <w:r w:rsidRPr="00D20324">
        <w:rPr>
          <w:rFonts w:cs="Times New Roman"/>
        </w:rPr>
        <w:t xml:space="preserve">  Hilton</w:t>
      </w:r>
      <w:r w:rsidR="00A74D66" w:rsidRPr="00D20324">
        <w:rPr>
          <w:rFonts w:cs="Times New Roman"/>
        </w:rPr>
        <w:t xml:space="preserve"> </w:t>
      </w:r>
      <w:r w:rsidR="00606851" w:rsidRPr="00D20324">
        <w:rPr>
          <w:rFonts w:cs="Times New Roman"/>
        </w:rPr>
        <w:t xml:space="preserve">plausibly </w:t>
      </w:r>
      <w:r w:rsidR="00A74D66" w:rsidRPr="00D20324">
        <w:rPr>
          <w:rFonts w:cs="Times New Roman"/>
        </w:rPr>
        <w:t xml:space="preserve">identifies this verse as an early instance of </w:t>
      </w:r>
      <w:r w:rsidR="004948A6" w:rsidRPr="00D20324">
        <w:rPr>
          <w:rFonts w:cs="Times New Roman"/>
        </w:rPr>
        <w:t>a Christian apologist</w:t>
      </w:r>
      <w:r w:rsidR="00A74D66" w:rsidRPr="00D20324">
        <w:rPr>
          <w:rFonts w:cs="Times New Roman"/>
        </w:rPr>
        <w:t xml:space="preserve"> defending Christians against charges of illiterac</w:t>
      </w:r>
      <w:r w:rsidR="00B9243D" w:rsidRPr="00D20324">
        <w:rPr>
          <w:rFonts w:cs="Times New Roman"/>
        </w:rPr>
        <w:t>y by appealing to the Spirit</w:t>
      </w:r>
      <w:r w:rsidR="00E12912" w:rsidRPr="00D20324">
        <w:rPr>
          <w:rFonts w:cs="Times New Roman"/>
        </w:rPr>
        <w:t>.</w:t>
      </w:r>
      <w:r w:rsidR="009A1DBE" w:rsidRPr="00D20324">
        <w:rPr>
          <w:rStyle w:val="FootnoteReference"/>
          <w:rFonts w:cs="Times New Roman"/>
        </w:rPr>
        <w:footnoteReference w:id="56"/>
      </w:r>
      <w:r w:rsidR="00E12912" w:rsidRPr="00D20324">
        <w:rPr>
          <w:rFonts w:cs="Times New Roman"/>
        </w:rPr>
        <w:t xml:space="preserve">  </w:t>
      </w:r>
      <w:r w:rsidR="00B9243D" w:rsidRPr="00D20324">
        <w:rPr>
          <w:rFonts w:cs="Times New Roman"/>
        </w:rPr>
        <w:t xml:space="preserve">The </w:t>
      </w:r>
      <w:r w:rsidR="004948A6" w:rsidRPr="00D20324">
        <w:rPr>
          <w:rFonts w:cs="Times New Roman"/>
        </w:rPr>
        <w:t>strategy</w:t>
      </w:r>
      <w:r w:rsidR="00B9243D" w:rsidRPr="00D20324">
        <w:rPr>
          <w:rFonts w:cs="Times New Roman"/>
        </w:rPr>
        <w:t xml:space="preserve"> </w:t>
      </w:r>
      <w:r w:rsidR="004948A6" w:rsidRPr="00D20324">
        <w:rPr>
          <w:rFonts w:cs="Times New Roman"/>
        </w:rPr>
        <w:t>of</w:t>
      </w:r>
      <w:r w:rsidR="00B9243D" w:rsidRPr="00D20324">
        <w:rPr>
          <w:rFonts w:cs="Times New Roman"/>
        </w:rPr>
        <w:t xml:space="preserve"> Luke and other Christian apologists</w:t>
      </w:r>
      <w:r w:rsidR="004948A6" w:rsidRPr="00D20324">
        <w:rPr>
          <w:rFonts w:cs="Times New Roman"/>
        </w:rPr>
        <w:t xml:space="preserve"> (on Origen, see below)</w:t>
      </w:r>
      <w:r w:rsidR="00B9243D" w:rsidRPr="00D20324">
        <w:rPr>
          <w:rFonts w:cs="Times New Roman"/>
        </w:rPr>
        <w:t xml:space="preserve"> was simply to acknowledge the </w:t>
      </w:r>
      <w:r w:rsidR="00606851" w:rsidRPr="00D20324">
        <w:rPr>
          <w:rFonts w:cs="Times New Roman"/>
        </w:rPr>
        <w:t xml:space="preserve">general </w:t>
      </w:r>
      <w:r w:rsidR="00B9243D" w:rsidRPr="00D20324">
        <w:rPr>
          <w:rFonts w:cs="Times New Roman"/>
        </w:rPr>
        <w:t>accuracy of the charge of illiteracy and then ameliorate its implications by asserting that their acco</w:t>
      </w:r>
      <w:r w:rsidR="00E12912" w:rsidRPr="00D20324">
        <w:rPr>
          <w:rFonts w:cs="Times New Roman"/>
        </w:rPr>
        <w:t xml:space="preserve">mplishments (Peter’s </w:t>
      </w:r>
      <w:r w:rsidR="001866F1" w:rsidRPr="00D20324">
        <w:rPr>
          <w:rFonts w:ascii="SBL Greek" w:hAnsi="SBL Greek" w:cs="Times New Roman"/>
          <w:lang w:val="el-GR"/>
        </w:rPr>
        <w:t>παρρησία</w:t>
      </w:r>
      <w:r w:rsidR="00E12912" w:rsidRPr="00D20324">
        <w:rPr>
          <w:rFonts w:asciiTheme="majorBidi" w:hAnsiTheme="majorBidi" w:cstheme="majorBidi"/>
        </w:rPr>
        <w:t xml:space="preserve"> in this instance) prove the reality of divine assistance and thus </w:t>
      </w:r>
      <w:r w:rsidR="00FE36BD" w:rsidRPr="00D20324">
        <w:rPr>
          <w:rFonts w:asciiTheme="majorBidi" w:hAnsiTheme="majorBidi" w:cstheme="majorBidi"/>
        </w:rPr>
        <w:t xml:space="preserve">divine </w:t>
      </w:r>
      <w:r w:rsidR="00E12912" w:rsidRPr="00D20324">
        <w:rPr>
          <w:rFonts w:asciiTheme="majorBidi" w:hAnsiTheme="majorBidi" w:cstheme="majorBidi"/>
        </w:rPr>
        <w:t>approval.</w:t>
      </w:r>
    </w:p>
    <w:p w:rsidR="00A7389D" w:rsidRPr="00D20324" w:rsidRDefault="005D5A78" w:rsidP="00DC211B">
      <w:pPr>
        <w:spacing w:line="480" w:lineRule="auto"/>
        <w:ind w:firstLine="720"/>
        <w:rPr>
          <w:rFonts w:cs="Times New Roman"/>
        </w:rPr>
      </w:pPr>
      <w:r w:rsidRPr="00D20324">
        <w:rPr>
          <w:rFonts w:cs="Times New Roman"/>
        </w:rPr>
        <w:t xml:space="preserve">But </w:t>
      </w:r>
      <w:r w:rsidR="00A11CA5" w:rsidRPr="00D20324">
        <w:rPr>
          <w:rFonts w:cs="Times New Roman"/>
        </w:rPr>
        <w:t xml:space="preserve">a </w:t>
      </w:r>
      <w:r w:rsidRPr="00D20324">
        <w:rPr>
          <w:rFonts w:cs="Times New Roman"/>
        </w:rPr>
        <w:t xml:space="preserve">critical problem </w:t>
      </w:r>
      <w:r w:rsidR="00A11CA5" w:rsidRPr="00D20324">
        <w:rPr>
          <w:rFonts w:cs="Times New Roman"/>
        </w:rPr>
        <w:t xml:space="preserve">remains </w:t>
      </w:r>
      <w:r w:rsidRPr="00D20324">
        <w:rPr>
          <w:rFonts w:cs="Times New Roman"/>
        </w:rPr>
        <w:t xml:space="preserve">that </w:t>
      </w:r>
      <w:bookmarkStart w:id="2" w:name="Hilton"/>
      <w:r w:rsidRPr="00D20324">
        <w:rPr>
          <w:rFonts w:cs="Times New Roman"/>
        </w:rPr>
        <w:t>Hilton</w:t>
      </w:r>
      <w:r w:rsidR="004948A6" w:rsidRPr="00D20324">
        <w:rPr>
          <w:rFonts w:cs="Times New Roman"/>
        </w:rPr>
        <w:t>, as well as every other interpreter of Luke-Acts that I have been able to consult, overlooks</w:t>
      </w:r>
      <w:bookmarkEnd w:id="2"/>
      <w:r w:rsidR="00A11CA5" w:rsidRPr="00D20324">
        <w:rPr>
          <w:rFonts w:cs="Times New Roman"/>
        </w:rPr>
        <w:t>.</w:t>
      </w:r>
      <w:r w:rsidR="00DE28B2" w:rsidRPr="00D20324">
        <w:rPr>
          <w:rFonts w:cs="Times New Roman"/>
        </w:rPr>
        <w:t xml:space="preserve">  With such a </w:t>
      </w:r>
      <w:r w:rsidR="00DE28B2" w:rsidRPr="00D20324">
        <w:rPr>
          <w:rFonts w:cs="Times New Roman"/>
          <w:i/>
          <w:iCs/>
        </w:rPr>
        <w:t xml:space="preserve">pneuma </w:t>
      </w:r>
      <w:r w:rsidR="00DE28B2" w:rsidRPr="00D20324">
        <w:rPr>
          <w:rFonts w:cs="Times New Roman"/>
        </w:rPr>
        <w:t>apologetic obviously available to Luke,</w:t>
      </w:r>
      <w:r w:rsidR="00A7389D" w:rsidRPr="00D20324">
        <w:rPr>
          <w:rFonts w:cs="Times New Roman"/>
        </w:rPr>
        <w:t xml:space="preserve"> and Luke</w:t>
      </w:r>
      <w:r w:rsidR="00DC211B">
        <w:rPr>
          <w:rFonts w:cs="Times New Roman"/>
        </w:rPr>
        <w:t xml:space="preserve">’s </w:t>
      </w:r>
      <w:r w:rsidR="00A7389D" w:rsidRPr="00D20324">
        <w:rPr>
          <w:rFonts w:cs="Times New Roman"/>
        </w:rPr>
        <w:t>obvious willing</w:t>
      </w:r>
      <w:r w:rsidR="00DC211B">
        <w:rPr>
          <w:rFonts w:cs="Times New Roman"/>
        </w:rPr>
        <w:t>ness</w:t>
      </w:r>
      <w:r w:rsidR="00A7389D" w:rsidRPr="00D20324">
        <w:rPr>
          <w:rFonts w:cs="Times New Roman"/>
        </w:rPr>
        <w:t xml:space="preserve"> to deploy it,</w:t>
      </w:r>
      <w:r w:rsidR="00DE28B2" w:rsidRPr="00D20324">
        <w:rPr>
          <w:rFonts w:cs="Times New Roman"/>
        </w:rPr>
        <w:t xml:space="preserve"> why does he </w:t>
      </w:r>
      <w:r w:rsidR="004948A6" w:rsidRPr="00D20324">
        <w:rPr>
          <w:rFonts w:cs="Times New Roman"/>
        </w:rPr>
        <w:t>not</w:t>
      </w:r>
      <w:r w:rsidR="00DE28B2" w:rsidRPr="00D20324">
        <w:rPr>
          <w:rFonts w:cs="Times New Roman"/>
        </w:rPr>
        <w:t xml:space="preserve"> extend </w:t>
      </w:r>
      <w:r w:rsidR="00A7389D" w:rsidRPr="00D20324">
        <w:rPr>
          <w:rFonts w:cs="Times New Roman"/>
        </w:rPr>
        <w:t>this apologetic t</w:t>
      </w:r>
      <w:r w:rsidR="00DE28B2" w:rsidRPr="00D20324">
        <w:rPr>
          <w:rFonts w:cs="Times New Roman"/>
        </w:rPr>
        <w:t xml:space="preserve">o Jesus in his Gospel?  </w:t>
      </w:r>
      <w:r w:rsidR="00A7389D" w:rsidRPr="00D20324">
        <w:rPr>
          <w:rFonts w:cs="Times New Roman"/>
        </w:rPr>
        <w:t>W</w:t>
      </w:r>
      <w:r w:rsidR="00DE28B2" w:rsidRPr="00D20324">
        <w:rPr>
          <w:rFonts w:cs="Times New Roman"/>
        </w:rPr>
        <w:t>hy has</w:t>
      </w:r>
      <w:r w:rsidR="009D65BC" w:rsidRPr="00D20324">
        <w:rPr>
          <w:rFonts w:cs="Times New Roman"/>
        </w:rPr>
        <w:t xml:space="preserve"> Luke gone to the trouble of re</w:t>
      </w:r>
      <w:r w:rsidR="004948A6" w:rsidRPr="00D20324">
        <w:rPr>
          <w:rFonts w:cs="Times New Roman"/>
        </w:rPr>
        <w:t>writing Mark’s</w:t>
      </w:r>
      <w:r w:rsidR="00A7389D" w:rsidRPr="00D20324">
        <w:rPr>
          <w:rFonts w:cs="Times New Roman"/>
        </w:rPr>
        <w:t xml:space="preserve"> manual-labor Jesus</w:t>
      </w:r>
      <w:r w:rsidR="004948A6" w:rsidRPr="00D20324">
        <w:rPr>
          <w:rFonts w:cs="Times New Roman"/>
        </w:rPr>
        <w:t xml:space="preserve"> </w:t>
      </w:r>
      <w:r w:rsidR="00DE28B2" w:rsidRPr="00D20324">
        <w:rPr>
          <w:rFonts w:cs="Times New Roman"/>
        </w:rPr>
        <w:t xml:space="preserve">with </w:t>
      </w:r>
      <w:r w:rsidR="00A7389D" w:rsidRPr="00D20324">
        <w:rPr>
          <w:rFonts w:cs="Times New Roman"/>
        </w:rPr>
        <w:t xml:space="preserve">outright </w:t>
      </w:r>
      <w:r w:rsidR="00DE28B2" w:rsidRPr="00D20324">
        <w:rPr>
          <w:rFonts w:cs="Times New Roman"/>
        </w:rPr>
        <w:t>cla</w:t>
      </w:r>
      <w:r w:rsidR="00A11CA5" w:rsidRPr="00D20324">
        <w:rPr>
          <w:rFonts w:cs="Times New Roman"/>
        </w:rPr>
        <w:t>ims for Jesus’ scribal literacy</w:t>
      </w:r>
      <w:r w:rsidR="00DE28B2" w:rsidRPr="00D20324">
        <w:rPr>
          <w:rFonts w:cs="Times New Roman"/>
        </w:rPr>
        <w:t xml:space="preserve"> when he could have allowed Jesus to remain in the manual-labor class and </w:t>
      </w:r>
      <w:r w:rsidR="00D6797F" w:rsidRPr="00D20324">
        <w:rPr>
          <w:rFonts w:cs="Times New Roman"/>
        </w:rPr>
        <w:t>attributed</w:t>
      </w:r>
      <w:r w:rsidR="00DE28B2" w:rsidRPr="00D20324">
        <w:rPr>
          <w:rFonts w:cs="Times New Roman"/>
        </w:rPr>
        <w:t xml:space="preserve"> his effectiveness </w:t>
      </w:r>
      <w:r w:rsidR="00D6797F" w:rsidRPr="00D20324">
        <w:rPr>
          <w:rFonts w:cs="Times New Roman"/>
        </w:rPr>
        <w:t>to</w:t>
      </w:r>
      <w:r w:rsidR="004948A6" w:rsidRPr="00D20324">
        <w:rPr>
          <w:rFonts w:cs="Times New Roman"/>
        </w:rPr>
        <w:t xml:space="preserve"> the Spirit</w:t>
      </w:r>
      <w:r w:rsidR="00DE28B2" w:rsidRPr="00D20324">
        <w:rPr>
          <w:rFonts w:cs="Times New Roman"/>
        </w:rPr>
        <w:t xml:space="preserve">?  </w:t>
      </w:r>
      <w:r w:rsidR="008F55E5" w:rsidRPr="00D20324">
        <w:rPr>
          <w:rFonts w:cs="Times New Roman"/>
        </w:rPr>
        <w:t xml:space="preserve">I </w:t>
      </w:r>
      <w:r w:rsidR="00A7389D" w:rsidRPr="00D20324">
        <w:rPr>
          <w:rFonts w:cs="Times New Roman"/>
        </w:rPr>
        <w:t>must stress</w:t>
      </w:r>
      <w:r w:rsidR="00606851" w:rsidRPr="00D20324">
        <w:rPr>
          <w:rFonts w:cs="Times New Roman"/>
        </w:rPr>
        <w:t xml:space="preserve"> </w:t>
      </w:r>
      <w:r w:rsidR="00A11CA5" w:rsidRPr="00D20324">
        <w:rPr>
          <w:rFonts w:cs="Times New Roman"/>
        </w:rPr>
        <w:t>emphatically</w:t>
      </w:r>
      <w:r w:rsidR="00A7389D" w:rsidRPr="00D20324">
        <w:rPr>
          <w:rFonts w:cs="Times New Roman"/>
        </w:rPr>
        <w:t xml:space="preserve"> </w:t>
      </w:r>
      <w:r w:rsidR="008F55E5" w:rsidRPr="00D20324">
        <w:rPr>
          <w:rFonts w:cs="Times New Roman"/>
        </w:rPr>
        <w:t>that t</w:t>
      </w:r>
      <w:r w:rsidR="00DE28B2" w:rsidRPr="00D20324">
        <w:rPr>
          <w:rFonts w:cs="Times New Roman"/>
        </w:rPr>
        <w:t xml:space="preserve">his is precisely what </w:t>
      </w:r>
      <w:r w:rsidR="008F55E5" w:rsidRPr="00D20324">
        <w:rPr>
          <w:rFonts w:cs="Times New Roman"/>
        </w:rPr>
        <w:t>Luke</w:t>
      </w:r>
      <w:r w:rsidR="00DE28B2" w:rsidRPr="00D20324">
        <w:rPr>
          <w:rFonts w:cs="Times New Roman"/>
        </w:rPr>
        <w:t xml:space="preserve"> has done with Peter </w:t>
      </w:r>
      <w:r w:rsidR="00A11CA5" w:rsidRPr="00D20324">
        <w:rPr>
          <w:rFonts w:cs="Times New Roman"/>
        </w:rPr>
        <w:t xml:space="preserve">and John </w:t>
      </w:r>
      <w:r w:rsidR="00DE28B2" w:rsidRPr="00D20324">
        <w:rPr>
          <w:rFonts w:cs="Times New Roman"/>
        </w:rPr>
        <w:t xml:space="preserve">in Acts 4:8–13.  </w:t>
      </w:r>
    </w:p>
    <w:p w:rsidR="00916EF4" w:rsidRPr="00D20324" w:rsidRDefault="00A7389D" w:rsidP="007E6DB8">
      <w:pPr>
        <w:spacing w:line="480" w:lineRule="auto"/>
        <w:ind w:firstLine="720"/>
        <w:rPr>
          <w:rFonts w:cs="Times New Roman"/>
        </w:rPr>
      </w:pPr>
      <w:r w:rsidRPr="00D20324">
        <w:rPr>
          <w:rFonts w:cs="Times New Roman"/>
        </w:rPr>
        <w:t>This qu</w:t>
      </w:r>
      <w:r w:rsidR="00DE28B2" w:rsidRPr="00D20324">
        <w:rPr>
          <w:rFonts w:cs="Times New Roman"/>
        </w:rPr>
        <w:t xml:space="preserve">estion </w:t>
      </w:r>
      <w:r w:rsidRPr="00D20324">
        <w:rPr>
          <w:rFonts w:cs="Times New Roman"/>
        </w:rPr>
        <w:t xml:space="preserve">is </w:t>
      </w:r>
      <w:r w:rsidR="00606851" w:rsidRPr="00D20324">
        <w:rPr>
          <w:rFonts w:cs="Times New Roman"/>
        </w:rPr>
        <w:t xml:space="preserve">even </w:t>
      </w:r>
      <w:r w:rsidR="00DE28B2" w:rsidRPr="00D20324">
        <w:rPr>
          <w:rFonts w:cs="Times New Roman"/>
        </w:rPr>
        <w:t xml:space="preserve">more acute </w:t>
      </w:r>
      <w:r w:rsidRPr="00D20324">
        <w:rPr>
          <w:rFonts w:cs="Times New Roman"/>
        </w:rPr>
        <w:t xml:space="preserve">for interpreters of Luke in light of </w:t>
      </w:r>
      <w:r w:rsidR="00DE28B2" w:rsidRPr="00D20324">
        <w:rPr>
          <w:rFonts w:cs="Times New Roman"/>
        </w:rPr>
        <w:t xml:space="preserve">two further realities.  First, Luke </w:t>
      </w:r>
      <w:r w:rsidR="008F55E5" w:rsidRPr="00D20324">
        <w:rPr>
          <w:rFonts w:cs="Times New Roman"/>
          <w:i/>
          <w:iCs/>
        </w:rPr>
        <w:t>d</w:t>
      </w:r>
      <w:r w:rsidR="00DE28B2" w:rsidRPr="00D20324">
        <w:rPr>
          <w:rFonts w:cs="Times New Roman"/>
          <w:i/>
          <w:iCs/>
        </w:rPr>
        <w:t>oes</w:t>
      </w:r>
      <w:r w:rsidR="00DE28B2" w:rsidRPr="00D20324">
        <w:rPr>
          <w:rFonts w:cs="Times New Roman"/>
        </w:rPr>
        <w:t xml:space="preserve"> </w:t>
      </w:r>
      <w:r w:rsidRPr="00D20324">
        <w:rPr>
          <w:rFonts w:cs="Times New Roman"/>
        </w:rPr>
        <w:t xml:space="preserve">attribute to Jesus’ teaching </w:t>
      </w:r>
      <w:r w:rsidR="00DE28B2" w:rsidRPr="00D20324">
        <w:rPr>
          <w:rFonts w:cs="Times New Roman"/>
        </w:rPr>
        <w:t>the power of the Holy Spirit</w:t>
      </w:r>
      <w:r w:rsidRPr="00D20324">
        <w:rPr>
          <w:rFonts w:cs="Times New Roman"/>
        </w:rPr>
        <w:t xml:space="preserve">.  He </w:t>
      </w:r>
      <w:r w:rsidR="00BA310D" w:rsidRPr="00D20324">
        <w:rPr>
          <w:rFonts w:cs="Times New Roman"/>
        </w:rPr>
        <w:t xml:space="preserve">even uses </w:t>
      </w:r>
      <w:r w:rsidR="007E6DB8" w:rsidRPr="00D20324">
        <w:rPr>
          <w:rFonts w:ascii="SBL Greek" w:hAnsi="SBL Greek" w:cs="Times New Roman"/>
          <w:lang w:val="el-GR"/>
        </w:rPr>
        <w:t>δύναμις</w:t>
      </w:r>
      <w:r w:rsidR="007E6DB8" w:rsidRPr="00D20324">
        <w:rPr>
          <w:rFonts w:asciiTheme="majorBidi" w:hAnsiTheme="majorBidi" w:cstheme="majorBidi"/>
        </w:rPr>
        <w:t xml:space="preserve"> </w:t>
      </w:r>
      <w:r w:rsidRPr="00D20324">
        <w:rPr>
          <w:rFonts w:asciiTheme="majorBidi" w:hAnsiTheme="majorBidi" w:cstheme="majorBidi"/>
        </w:rPr>
        <w:t>for this</w:t>
      </w:r>
      <w:r w:rsidR="00BA310D" w:rsidRPr="00D20324">
        <w:rPr>
          <w:rFonts w:asciiTheme="majorBidi" w:hAnsiTheme="majorBidi" w:cstheme="majorBidi"/>
        </w:rPr>
        <w:t xml:space="preserve"> “power” as he does in Acts 1:8</w:t>
      </w:r>
      <w:r w:rsidR="00A11CA5" w:rsidRPr="00D20324">
        <w:rPr>
          <w:rFonts w:asciiTheme="majorBidi" w:hAnsiTheme="majorBidi" w:cstheme="majorBidi"/>
        </w:rPr>
        <w:t xml:space="preserve">:  </w:t>
      </w:r>
      <w:r w:rsidR="00DE28B2" w:rsidRPr="00D20324">
        <w:rPr>
          <w:rFonts w:cs="Times New Roman"/>
        </w:rPr>
        <w:t>“</w:t>
      </w:r>
      <w:r w:rsidR="00BA310D" w:rsidRPr="00D20324">
        <w:rPr>
          <w:rFonts w:cs="Times New Roman"/>
        </w:rPr>
        <w:t>And Jesus returned to Galilee in the power (</w:t>
      </w:r>
      <w:r w:rsidR="007E6DB8" w:rsidRPr="00D20324">
        <w:rPr>
          <w:rFonts w:ascii="SBL Greek" w:hAnsi="SBL Greek" w:cs="Times New Roman"/>
          <w:lang w:val="el-GR"/>
        </w:rPr>
        <w:t>δυνάμει</w:t>
      </w:r>
      <w:r w:rsidR="00BA310D" w:rsidRPr="00D20324">
        <w:rPr>
          <w:rFonts w:cs="Times New Roman"/>
        </w:rPr>
        <w:t>) of the Spirit. . . .  And he began teaching in their synagogues”</w:t>
      </w:r>
      <w:r w:rsidR="008F55E5" w:rsidRPr="00D20324">
        <w:rPr>
          <w:rFonts w:cs="Times New Roman"/>
        </w:rPr>
        <w:t xml:space="preserve"> (Luke</w:t>
      </w:r>
      <w:r w:rsidR="00BA310D" w:rsidRPr="00D20324">
        <w:rPr>
          <w:rFonts w:cs="Times New Roman"/>
        </w:rPr>
        <w:t xml:space="preserve"> 4:14–15).  Clearly, Luke believes that Jesus taught under the same </w:t>
      </w:r>
      <w:r w:rsidR="008F55E5" w:rsidRPr="00D20324">
        <w:rPr>
          <w:rFonts w:cs="Times New Roman"/>
        </w:rPr>
        <w:t>“</w:t>
      </w:r>
      <w:r w:rsidR="00BA310D" w:rsidRPr="00D20324">
        <w:rPr>
          <w:rFonts w:cs="Times New Roman"/>
        </w:rPr>
        <w:t>power</w:t>
      </w:r>
      <w:r w:rsidR="008F55E5" w:rsidRPr="00D20324">
        <w:rPr>
          <w:rFonts w:cs="Times New Roman"/>
        </w:rPr>
        <w:t>”</w:t>
      </w:r>
      <w:r w:rsidR="00BA310D" w:rsidRPr="00D20324">
        <w:rPr>
          <w:rFonts w:cs="Times New Roman"/>
        </w:rPr>
        <w:t xml:space="preserve"> of the Spirit</w:t>
      </w:r>
      <w:r w:rsidR="008F55E5" w:rsidRPr="00D20324">
        <w:rPr>
          <w:rFonts w:cs="Times New Roman"/>
        </w:rPr>
        <w:t xml:space="preserve"> in Luke 4</w:t>
      </w:r>
      <w:r w:rsidR="00BA310D" w:rsidRPr="00D20324">
        <w:rPr>
          <w:rFonts w:cs="Times New Roman"/>
        </w:rPr>
        <w:t xml:space="preserve"> as did </w:t>
      </w:r>
      <w:r w:rsidR="008F55E5" w:rsidRPr="00D20324">
        <w:rPr>
          <w:rFonts w:cs="Times New Roman"/>
        </w:rPr>
        <w:t xml:space="preserve">the post-Pentecost </w:t>
      </w:r>
      <w:r w:rsidR="00BA310D" w:rsidRPr="00D20324">
        <w:rPr>
          <w:rFonts w:cs="Times New Roman"/>
        </w:rPr>
        <w:t>Peter and John</w:t>
      </w:r>
      <w:r w:rsidR="008F55E5" w:rsidRPr="00D20324">
        <w:rPr>
          <w:rFonts w:cs="Times New Roman"/>
        </w:rPr>
        <w:t xml:space="preserve"> in Acts</w:t>
      </w:r>
      <w:r w:rsidR="00FE36BD" w:rsidRPr="00D20324">
        <w:rPr>
          <w:rFonts w:cs="Times New Roman"/>
        </w:rPr>
        <w:t xml:space="preserve"> 4</w:t>
      </w:r>
      <w:r w:rsidR="0016071F" w:rsidRPr="00D20324">
        <w:rPr>
          <w:rFonts w:cs="Times New Roman"/>
        </w:rPr>
        <w:t>.</w:t>
      </w:r>
      <w:r w:rsidR="004948A6" w:rsidRPr="00D20324">
        <w:rPr>
          <w:rStyle w:val="FootnoteReference"/>
          <w:rFonts w:cs="Times New Roman"/>
        </w:rPr>
        <w:footnoteReference w:id="57"/>
      </w:r>
      <w:r w:rsidR="0016071F" w:rsidRPr="00D20324">
        <w:rPr>
          <w:rFonts w:cs="Times New Roman"/>
        </w:rPr>
        <w:t xml:space="preserve">  In this sense, one may note Adams’s argument that Acts 4:13 functions as a narrative fulfilment of Jesus’ claim in Luke 6:40 that</w:t>
      </w:r>
      <w:r w:rsidR="00916EF4" w:rsidRPr="00D20324">
        <w:rPr>
          <w:rFonts w:cs="Times New Roman"/>
        </w:rPr>
        <w:t xml:space="preserve"> “the one who is fully trained will be like his teacher.”</w:t>
      </w:r>
      <w:r w:rsidR="00916EF4" w:rsidRPr="00D20324">
        <w:rPr>
          <w:rStyle w:val="FootnoteReference"/>
          <w:rFonts w:cs="Times New Roman"/>
        </w:rPr>
        <w:footnoteReference w:id="58"/>
      </w:r>
      <w:r w:rsidR="00916EF4" w:rsidRPr="00D20324">
        <w:rPr>
          <w:rFonts w:cs="Times New Roman"/>
        </w:rPr>
        <w:t xml:space="preserve">  The earlier observations concerning the continuity between Luke’s narrative techniques in his Gospel and in </w:t>
      </w:r>
      <w:r w:rsidR="00A11CA5" w:rsidRPr="00D20324">
        <w:rPr>
          <w:rFonts w:cs="Times New Roman"/>
        </w:rPr>
        <w:t>Acts would reinforce this point.  B</w:t>
      </w:r>
      <w:r w:rsidR="00916EF4" w:rsidRPr="00D20324">
        <w:rPr>
          <w:rFonts w:cs="Times New Roman"/>
        </w:rPr>
        <w:t xml:space="preserve">ut one must also note, </w:t>
      </w:r>
      <w:r w:rsidR="00916EF4" w:rsidRPr="00D20324">
        <w:rPr>
          <w:rFonts w:cs="Times New Roman"/>
          <w:i/>
          <w:iCs/>
        </w:rPr>
        <w:t>pace</w:t>
      </w:r>
      <w:r w:rsidR="00916EF4" w:rsidRPr="00D20324">
        <w:rPr>
          <w:rFonts w:cs="Times New Roman"/>
        </w:rPr>
        <w:t xml:space="preserve"> Adams, that the continuity between Jesus and the disciples as non-scribal</w:t>
      </w:r>
      <w:r w:rsidR="00121BBF" w:rsidRPr="00D20324">
        <w:rPr>
          <w:rFonts w:cs="Times New Roman"/>
        </w:rPr>
        <w:t xml:space="preserve"> teachers exists solely within</w:t>
      </w:r>
      <w:r w:rsidR="00916EF4" w:rsidRPr="00D20324">
        <w:rPr>
          <w:rFonts w:cs="Times New Roman"/>
        </w:rPr>
        <w:t xml:space="preserve"> Acts 4:13, not </w:t>
      </w:r>
      <w:r w:rsidR="00121BBF" w:rsidRPr="00D20324">
        <w:rPr>
          <w:rFonts w:cs="Times New Roman"/>
        </w:rPr>
        <w:t xml:space="preserve">between the disciples and </w:t>
      </w:r>
      <w:r w:rsidR="00916EF4" w:rsidRPr="00D20324">
        <w:rPr>
          <w:rFonts w:cs="Times New Roman"/>
        </w:rPr>
        <w:t xml:space="preserve">the scribal-literate Jesus of Luke’s Gospel.  </w:t>
      </w:r>
      <w:r w:rsidR="0016071F" w:rsidRPr="00D20324">
        <w:rPr>
          <w:rFonts w:cs="Times New Roman"/>
        </w:rPr>
        <w:t>Luke</w:t>
      </w:r>
      <w:r w:rsidRPr="00D20324">
        <w:rPr>
          <w:rFonts w:cs="Times New Roman"/>
        </w:rPr>
        <w:t xml:space="preserve"> does not allow the Spirit to compensate for scribal-illiterate</w:t>
      </w:r>
      <w:r w:rsidR="0016071F" w:rsidRPr="00D20324">
        <w:rPr>
          <w:rFonts w:cs="Times New Roman"/>
        </w:rPr>
        <w:t xml:space="preserve"> </w:t>
      </w:r>
      <w:r w:rsidRPr="00D20324">
        <w:rPr>
          <w:rFonts w:cs="Times New Roman"/>
        </w:rPr>
        <w:t xml:space="preserve">status in the case of Jesus </w:t>
      </w:r>
      <w:r w:rsidR="0016071F" w:rsidRPr="00D20324">
        <w:rPr>
          <w:rFonts w:cs="Times New Roman"/>
        </w:rPr>
        <w:t xml:space="preserve">in the Gospel </w:t>
      </w:r>
      <w:r w:rsidRPr="00D20324">
        <w:rPr>
          <w:rFonts w:cs="Times New Roman"/>
        </w:rPr>
        <w:t>as he does in the case of Peter and John</w:t>
      </w:r>
      <w:r w:rsidR="0016071F" w:rsidRPr="00D20324">
        <w:rPr>
          <w:rFonts w:cs="Times New Roman"/>
        </w:rPr>
        <w:t xml:space="preserve"> (and </w:t>
      </w:r>
      <w:r w:rsidR="00916EF4" w:rsidRPr="00D20324">
        <w:rPr>
          <w:rFonts w:cs="Times New Roman"/>
        </w:rPr>
        <w:t xml:space="preserve">possibly </w:t>
      </w:r>
      <w:r w:rsidR="0016071F" w:rsidRPr="00D20324">
        <w:rPr>
          <w:rFonts w:cs="Times New Roman"/>
        </w:rPr>
        <w:t>Jesus) in Acts 4:13</w:t>
      </w:r>
      <w:r w:rsidR="00BA310D" w:rsidRPr="00D20324">
        <w:rPr>
          <w:rFonts w:cs="Times New Roman"/>
        </w:rPr>
        <w:t>.</w:t>
      </w:r>
      <w:r w:rsidR="0016071F" w:rsidRPr="00D20324">
        <w:rPr>
          <w:rFonts w:cs="Times New Roman"/>
        </w:rPr>
        <w:t xml:space="preserve">  </w:t>
      </w:r>
    </w:p>
    <w:p w:rsidR="008F55E5" w:rsidRPr="00D20324" w:rsidRDefault="00BA310D" w:rsidP="00D6797F">
      <w:pPr>
        <w:spacing w:line="480" w:lineRule="auto"/>
        <w:ind w:firstLine="720"/>
        <w:rPr>
          <w:rFonts w:cs="Times New Roman"/>
        </w:rPr>
      </w:pPr>
      <w:r w:rsidRPr="00D20324">
        <w:rPr>
          <w:rFonts w:cs="Times New Roman"/>
        </w:rPr>
        <w:t>Second</w:t>
      </w:r>
      <w:r w:rsidR="00D44F7A" w:rsidRPr="00D20324">
        <w:rPr>
          <w:rFonts w:cs="Times New Roman"/>
        </w:rPr>
        <w:t>,</w:t>
      </w:r>
      <w:r w:rsidR="00DE28B2" w:rsidRPr="00D20324">
        <w:rPr>
          <w:rFonts w:cs="Times New Roman"/>
        </w:rPr>
        <w:t xml:space="preserve"> </w:t>
      </w:r>
      <w:r w:rsidRPr="00D20324">
        <w:rPr>
          <w:rFonts w:cs="Times New Roman"/>
        </w:rPr>
        <w:t xml:space="preserve">other early Christian apologists apply this </w:t>
      </w:r>
      <w:r w:rsidRPr="00D20324">
        <w:rPr>
          <w:rFonts w:cs="Times New Roman"/>
          <w:i/>
          <w:iCs/>
        </w:rPr>
        <w:t>pneuma</w:t>
      </w:r>
      <w:r w:rsidRPr="00D20324">
        <w:rPr>
          <w:rFonts w:cs="Times New Roman"/>
        </w:rPr>
        <w:t xml:space="preserve"> apologetic to Jesus</w:t>
      </w:r>
      <w:r w:rsidR="00D44F7A" w:rsidRPr="00D20324">
        <w:rPr>
          <w:rFonts w:cs="Times New Roman"/>
        </w:rPr>
        <w:t>’ disciples</w:t>
      </w:r>
      <w:r w:rsidRPr="00D20324">
        <w:rPr>
          <w:rFonts w:cs="Times New Roman"/>
        </w:rPr>
        <w:t xml:space="preserve"> while</w:t>
      </w:r>
      <w:r w:rsidR="00D44F7A" w:rsidRPr="00D20324">
        <w:rPr>
          <w:rFonts w:cs="Times New Roman"/>
        </w:rPr>
        <w:t xml:space="preserve"> </w:t>
      </w:r>
      <w:r w:rsidR="00D44F7A" w:rsidRPr="00D20324">
        <w:rPr>
          <w:rFonts w:cs="Times New Roman"/>
          <w:i/>
          <w:iCs/>
        </w:rPr>
        <w:t>also</w:t>
      </w:r>
      <w:r w:rsidRPr="00D20324">
        <w:rPr>
          <w:rFonts w:cs="Times New Roman"/>
        </w:rPr>
        <w:t xml:space="preserve"> ac</w:t>
      </w:r>
      <w:r w:rsidR="00D6797F" w:rsidRPr="00D20324">
        <w:rPr>
          <w:rFonts w:cs="Times New Roman"/>
        </w:rPr>
        <w:t xml:space="preserve">cepting </w:t>
      </w:r>
      <w:r w:rsidRPr="00D20324">
        <w:rPr>
          <w:rFonts w:cs="Times New Roman"/>
        </w:rPr>
        <w:t xml:space="preserve">the charge that </w:t>
      </w:r>
      <w:r w:rsidR="00D44F7A" w:rsidRPr="00D20324">
        <w:rPr>
          <w:rFonts w:cs="Times New Roman"/>
        </w:rPr>
        <w:t>Jesus himself</w:t>
      </w:r>
      <w:r w:rsidRPr="00D20324">
        <w:rPr>
          <w:rFonts w:cs="Times New Roman"/>
        </w:rPr>
        <w:t xml:space="preserve"> was </w:t>
      </w:r>
      <w:r w:rsidR="00D6797F" w:rsidRPr="00D20324">
        <w:rPr>
          <w:rFonts w:cs="Times New Roman"/>
        </w:rPr>
        <w:t>outside the educated class</w:t>
      </w:r>
      <w:r w:rsidRPr="00D20324">
        <w:rPr>
          <w:rFonts w:cs="Times New Roman"/>
        </w:rPr>
        <w:t xml:space="preserve">.  </w:t>
      </w:r>
      <w:r w:rsidR="00D44F7A" w:rsidRPr="00D20324">
        <w:rPr>
          <w:rFonts w:cs="Times New Roman"/>
        </w:rPr>
        <w:t xml:space="preserve">Origen </w:t>
      </w:r>
      <w:r w:rsidR="00A7389D" w:rsidRPr="00D20324">
        <w:rPr>
          <w:rFonts w:cs="Times New Roman"/>
        </w:rPr>
        <w:t>states</w:t>
      </w:r>
      <w:r w:rsidR="00D44F7A" w:rsidRPr="00D20324">
        <w:rPr>
          <w:rFonts w:cs="Times New Roman"/>
        </w:rPr>
        <w:t xml:space="preserve"> that Jesus “had no general education” and “received no serious instruction from men.”</w:t>
      </w:r>
      <w:r w:rsidR="00D44F7A" w:rsidRPr="00D20324">
        <w:rPr>
          <w:rStyle w:val="FootnoteReference"/>
          <w:rFonts w:cs="Times New Roman"/>
        </w:rPr>
        <w:footnoteReference w:id="59"/>
      </w:r>
      <w:r w:rsidR="00DE28B2" w:rsidRPr="00D20324">
        <w:rPr>
          <w:rFonts w:cs="Times New Roman"/>
        </w:rPr>
        <w:t xml:space="preserve"> </w:t>
      </w:r>
      <w:r w:rsidR="00D44F7A" w:rsidRPr="00D20324">
        <w:rPr>
          <w:rFonts w:cs="Times New Roman"/>
        </w:rPr>
        <w:t xml:space="preserve">He </w:t>
      </w:r>
      <w:r w:rsidR="00121BBF" w:rsidRPr="00D20324">
        <w:rPr>
          <w:rFonts w:cs="Times New Roman"/>
        </w:rPr>
        <w:t>then later</w:t>
      </w:r>
      <w:r w:rsidR="008F55E5" w:rsidRPr="00D20324">
        <w:rPr>
          <w:rFonts w:cs="Times New Roman"/>
        </w:rPr>
        <w:t xml:space="preserve"> applies the </w:t>
      </w:r>
      <w:r w:rsidR="008F55E5" w:rsidRPr="00D20324">
        <w:rPr>
          <w:rFonts w:cs="Times New Roman"/>
          <w:i/>
          <w:iCs/>
        </w:rPr>
        <w:t xml:space="preserve">pneuma </w:t>
      </w:r>
      <w:r w:rsidR="008F55E5" w:rsidRPr="00D20324">
        <w:rPr>
          <w:rFonts w:cs="Times New Roman"/>
        </w:rPr>
        <w:t>apologetic to</w:t>
      </w:r>
      <w:r w:rsidR="00D44F7A" w:rsidRPr="00D20324">
        <w:rPr>
          <w:rFonts w:cs="Times New Roman"/>
        </w:rPr>
        <w:t xml:space="preserve"> the disciples:  </w:t>
      </w:r>
    </w:p>
    <w:p w:rsidR="008F55E5" w:rsidRPr="00D20324" w:rsidRDefault="00D44F7A" w:rsidP="00121BBF">
      <w:pPr>
        <w:spacing w:line="480" w:lineRule="auto"/>
        <w:ind w:left="1440" w:right="804"/>
        <w:jc w:val="both"/>
        <w:rPr>
          <w:rFonts w:cs="Times New Roman"/>
        </w:rPr>
      </w:pPr>
      <w:r w:rsidRPr="00D20324">
        <w:rPr>
          <w:rFonts w:cs="Times New Roman"/>
        </w:rPr>
        <w:t>I also affirm . . . these men [Jesus’ apostles] taught Christianity and succeeded in bringing many to obey the word of God by divine power.  For in them there was no power of speaking or of giving an ordered narrative by the standards of Greek dialectical or rhetorical arts which convinced their hearers.  It seems to me that if Jesus had chosen men who were wise in the eyes of the multitude, and who were capable of thinking and speaking acceptably to crowds, he might on very good grounds have been suspected of making use of a method similar to that of philosophers. . . .  The truth of the claim that his teaching is divine would no longer have been self-evident. . . .  If anyone saw fisherfolk and tax-collectors who had not had even a primary education</w:t>
      </w:r>
      <w:r w:rsidR="00121BBF" w:rsidRPr="00D20324">
        <w:rPr>
          <w:rFonts w:cs="Times New Roman"/>
        </w:rPr>
        <w:t xml:space="preserve"> . . . </w:t>
      </w:r>
      <w:r w:rsidRPr="00D20324">
        <w:rPr>
          <w:rFonts w:cs="Times New Roman"/>
        </w:rPr>
        <w:t>and who with great courage not only spoke to Jews about faith in Jesus but also preached him among the other nations with success, would he not try to find out the source of their persuasive power?  For it is not that which is popularly supposed to be power.</w:t>
      </w:r>
      <w:r w:rsidRPr="00D20324">
        <w:rPr>
          <w:rStyle w:val="FootnoteReference"/>
          <w:rFonts w:cs="Times New Roman"/>
        </w:rPr>
        <w:footnoteReference w:id="60"/>
      </w:r>
      <w:r w:rsidRPr="00D20324">
        <w:rPr>
          <w:rFonts w:cs="Times New Roman"/>
        </w:rPr>
        <w:t xml:space="preserve">  </w:t>
      </w:r>
    </w:p>
    <w:p w:rsidR="005D5A78" w:rsidRPr="00D20324" w:rsidRDefault="008F55E5" w:rsidP="00FE36BD">
      <w:pPr>
        <w:spacing w:line="480" w:lineRule="auto"/>
        <w:rPr>
          <w:rFonts w:cs="Times New Roman"/>
        </w:rPr>
      </w:pPr>
      <w:r w:rsidRPr="00D20324">
        <w:rPr>
          <w:rFonts w:cs="Times New Roman"/>
        </w:rPr>
        <w:t>One should not</w:t>
      </w:r>
      <w:r w:rsidR="00A7389D" w:rsidRPr="00D20324">
        <w:rPr>
          <w:rFonts w:cs="Times New Roman"/>
        </w:rPr>
        <w:t xml:space="preserve"> uncritically</w:t>
      </w:r>
      <w:r w:rsidRPr="00D20324">
        <w:rPr>
          <w:rFonts w:cs="Times New Roman"/>
        </w:rPr>
        <w:t xml:space="preserve"> read Origen in the third century onto Luke in the first century</w:t>
      </w:r>
      <w:r w:rsidR="00FE36BD" w:rsidRPr="00D20324">
        <w:rPr>
          <w:rFonts w:cs="Times New Roman"/>
        </w:rPr>
        <w:t>.</w:t>
      </w:r>
      <w:r w:rsidRPr="00D20324">
        <w:rPr>
          <w:rFonts w:cs="Times New Roman"/>
        </w:rPr>
        <w:t xml:space="preserve"> </w:t>
      </w:r>
      <w:r w:rsidR="00FE36BD" w:rsidRPr="00D20324">
        <w:rPr>
          <w:rFonts w:cs="Times New Roman"/>
        </w:rPr>
        <w:t xml:space="preserve"> B</w:t>
      </w:r>
      <w:r w:rsidRPr="00D20324">
        <w:rPr>
          <w:rFonts w:cs="Times New Roman"/>
        </w:rPr>
        <w:t xml:space="preserve">ut </w:t>
      </w:r>
      <w:r w:rsidR="00A11CA5" w:rsidRPr="00D20324">
        <w:rPr>
          <w:rFonts w:cs="Times New Roman"/>
        </w:rPr>
        <w:t xml:space="preserve">in this case </w:t>
      </w:r>
      <w:r w:rsidR="00FE36BD" w:rsidRPr="00D20324">
        <w:rPr>
          <w:rFonts w:cs="Times New Roman"/>
        </w:rPr>
        <w:t>the question persists</w:t>
      </w:r>
      <w:r w:rsidR="00A11CA5" w:rsidRPr="00D20324">
        <w:rPr>
          <w:rFonts w:cs="Times New Roman"/>
        </w:rPr>
        <w:t xml:space="preserve"> because</w:t>
      </w:r>
      <w:r w:rsidRPr="00D20324">
        <w:rPr>
          <w:rFonts w:cs="Times New Roman"/>
        </w:rPr>
        <w:t xml:space="preserve"> both </w:t>
      </w:r>
      <w:r w:rsidR="00A7389D" w:rsidRPr="00D20324">
        <w:rPr>
          <w:rFonts w:cs="Times New Roman"/>
        </w:rPr>
        <w:t xml:space="preserve">authors are dealing with the </w:t>
      </w:r>
      <w:r w:rsidR="00583F64" w:rsidRPr="00D20324">
        <w:rPr>
          <w:rFonts w:cs="Times New Roman"/>
        </w:rPr>
        <w:t>combination</w:t>
      </w:r>
      <w:r w:rsidR="00121BBF" w:rsidRPr="00D20324">
        <w:rPr>
          <w:rFonts w:cs="Times New Roman"/>
        </w:rPr>
        <w:t xml:space="preserve"> of lack of education, manual labor,</w:t>
      </w:r>
      <w:r w:rsidR="00A7389D" w:rsidRPr="00D20324">
        <w:rPr>
          <w:rFonts w:cs="Times New Roman"/>
        </w:rPr>
        <w:t xml:space="preserve"> the Spirit, and </w:t>
      </w:r>
      <w:r w:rsidR="00583F64" w:rsidRPr="00D20324">
        <w:rPr>
          <w:rFonts w:cs="Times New Roman"/>
        </w:rPr>
        <w:t xml:space="preserve">the </w:t>
      </w:r>
      <w:r w:rsidR="00A7389D" w:rsidRPr="00D20324">
        <w:rPr>
          <w:rFonts w:cs="Times New Roman"/>
        </w:rPr>
        <w:t>reception of Jesus and his di</w:t>
      </w:r>
      <w:r w:rsidR="00FE36BD" w:rsidRPr="00D20324">
        <w:rPr>
          <w:rFonts w:cs="Times New Roman"/>
        </w:rPr>
        <w:t>sciples among the educated elite</w:t>
      </w:r>
      <w:r w:rsidR="00A7389D" w:rsidRPr="00D20324">
        <w:rPr>
          <w:rFonts w:cs="Times New Roman"/>
        </w:rPr>
        <w:t xml:space="preserve">.  </w:t>
      </w:r>
      <w:r w:rsidR="009D65BC" w:rsidRPr="00D20324">
        <w:rPr>
          <w:rFonts w:cs="Times New Roman"/>
        </w:rPr>
        <w:t>Why does L</w:t>
      </w:r>
      <w:r w:rsidR="00DE28B2" w:rsidRPr="00D20324">
        <w:rPr>
          <w:rFonts w:cs="Times New Roman"/>
        </w:rPr>
        <w:t xml:space="preserve">uke withhold the </w:t>
      </w:r>
      <w:r w:rsidR="00DE28B2" w:rsidRPr="00D20324">
        <w:rPr>
          <w:rFonts w:cs="Times New Roman"/>
          <w:i/>
          <w:iCs/>
        </w:rPr>
        <w:t>pneuma</w:t>
      </w:r>
      <w:r w:rsidR="00DE28B2" w:rsidRPr="00D20324">
        <w:rPr>
          <w:rFonts w:cs="Times New Roman"/>
        </w:rPr>
        <w:t xml:space="preserve"> apologetic from Jesus in his Gospel while applying it to his disciples in Acts? </w:t>
      </w:r>
    </w:p>
    <w:p w:rsidR="0021425A" w:rsidRPr="00D20324" w:rsidRDefault="0021425A" w:rsidP="000D0D59">
      <w:pPr>
        <w:pStyle w:val="ListParagraph"/>
        <w:numPr>
          <w:ilvl w:val="0"/>
          <w:numId w:val="1"/>
        </w:numPr>
        <w:spacing w:line="480" w:lineRule="auto"/>
        <w:jc w:val="center"/>
        <w:rPr>
          <w:i/>
        </w:rPr>
      </w:pPr>
      <w:r w:rsidRPr="00D20324">
        <w:rPr>
          <w:i/>
        </w:rPr>
        <w:t xml:space="preserve">A Possible Explanation: Remembering Jesus in </w:t>
      </w:r>
      <w:r w:rsidRPr="00D20324">
        <w:t>Imago Pauli</w:t>
      </w:r>
    </w:p>
    <w:p w:rsidR="0021425A" w:rsidRPr="00D20324" w:rsidRDefault="00CD53C6" w:rsidP="00CD53C6">
      <w:pPr>
        <w:spacing w:line="480" w:lineRule="auto"/>
      </w:pPr>
      <w:r w:rsidRPr="00D20324">
        <w:rPr>
          <w:rFonts w:asciiTheme="majorBidi" w:hAnsiTheme="majorBidi" w:cstheme="majorBidi"/>
        </w:rPr>
        <w:t>E</w:t>
      </w:r>
      <w:r w:rsidR="00121BBF" w:rsidRPr="00D20324">
        <w:rPr>
          <w:rFonts w:asciiTheme="majorBidi" w:hAnsiTheme="majorBidi" w:cstheme="majorBidi"/>
        </w:rPr>
        <w:t>ither of the aforementioned possibilities concerning Luke’s authorial intentions in Acts 4:13b raises important critical questions</w:t>
      </w:r>
      <w:r w:rsidRPr="00D20324">
        <w:rPr>
          <w:rFonts w:asciiTheme="majorBidi" w:hAnsiTheme="majorBidi" w:cstheme="majorBidi"/>
        </w:rPr>
        <w:t xml:space="preserve"> for interpreters of Luke-Acts.  Since </w:t>
      </w:r>
      <w:r w:rsidR="009B7E6E" w:rsidRPr="00D20324">
        <w:t>the</w:t>
      </w:r>
      <w:r w:rsidRPr="00D20324">
        <w:t>se</w:t>
      </w:r>
      <w:r w:rsidR="009B7E6E" w:rsidRPr="00D20324">
        <w:t xml:space="preserve"> questions</w:t>
      </w:r>
      <w:r w:rsidRPr="00D20324">
        <w:t>, and</w:t>
      </w:r>
      <w:r w:rsidR="009B7E6E" w:rsidRPr="00D20324">
        <w:t xml:space="preserve"> the oddity of Luke’s strong association of Jesus with the scribal-illit</w:t>
      </w:r>
      <w:r w:rsidR="00606851" w:rsidRPr="00D20324">
        <w:t>erate class in Acts 4:13b</w:t>
      </w:r>
      <w:r w:rsidRPr="00D20324">
        <w:t>, have</w:t>
      </w:r>
      <w:r w:rsidR="009B7E6E" w:rsidRPr="00D20324">
        <w:t xml:space="preserve"> gone unnoticed in scholarship</w:t>
      </w:r>
      <w:r w:rsidRPr="00D20324">
        <w:t xml:space="preserve">, </w:t>
      </w:r>
      <w:r w:rsidR="009B7E6E" w:rsidRPr="00D20324">
        <w:t>the primary goal of this essay has been to articulate the</w:t>
      </w:r>
      <w:r w:rsidRPr="00D20324">
        <w:t>m</w:t>
      </w:r>
      <w:r w:rsidR="009B7E6E" w:rsidRPr="00D20324">
        <w:t xml:space="preserve">.  </w:t>
      </w:r>
      <w:r w:rsidRPr="00D20324">
        <w:t xml:space="preserve">Nevertheless, it is necessary to </w:t>
      </w:r>
      <w:r w:rsidR="00583F64" w:rsidRPr="00D20324">
        <w:t>venture a possible explanatio</w:t>
      </w:r>
      <w:r w:rsidRPr="00D20324">
        <w:t>n by way of conclusion.</w:t>
      </w:r>
    </w:p>
    <w:p w:rsidR="00CD53C6" w:rsidRPr="00D20324" w:rsidRDefault="00503D01" w:rsidP="00F96430">
      <w:pPr>
        <w:spacing w:line="480" w:lineRule="auto"/>
      </w:pPr>
      <w:r w:rsidRPr="00D20324">
        <w:tab/>
      </w:r>
      <w:r w:rsidR="00F96430">
        <w:t>One possible</w:t>
      </w:r>
      <w:r w:rsidR="00583F64" w:rsidRPr="00D20324">
        <w:t xml:space="preserve"> solution to why Luke failed to continue in Acts 4:13b an interpretive agenda for Jesus that he executed in his Gospel is that Acts 4:13b is an example of what Goodacre</w:t>
      </w:r>
      <w:r w:rsidR="005879F7" w:rsidRPr="00D20324">
        <w:t xml:space="preserve"> (following Goulder)</w:t>
      </w:r>
      <w:r w:rsidR="00583F64" w:rsidRPr="00D20324">
        <w:t xml:space="preserve"> describes as “editorial fatigue,”</w:t>
      </w:r>
      <w:r w:rsidR="002B09F2" w:rsidRPr="00D20324">
        <w:rPr>
          <w:rFonts w:asciiTheme="majorBidi" w:hAnsiTheme="majorBidi" w:cstheme="majorBidi"/>
        </w:rPr>
        <w:t xml:space="preserve"> whereby</w:t>
      </w:r>
      <w:r w:rsidR="00583F64" w:rsidRPr="00D20324">
        <w:rPr>
          <w:rFonts w:asciiTheme="majorBidi" w:hAnsiTheme="majorBidi" w:cstheme="majorBidi"/>
        </w:rPr>
        <w:t xml:space="preserve"> a Gospel author reveals his familiarity with an underlying source that he otherwise modifies.</w:t>
      </w:r>
      <w:r w:rsidR="00583F64" w:rsidRPr="00D20324">
        <w:rPr>
          <w:rStyle w:val="FootnoteReference"/>
          <w:rFonts w:asciiTheme="majorBidi" w:hAnsiTheme="majorBidi" w:cstheme="majorBidi"/>
        </w:rPr>
        <w:footnoteReference w:id="61"/>
      </w:r>
      <w:r w:rsidR="00583F64" w:rsidRPr="00D20324">
        <w:rPr>
          <w:rFonts w:asciiTheme="majorBidi" w:hAnsiTheme="majorBidi" w:cstheme="majorBidi"/>
        </w:rPr>
        <w:t xml:space="preserve">  </w:t>
      </w:r>
      <w:r w:rsidR="002A1D65">
        <w:rPr>
          <w:rFonts w:asciiTheme="majorBidi" w:hAnsiTheme="majorBidi" w:cstheme="majorBidi"/>
        </w:rPr>
        <w:t>Perhaps, i</w:t>
      </w:r>
      <w:r w:rsidR="00583F64" w:rsidRPr="00D20324">
        <w:t xml:space="preserve">n an effort to </w:t>
      </w:r>
      <w:r w:rsidR="0055774A" w:rsidRPr="00D20324">
        <w:t>“</w:t>
      </w:r>
      <w:r w:rsidR="00583F64" w:rsidRPr="00D20324">
        <w:t>make the best</w:t>
      </w:r>
      <w:r w:rsidR="0055774A" w:rsidRPr="00D20324">
        <w:t>”</w:t>
      </w:r>
      <w:r w:rsidR="00583F64" w:rsidRPr="00D20324">
        <w:t xml:space="preserve"> of the disciples’ illiteracy and unlearnedness and underscore the disciples’ similarity to Jesus as a teacher, Luke has enlisted the non-scribal Markan Jesus as reinforcement in Acts 4:13b</w:t>
      </w:r>
      <w:r w:rsidR="0055774A" w:rsidRPr="00D20324">
        <w:t xml:space="preserve"> while failing to consider the degree to which this move goes against his sustained efforts to re-present Jesus as a scribal-literate teacher in the Gospel of Luke</w:t>
      </w:r>
      <w:r w:rsidR="00583F64" w:rsidRPr="00D20324">
        <w:t xml:space="preserve">.  </w:t>
      </w:r>
    </w:p>
    <w:p w:rsidR="00583F64" w:rsidRPr="00D20324" w:rsidRDefault="00583F64" w:rsidP="005879F7">
      <w:pPr>
        <w:spacing w:line="480" w:lineRule="auto"/>
        <w:ind w:firstLine="720"/>
      </w:pPr>
      <w:r w:rsidRPr="00D20324">
        <w:t xml:space="preserve">Alternatively, it is possible that this is not a case of “fatigue” on the part of Luke as </w:t>
      </w:r>
      <w:r w:rsidR="00CD53C6" w:rsidRPr="00D20324">
        <w:t xml:space="preserve">author and </w:t>
      </w:r>
      <w:r w:rsidRPr="00D20324">
        <w:t xml:space="preserve">redactor at all, but rather a conscious decision that he made with no real concern about </w:t>
      </w:r>
      <w:r w:rsidR="0055774A" w:rsidRPr="00D20324">
        <w:t>the degree of continuity</w:t>
      </w:r>
      <w:r w:rsidRPr="00D20324">
        <w:t xml:space="preserve"> </w:t>
      </w:r>
      <w:r w:rsidR="0055774A" w:rsidRPr="00D20324">
        <w:t xml:space="preserve">between the images of Jesus in Acts 4:13b and the Gospel of Luke.  This possibility </w:t>
      </w:r>
      <w:r w:rsidR="005879F7" w:rsidRPr="00D20324">
        <w:t>is certainly</w:t>
      </w:r>
      <w:r w:rsidR="0055774A" w:rsidRPr="00D20324">
        <w:t xml:space="preserve"> more strained in light of the fact that Luke otherwise consistently carried out a re-envisioning of Jesus in his Gospel, but it would be little different t</w:t>
      </w:r>
      <w:r w:rsidRPr="00D20324">
        <w:t xml:space="preserve">han modern scholars who </w:t>
      </w:r>
      <w:r w:rsidR="0055774A" w:rsidRPr="00D20324">
        <w:t>revise</w:t>
      </w:r>
      <w:r w:rsidRPr="00D20324">
        <w:t xml:space="preserve"> their perspectives in later works in light of the</w:t>
      </w:r>
      <w:r w:rsidR="0055774A" w:rsidRPr="00D20324">
        <w:t xml:space="preserve"> point</w:t>
      </w:r>
      <w:r w:rsidR="00A4470E" w:rsidRPr="00D20324">
        <w:t>s</w:t>
      </w:r>
      <w:r w:rsidR="0055774A" w:rsidRPr="00D20324">
        <w:t xml:space="preserve"> that </w:t>
      </w:r>
      <w:r w:rsidR="00CD53C6" w:rsidRPr="00D20324">
        <w:t xml:space="preserve">they then </w:t>
      </w:r>
      <w:r w:rsidR="0055774A" w:rsidRPr="00D20324">
        <w:t xml:space="preserve">wish to make.  Such a conscious decision on Luke’s </w:t>
      </w:r>
      <w:r w:rsidR="003E3539" w:rsidRPr="00D20324">
        <w:t xml:space="preserve">part </w:t>
      </w:r>
      <w:r w:rsidR="0055774A" w:rsidRPr="00D20324">
        <w:t>would not fit our scholarly desires for a nice and tidy solution to the critical problem, but it would not be unfamiliar.</w:t>
      </w:r>
    </w:p>
    <w:p w:rsidR="0055774A" w:rsidRPr="00D20324" w:rsidRDefault="0055774A" w:rsidP="00DC211B">
      <w:pPr>
        <w:spacing w:line="480" w:lineRule="auto"/>
      </w:pPr>
      <w:r w:rsidRPr="00D20324">
        <w:tab/>
        <w:t>Perhaps the more important question that this essay raises</w:t>
      </w:r>
      <w:r w:rsidR="008914B7" w:rsidRPr="00D20324">
        <w:t>,</w:t>
      </w:r>
      <w:r w:rsidR="00A4470E" w:rsidRPr="00D20324">
        <w:t xml:space="preserve"> therefore</w:t>
      </w:r>
      <w:r w:rsidRPr="00D20324">
        <w:t xml:space="preserve">, is not what accounts for Luke’s </w:t>
      </w:r>
      <w:r w:rsidR="008914B7" w:rsidRPr="00D20324">
        <w:t xml:space="preserve">possible </w:t>
      </w:r>
      <w:r w:rsidRPr="00D20324">
        <w:t>“slip” in Acts 4:13b but rather what accounts for his protracted rejection of Mark’s scribal-illiterate Jesus and thus his re</w:t>
      </w:r>
      <w:r w:rsidR="00CD53C6" w:rsidRPr="00D20324">
        <w:t>writing</w:t>
      </w:r>
      <w:r w:rsidRPr="00D20324">
        <w:t xml:space="preserve"> of Jesus in </w:t>
      </w:r>
      <w:r w:rsidR="00FE36BD" w:rsidRPr="00D20324">
        <w:t>the</w:t>
      </w:r>
      <w:r w:rsidRPr="00D20324">
        <w:t xml:space="preserve"> Gospel</w:t>
      </w:r>
      <w:r w:rsidR="00FE36BD" w:rsidRPr="00D20324">
        <w:t xml:space="preserve"> of Luke</w:t>
      </w:r>
      <w:r w:rsidRPr="00D20324">
        <w:t xml:space="preserve">.  </w:t>
      </w:r>
      <w:r w:rsidR="00152729" w:rsidRPr="00D20324">
        <w:t>Here it is important to note an issue that this essay has otherwise demonstrated only implicitly</w:t>
      </w:r>
      <w:r w:rsidR="00DC211B">
        <w:t xml:space="preserve"> here:  </w:t>
      </w:r>
      <w:r w:rsidR="00152729" w:rsidRPr="00D20324">
        <w:t>Luke</w:t>
      </w:r>
      <w:r w:rsidR="00DC211B">
        <w:t>,</w:t>
      </w:r>
      <w:r w:rsidR="00152729" w:rsidRPr="00D20324">
        <w:t xml:space="preserve"> as </w:t>
      </w:r>
      <w:r w:rsidR="008914B7" w:rsidRPr="00D20324">
        <w:t>a historian</w:t>
      </w:r>
      <w:r w:rsidR="00DC211B">
        <w:t>,</w:t>
      </w:r>
      <w:r w:rsidR="00152729" w:rsidRPr="00D20324">
        <w:t xml:space="preserve"> is captive to both the past he inherits and the present in which he conceptualizes that past afresh.</w:t>
      </w:r>
      <w:r w:rsidR="00142361" w:rsidRPr="00D20324">
        <w:rPr>
          <w:rStyle w:val="FootnoteReference"/>
        </w:rPr>
        <w:footnoteReference w:id="62"/>
      </w:r>
      <w:r w:rsidR="008914B7" w:rsidRPr="00D20324">
        <w:t xml:space="preserve">  In this case, the Jesus that Luke receives from Mark’s Gospel provides the foundation for his own narrative, as is clear in his </w:t>
      </w:r>
      <w:r w:rsidR="00F16D72" w:rsidRPr="00D20324">
        <w:t>usage of</w:t>
      </w:r>
      <w:r w:rsidR="008914B7" w:rsidRPr="00D20324">
        <w:t xml:space="preserve"> Mark’s Gospel and (so I have argued) an example like Acts 4:13b that </w:t>
      </w:r>
      <w:r w:rsidR="00CD53C6" w:rsidRPr="00D20324">
        <w:t>betrays</w:t>
      </w:r>
      <w:r w:rsidR="008914B7" w:rsidRPr="00D20324">
        <w:t xml:space="preserve"> his knowledge of Mark’s Jesus.  </w:t>
      </w:r>
      <w:r w:rsidR="00F16D72" w:rsidRPr="00D20324">
        <w:t>Yet Luke’s</w:t>
      </w:r>
      <w:r w:rsidR="008914B7" w:rsidRPr="00D20324">
        <w:t xml:space="preserve"> modifications</w:t>
      </w:r>
      <w:r w:rsidR="00F16D72" w:rsidRPr="00D20324">
        <w:t xml:space="preserve"> to Mark’s Gospel</w:t>
      </w:r>
      <w:r w:rsidR="008914B7" w:rsidRPr="00D20324">
        <w:t xml:space="preserve"> indicate</w:t>
      </w:r>
      <w:r w:rsidR="00F16D72" w:rsidRPr="00D20324">
        <w:t xml:space="preserve"> that </w:t>
      </w:r>
      <w:r w:rsidR="008914B7" w:rsidRPr="00D20324">
        <w:t xml:space="preserve">Luke’s </w:t>
      </w:r>
      <w:r w:rsidR="00A4470E" w:rsidRPr="00D20324">
        <w:t>in</w:t>
      </w:r>
      <w:r w:rsidR="008914B7" w:rsidRPr="00D20324">
        <w:t>debt</w:t>
      </w:r>
      <w:r w:rsidR="00A4470E" w:rsidRPr="00D20324">
        <w:t>edness</w:t>
      </w:r>
      <w:r w:rsidR="008914B7" w:rsidRPr="00D20324">
        <w:t xml:space="preserve"> to the Jesus</w:t>
      </w:r>
      <w:r w:rsidR="00F16D72" w:rsidRPr="00D20324">
        <w:t>(</w:t>
      </w:r>
      <w:r w:rsidR="008914B7" w:rsidRPr="00D20324">
        <w:t>es</w:t>
      </w:r>
      <w:r w:rsidR="00F16D72" w:rsidRPr="00D20324">
        <w:t>)</w:t>
      </w:r>
      <w:r w:rsidR="000312B9">
        <w:t xml:space="preserve"> he receives</w:t>
      </w:r>
      <w:r w:rsidR="008914B7" w:rsidRPr="00D20324">
        <w:t xml:space="preserve"> does not amount to slavish following of previous sources.  Luke’s own conceptualization of Jesus in the present impacts his deployment of those received traditions along narrative lines that Luke himself dictates.</w:t>
      </w:r>
    </w:p>
    <w:p w:rsidR="00253895" w:rsidRPr="00D20324" w:rsidRDefault="008914B7" w:rsidP="002A1D65">
      <w:pPr>
        <w:spacing w:line="480" w:lineRule="auto"/>
      </w:pPr>
      <w:r w:rsidRPr="00D20324">
        <w:tab/>
        <w:t xml:space="preserve">I propose here that one factor in Luke’s present as he constructed his Gospel could have caused him to </w:t>
      </w:r>
      <w:r w:rsidR="00F16D72" w:rsidRPr="00D20324">
        <w:t>rewrite</w:t>
      </w:r>
      <w:r w:rsidRPr="00D20324">
        <w:t xml:space="preserve"> the scribal-illiterate image of Jesus the rejected synagogue teacher that h</w:t>
      </w:r>
      <w:r w:rsidR="002A1D65">
        <w:t>e found in Mark’s Gospel:  the a</w:t>
      </w:r>
      <w:r w:rsidRPr="00D20324">
        <w:t xml:space="preserve">postle Paul.  </w:t>
      </w:r>
      <w:r w:rsidR="002A1D65">
        <w:t xml:space="preserve">Regardless of whether </w:t>
      </w:r>
      <w:r w:rsidRPr="00D20324">
        <w:t xml:space="preserve">Luke was a companion of Paul, as </w:t>
      </w:r>
      <w:r w:rsidR="00922934" w:rsidRPr="00D20324">
        <w:t>early Christian tradition</w:t>
      </w:r>
      <w:r w:rsidR="00FE36BD" w:rsidRPr="00D20324">
        <w:rPr>
          <w:rStyle w:val="FootnoteReference"/>
        </w:rPr>
        <w:footnoteReference w:id="63"/>
      </w:r>
      <w:r w:rsidR="00FE36BD" w:rsidRPr="00D20324">
        <w:t xml:space="preserve"> and the first-person plurals beginning in Acts 16:11</w:t>
      </w:r>
      <w:r w:rsidR="00922934" w:rsidRPr="00D20324">
        <w:t xml:space="preserve"> claim</w:t>
      </w:r>
      <w:r w:rsidR="003E3539" w:rsidRPr="00D20324">
        <w:t>,</w:t>
      </w:r>
      <w:r w:rsidR="00F16D72" w:rsidRPr="00D20324">
        <w:t xml:space="preserve"> </w:t>
      </w:r>
      <w:r w:rsidR="00CD53C6" w:rsidRPr="00D20324">
        <w:t xml:space="preserve">he </w:t>
      </w:r>
      <w:r w:rsidR="002A1D65">
        <w:t xml:space="preserve">clearly considered </w:t>
      </w:r>
      <w:r w:rsidR="00253895" w:rsidRPr="00D20324">
        <w:t xml:space="preserve">Paul a </w:t>
      </w:r>
      <w:r w:rsidR="003E3539" w:rsidRPr="00D20324">
        <w:t>scribal-literate</w:t>
      </w:r>
      <w:r w:rsidR="00CD53C6" w:rsidRPr="00D20324">
        <w:t xml:space="preserve"> </w:t>
      </w:r>
      <w:r w:rsidR="00253895" w:rsidRPr="00D20324">
        <w:t xml:space="preserve">Scripture authority who taught in synagogues.  These claims appear throughout Acts, as Luke presents </w:t>
      </w:r>
      <w:r w:rsidR="00922934" w:rsidRPr="00D20324">
        <w:t xml:space="preserve">Paul </w:t>
      </w:r>
      <w:r w:rsidR="00253895" w:rsidRPr="00D20324">
        <w:t>a</w:t>
      </w:r>
      <w:r w:rsidR="00922934" w:rsidRPr="00D20324">
        <w:t>s a Pharisee (</w:t>
      </w:r>
      <w:r w:rsidR="00CF4F38" w:rsidRPr="00D20324">
        <w:t xml:space="preserve">Acts 23:6; 26:5; </w:t>
      </w:r>
      <w:r w:rsidR="00253895" w:rsidRPr="00D20324">
        <w:t xml:space="preserve">see also </w:t>
      </w:r>
      <w:r w:rsidR="00922934" w:rsidRPr="00D20324">
        <w:t xml:space="preserve">Phil 3:5) who </w:t>
      </w:r>
      <w:r w:rsidR="007C5A53" w:rsidRPr="00D20324">
        <w:t>studied</w:t>
      </w:r>
      <w:r w:rsidR="00922934" w:rsidRPr="00D20324">
        <w:t xml:space="preserve"> with a recognized rabbi (Acts 22:3) </w:t>
      </w:r>
      <w:r w:rsidR="00253895" w:rsidRPr="00D20324">
        <w:t xml:space="preserve">and </w:t>
      </w:r>
      <w:r w:rsidR="007D2A27" w:rsidRPr="00D20324">
        <w:t>taught frequently in synagogues</w:t>
      </w:r>
      <w:r w:rsidR="00F14F1C" w:rsidRPr="00D20324">
        <w:t xml:space="preserve"> (Acts 9:20; 13:5; 13:14</w:t>
      </w:r>
      <w:r w:rsidR="00BD17B4" w:rsidRPr="00D20324">
        <w:t>–41, 44–47; 14:1</w:t>
      </w:r>
      <w:r w:rsidR="003D7685" w:rsidRPr="00D20324">
        <w:t>; 17:1–2, 10, 17; 18:4</w:t>
      </w:r>
      <w:r w:rsidR="00146249" w:rsidRPr="00D20324">
        <w:t>, 19; 19:8</w:t>
      </w:r>
      <w:r w:rsidR="00B730D0" w:rsidRPr="00D20324">
        <w:t>; cf. 22:19</w:t>
      </w:r>
      <w:r w:rsidR="00CF4F38" w:rsidRPr="00D20324">
        <w:t>; 24:12; 26:11</w:t>
      </w:r>
      <w:r w:rsidR="00BD17B4" w:rsidRPr="00D20324">
        <w:t>)</w:t>
      </w:r>
      <w:r w:rsidR="00A4470E" w:rsidRPr="00D20324">
        <w:t xml:space="preserve">.  </w:t>
      </w:r>
      <w:r w:rsidR="00253895" w:rsidRPr="00D20324">
        <w:t xml:space="preserve">Of course, according to Luke, Paul was </w:t>
      </w:r>
      <w:r w:rsidR="00922934" w:rsidRPr="00D20324">
        <w:t xml:space="preserve">rejected </w:t>
      </w:r>
      <w:r w:rsidR="00253895" w:rsidRPr="00D20324">
        <w:t xml:space="preserve">in synagogues </w:t>
      </w:r>
      <w:r w:rsidR="00F16D72" w:rsidRPr="00D20324">
        <w:t xml:space="preserve">after his Damascus Road experience </w:t>
      </w:r>
      <w:r w:rsidR="00253895" w:rsidRPr="00D20324">
        <w:t>by some</w:t>
      </w:r>
      <w:r w:rsidR="00641D33" w:rsidRPr="00D20324">
        <w:t xml:space="preserve"> Jews</w:t>
      </w:r>
      <w:r w:rsidR="00BD17B4" w:rsidRPr="00D20324">
        <w:t xml:space="preserve"> </w:t>
      </w:r>
      <w:r w:rsidR="00922934" w:rsidRPr="00D20324">
        <w:t>on multiple occasions (</w:t>
      </w:r>
      <w:r w:rsidR="007D2A27" w:rsidRPr="00D20324">
        <w:t xml:space="preserve">Acts </w:t>
      </w:r>
      <w:r w:rsidR="00BD17B4" w:rsidRPr="00D20324">
        <w:t>13:45, 50; 14:2</w:t>
      </w:r>
      <w:r w:rsidR="00641D33" w:rsidRPr="00D20324">
        <w:t>, 5</w:t>
      </w:r>
      <w:r w:rsidR="007D2A27" w:rsidRPr="00D20324">
        <w:t>;</w:t>
      </w:r>
      <w:r w:rsidR="003D7685" w:rsidRPr="00D20324">
        <w:t xml:space="preserve"> 17:5; 18:6–7;</w:t>
      </w:r>
      <w:r w:rsidR="007D2A27" w:rsidRPr="00D20324">
        <w:t xml:space="preserve"> cf. 9:29</w:t>
      </w:r>
      <w:r w:rsidR="00922934" w:rsidRPr="00D20324">
        <w:t>)</w:t>
      </w:r>
      <w:r w:rsidR="00F16D72" w:rsidRPr="00D20324">
        <w:t xml:space="preserve">.  Those rejections were not, however, </w:t>
      </w:r>
      <w:r w:rsidR="00146249" w:rsidRPr="00D20324">
        <w:t>a result of a lack of qualifications or Paul being in the wrong social class</w:t>
      </w:r>
      <w:r w:rsidR="00922934" w:rsidRPr="00D20324">
        <w:t>.</w:t>
      </w:r>
      <w:r w:rsidR="00146249" w:rsidRPr="00D20324">
        <w:rPr>
          <w:rStyle w:val="FootnoteReference"/>
        </w:rPr>
        <w:footnoteReference w:id="64"/>
      </w:r>
      <w:r w:rsidR="007C5A53" w:rsidRPr="00D20324">
        <w:t xml:space="preserve">  </w:t>
      </w:r>
      <w:r w:rsidR="00754BB3" w:rsidRPr="00D20324">
        <w:t>Regardless of whether Paul’s letters were available to him,</w:t>
      </w:r>
      <w:r w:rsidR="00754BB3" w:rsidRPr="00D20324">
        <w:rPr>
          <w:rStyle w:val="FootnoteReference"/>
        </w:rPr>
        <w:footnoteReference w:id="65"/>
      </w:r>
      <w:r w:rsidR="00754BB3" w:rsidRPr="00D20324">
        <w:t xml:space="preserve"> </w:t>
      </w:r>
      <w:r w:rsidR="007C5A53" w:rsidRPr="00D20324">
        <w:t xml:space="preserve">Luke </w:t>
      </w:r>
      <w:r w:rsidR="002A1D65">
        <w:t>may also have known</w:t>
      </w:r>
      <w:r w:rsidR="007C5A53" w:rsidRPr="00D20324">
        <w:t xml:space="preserve"> that Paul was capable of writing to some degree in Greek (1 Cor 16:21; Ga</w:t>
      </w:r>
      <w:r w:rsidR="00E1054C" w:rsidRPr="00D20324">
        <w:t xml:space="preserve">l 6:11; </w:t>
      </w:r>
      <w:r w:rsidR="007C5A53" w:rsidRPr="00D20324">
        <w:t>Phlm 19</w:t>
      </w:r>
      <w:r w:rsidR="00E1054C" w:rsidRPr="00D20324">
        <w:t>; cf. Col 4:18; 2 Thess 3:17</w:t>
      </w:r>
      <w:r w:rsidR="007C5A53" w:rsidRPr="00D20324">
        <w:t>), undoubtedly a rare skill among Second Temple Jews and indicative of advanced literate training.</w:t>
      </w:r>
      <w:r w:rsidR="007C5A53" w:rsidRPr="00D20324">
        <w:rPr>
          <w:rStyle w:val="FootnoteReference"/>
        </w:rPr>
        <w:footnoteReference w:id="66"/>
      </w:r>
      <w:r w:rsidR="00922934" w:rsidRPr="00D20324">
        <w:t xml:space="preserve">  </w:t>
      </w:r>
    </w:p>
    <w:p w:rsidR="00F16D72" w:rsidRPr="00D20324" w:rsidRDefault="00253895" w:rsidP="002A1D65">
      <w:pPr>
        <w:spacing w:line="480" w:lineRule="auto"/>
        <w:ind w:firstLine="720"/>
      </w:pPr>
      <w:r w:rsidRPr="00D20324">
        <w:t xml:space="preserve">In addition to these convictions, Luke was </w:t>
      </w:r>
      <w:r w:rsidR="002A1D65">
        <w:t xml:space="preserve">convinced that </w:t>
      </w:r>
      <w:r w:rsidRPr="00D20324">
        <w:t>Jesus was greater than Paul</w:t>
      </w:r>
      <w:r w:rsidR="00922934" w:rsidRPr="00D20324">
        <w:t xml:space="preserve">.  </w:t>
      </w:r>
      <w:r w:rsidR="00A4470E" w:rsidRPr="00D20324">
        <w:t xml:space="preserve">Indeed, </w:t>
      </w:r>
      <w:r w:rsidR="001478A3" w:rsidRPr="00D20324">
        <w:t>Luke</w:t>
      </w:r>
      <w:r w:rsidR="003E3539" w:rsidRPr="00D20324">
        <w:t xml:space="preserve"> co</w:t>
      </w:r>
      <w:r w:rsidR="001478A3" w:rsidRPr="00D20324">
        <w:t xml:space="preserve">nsidered Jesus not just a scribal-literate Scripture authority, but the scribal-literate Scripture authority </w:t>
      </w:r>
      <w:r w:rsidR="001478A3" w:rsidRPr="00D20324">
        <w:rPr>
          <w:i/>
        </w:rPr>
        <w:t>par excellence</w:t>
      </w:r>
      <w:r w:rsidR="001478A3" w:rsidRPr="00D20324">
        <w:t xml:space="preserve">, as it is </w:t>
      </w:r>
      <w:r w:rsidR="003E3539" w:rsidRPr="00D20324">
        <w:t>Jesus</w:t>
      </w:r>
      <w:r w:rsidR="001478A3" w:rsidRPr="00D20324">
        <w:t xml:space="preserve"> who truly “opens the Scriptures” for his followers (Luke 24:32, 45).</w:t>
      </w:r>
      <w:r w:rsidR="00C219C6" w:rsidRPr="00D20324">
        <w:rPr>
          <w:rStyle w:val="FootnoteReference"/>
        </w:rPr>
        <w:footnoteReference w:id="67"/>
      </w:r>
      <w:r w:rsidR="001478A3" w:rsidRPr="00D20324">
        <w:t xml:space="preserve">  </w:t>
      </w:r>
      <w:r w:rsidR="00A87D0F" w:rsidRPr="00D20324">
        <w:t>Similar to Matt 23:8</w:t>
      </w:r>
      <w:r w:rsidR="001478A3" w:rsidRPr="00D20324">
        <w:t>, Luke considers Jesus the “one teacher” for his followers, who stands abov</w:t>
      </w:r>
      <w:r w:rsidR="00C219C6" w:rsidRPr="00D20324">
        <w:t>e and beyond all other teachers, including Paul.</w:t>
      </w:r>
      <w:r w:rsidR="001478A3" w:rsidRPr="00D20324">
        <w:t xml:space="preserve"> </w:t>
      </w:r>
    </w:p>
    <w:p w:rsidR="007D2A27" w:rsidRPr="00D20324" w:rsidRDefault="00922934" w:rsidP="00F96430">
      <w:pPr>
        <w:spacing w:line="480" w:lineRule="auto"/>
        <w:ind w:firstLine="720"/>
        <w:rPr>
          <w:rFonts w:asciiTheme="majorBidi" w:hAnsiTheme="majorBidi" w:cstheme="majorBidi"/>
        </w:rPr>
      </w:pPr>
      <w:r w:rsidRPr="00D20324">
        <w:t xml:space="preserve">I </w:t>
      </w:r>
      <w:r w:rsidR="00035CDA" w:rsidRPr="00D20324">
        <w:t>suggest</w:t>
      </w:r>
      <w:r w:rsidRPr="00D20324">
        <w:t xml:space="preserve"> that the</w:t>
      </w:r>
      <w:r w:rsidR="00A4470E" w:rsidRPr="00D20324">
        <w:t>se</w:t>
      </w:r>
      <w:r w:rsidRPr="00D20324">
        <w:t xml:space="preserve"> two convictions</w:t>
      </w:r>
      <w:r w:rsidR="001478A3" w:rsidRPr="00D20324">
        <w:t>—(1) Paul was a scribal-literate Scripture authority</w:t>
      </w:r>
      <w:r w:rsidR="00460FEC" w:rsidRPr="00D20324">
        <w:t xml:space="preserve"> and synagogue teacher</w:t>
      </w:r>
      <w:r w:rsidR="001478A3" w:rsidRPr="00D20324">
        <w:t xml:space="preserve"> </w:t>
      </w:r>
      <w:r w:rsidR="00F16D72" w:rsidRPr="00D20324">
        <w:t>and</w:t>
      </w:r>
      <w:r w:rsidR="001478A3" w:rsidRPr="00D20324">
        <w:t xml:space="preserve"> (2) Jesus was the Scripture authority </w:t>
      </w:r>
      <w:r w:rsidR="001478A3" w:rsidRPr="00D20324">
        <w:rPr>
          <w:i/>
          <w:iCs/>
        </w:rPr>
        <w:t>par excellence</w:t>
      </w:r>
      <w:r w:rsidR="001478A3" w:rsidRPr="00D20324">
        <w:t>—</w:t>
      </w:r>
      <w:r w:rsidRPr="00D20324">
        <w:t>led</w:t>
      </w:r>
      <w:r w:rsidR="001478A3" w:rsidRPr="00D20324">
        <w:t xml:space="preserve"> </w:t>
      </w:r>
      <w:r w:rsidRPr="00D20324">
        <w:t>Luke</w:t>
      </w:r>
      <w:r w:rsidR="00C219C6" w:rsidRPr="00D20324">
        <w:t xml:space="preserve"> to reject Mark’s non-scribal carpenter Jesus.  Luke accepted </w:t>
      </w:r>
      <w:r w:rsidRPr="00D20324">
        <w:t>that Jesu</w:t>
      </w:r>
      <w:r w:rsidR="001478A3" w:rsidRPr="00D20324">
        <w:t>s was rejected in his hometown, as claimed Mark,</w:t>
      </w:r>
      <w:r w:rsidR="00A87D0F" w:rsidRPr="00D20324">
        <w:t xml:space="preserve"> but </w:t>
      </w:r>
      <w:r w:rsidR="00C219C6" w:rsidRPr="00D20324">
        <w:t>denied</w:t>
      </w:r>
      <w:r w:rsidR="001478A3" w:rsidRPr="00D20324">
        <w:t xml:space="preserve"> </w:t>
      </w:r>
      <w:r w:rsidR="007946DD" w:rsidRPr="00D20324">
        <w:t xml:space="preserve">Mark’s further claims </w:t>
      </w:r>
      <w:r w:rsidR="00A87D0F" w:rsidRPr="00D20324">
        <w:t>that Jesus</w:t>
      </w:r>
      <w:r w:rsidR="001478A3" w:rsidRPr="00D20324">
        <w:t xml:space="preserve"> was rejected </w:t>
      </w:r>
      <w:r w:rsidR="001478A3" w:rsidRPr="00D20324">
        <w:rPr>
          <w:i/>
          <w:iCs/>
        </w:rPr>
        <w:t>on the basis</w:t>
      </w:r>
      <w:r w:rsidR="001478A3" w:rsidRPr="00D20324">
        <w:t xml:space="preserve"> of </w:t>
      </w:r>
      <w:r w:rsidR="00171BE8" w:rsidRPr="00D20324">
        <w:t>being a manual laborer</w:t>
      </w:r>
      <w:r w:rsidR="007946DD" w:rsidRPr="00D20324">
        <w:t xml:space="preserve"> and </w:t>
      </w:r>
      <w:r w:rsidR="001478A3" w:rsidRPr="00D20324">
        <w:t>“not like the scribes</w:t>
      </w:r>
      <w:r w:rsidR="00A87D0F" w:rsidRPr="00D20324">
        <w:t xml:space="preserve">.”  </w:t>
      </w:r>
      <w:r w:rsidR="001478A3" w:rsidRPr="00D20324">
        <w:t xml:space="preserve">Luke thus </w:t>
      </w:r>
      <w:r w:rsidR="007D2A27" w:rsidRPr="00D20324">
        <w:t>rewro</w:t>
      </w:r>
      <w:r w:rsidR="001478A3" w:rsidRPr="00D20324">
        <w:t>te the Markan Jesus</w:t>
      </w:r>
      <w:r w:rsidR="00A4470E" w:rsidRPr="00D20324">
        <w:t xml:space="preserve"> </w:t>
      </w:r>
      <w:r w:rsidR="001478A3" w:rsidRPr="00D20324">
        <w:t xml:space="preserve">into a fully scribal-literate authority </w:t>
      </w:r>
      <w:r w:rsidR="00A87D0F" w:rsidRPr="00D20324">
        <w:t xml:space="preserve">whose rejection in his hometown </w:t>
      </w:r>
      <w:r w:rsidR="00171BE8" w:rsidRPr="00D20324">
        <w:t>wa</w:t>
      </w:r>
      <w:r w:rsidR="00A87D0F" w:rsidRPr="00D20324">
        <w:t>s for reasons wholly unrelated to pedagogical qualifications</w:t>
      </w:r>
      <w:r w:rsidR="001478A3" w:rsidRPr="00D20324">
        <w:t>.</w:t>
      </w:r>
      <w:r w:rsidR="00864824" w:rsidRPr="00D20324">
        <w:t xml:space="preserve">  </w:t>
      </w:r>
      <w:r w:rsidR="00A4470E" w:rsidRPr="00D20324">
        <w:t xml:space="preserve">As part of this rewriting, Luke dismissed </w:t>
      </w:r>
      <w:r w:rsidR="00864824" w:rsidRPr="00D20324">
        <w:t xml:space="preserve">the idea that Jesus’ custom was to teach as crowds gathered around him </w:t>
      </w:r>
      <w:r w:rsidR="00C219C6" w:rsidRPr="00D20324">
        <w:t xml:space="preserve">after being rejected in the synagogue in Nazareth </w:t>
      </w:r>
      <w:r w:rsidR="00864824" w:rsidRPr="00D20324">
        <w:t>(Mark 10:1)</w:t>
      </w:r>
      <w:r w:rsidR="003D7685" w:rsidRPr="00D20324">
        <w:t>,</w:t>
      </w:r>
      <w:r w:rsidR="00864824" w:rsidRPr="00D20324">
        <w:t xml:space="preserve"> as well as the Greek phra</w:t>
      </w:r>
      <w:r w:rsidR="00A4470E" w:rsidRPr="00D20324">
        <w:t>se that Mark used</w:t>
      </w:r>
      <w:r w:rsidR="00C219C6" w:rsidRPr="00D20324">
        <w:t xml:space="preserve"> to indicate this custom</w:t>
      </w:r>
      <w:r w:rsidR="00864824" w:rsidRPr="00D20324">
        <w:t xml:space="preserve"> (</w:t>
      </w:r>
      <w:r w:rsidR="00D20324" w:rsidRPr="00D20324">
        <w:rPr>
          <w:rFonts w:ascii="SBL Greek" w:hAnsi="SBL Greek" w:cstheme="majorBidi"/>
        </w:rPr>
        <w:t>ὡ</w:t>
      </w:r>
      <w:r w:rsidR="00D20324" w:rsidRPr="00D20324">
        <w:rPr>
          <w:rFonts w:ascii="SBL Greek" w:hAnsi="SBL Greek" w:cstheme="majorBidi"/>
          <w:lang w:val="el-GR"/>
        </w:rPr>
        <w:t>ς</w:t>
      </w:r>
      <w:r w:rsidR="00D20324" w:rsidRPr="00D20324">
        <w:rPr>
          <w:rFonts w:ascii="SBL Greek" w:hAnsi="SBL Greek" w:cstheme="majorBidi"/>
        </w:rPr>
        <w:t xml:space="preserve"> </w:t>
      </w:r>
      <w:r w:rsidR="00D20324" w:rsidRPr="00D20324">
        <w:rPr>
          <w:rFonts w:ascii="SBL Greek" w:hAnsi="SBL Greek" w:cstheme="majorBidi"/>
          <w:lang w:val="el-GR"/>
        </w:rPr>
        <w:t>εἰώθει</w:t>
      </w:r>
      <w:r w:rsidR="00A4470E" w:rsidRPr="00D20324">
        <w:t xml:space="preserve">).  </w:t>
      </w:r>
      <w:r w:rsidR="00A87D0F" w:rsidRPr="00D20324">
        <w:t>Luke</w:t>
      </w:r>
      <w:r w:rsidR="00A4470E" w:rsidRPr="00D20324">
        <w:t xml:space="preserve"> instead asserted</w:t>
      </w:r>
      <w:r w:rsidR="00864824" w:rsidRPr="00D20324">
        <w:t xml:space="preserve"> that </w:t>
      </w:r>
      <w:r w:rsidR="003D7685" w:rsidRPr="00D20324">
        <w:t>it was “according to custom” (</w:t>
      </w:r>
      <w:r w:rsidR="00D20324" w:rsidRPr="00D20324">
        <w:rPr>
          <w:rFonts w:ascii="SBL Greek" w:hAnsi="SBL Greek" w:cstheme="majorBidi"/>
          <w:lang w:val="el-GR"/>
        </w:rPr>
        <w:t>κατὰ</w:t>
      </w:r>
      <w:r w:rsidR="00D20324" w:rsidRPr="00D20324">
        <w:rPr>
          <w:rFonts w:ascii="SBL Greek" w:hAnsi="SBL Greek" w:cstheme="majorBidi"/>
        </w:rPr>
        <w:t xml:space="preserve"> </w:t>
      </w:r>
      <w:r w:rsidR="00D20324" w:rsidRPr="00D20324">
        <w:rPr>
          <w:rFonts w:ascii="SBL Greek" w:hAnsi="SBL Greek" w:cstheme="majorBidi"/>
          <w:lang w:val="el-GR"/>
        </w:rPr>
        <w:t>τὸ</w:t>
      </w:r>
      <w:r w:rsidR="00D20324" w:rsidRPr="00D20324">
        <w:rPr>
          <w:rFonts w:ascii="SBL Greek" w:hAnsi="SBL Greek" w:cstheme="majorBidi"/>
        </w:rPr>
        <w:t xml:space="preserve"> </w:t>
      </w:r>
      <w:r w:rsidR="00D20324" w:rsidRPr="00D20324">
        <w:rPr>
          <w:rFonts w:ascii="SBL Greek" w:hAnsi="SBL Greek" w:cstheme="majorBidi"/>
          <w:lang w:val="el-GR"/>
        </w:rPr>
        <w:t>εἰωθός</w:t>
      </w:r>
      <w:r w:rsidR="003D7685" w:rsidRPr="00D20324">
        <w:t xml:space="preserve">) for Jesus to read and teach in synagogues on the Sabbath (Luke 4:16) precisely because he </w:t>
      </w:r>
      <w:r w:rsidR="00F96430">
        <w:t>considered it</w:t>
      </w:r>
      <w:r w:rsidR="003D7685" w:rsidRPr="00D20324">
        <w:t xml:space="preserve"> “according to custom” (</w:t>
      </w:r>
      <w:r w:rsidR="00D20324" w:rsidRPr="00D20324">
        <w:rPr>
          <w:rFonts w:ascii="SBL Greek" w:hAnsi="SBL Greek" w:cstheme="majorBidi"/>
          <w:lang w:val="el-GR"/>
        </w:rPr>
        <w:t>κατὰ</w:t>
      </w:r>
      <w:r w:rsidR="00D20324" w:rsidRPr="00D20324">
        <w:rPr>
          <w:rFonts w:ascii="SBL Greek" w:hAnsi="SBL Greek" w:cstheme="majorBidi"/>
        </w:rPr>
        <w:t xml:space="preserve"> </w:t>
      </w:r>
      <w:r w:rsidR="00D20324" w:rsidRPr="00D20324">
        <w:rPr>
          <w:rFonts w:ascii="SBL Greek" w:hAnsi="SBL Greek" w:cstheme="majorBidi"/>
          <w:lang w:val="el-GR"/>
        </w:rPr>
        <w:t>τὸ</w:t>
      </w:r>
      <w:r w:rsidR="00D20324" w:rsidRPr="00D20324">
        <w:rPr>
          <w:rFonts w:ascii="SBL Greek" w:hAnsi="SBL Greek" w:cstheme="majorBidi"/>
        </w:rPr>
        <w:t xml:space="preserve"> </w:t>
      </w:r>
      <w:r w:rsidR="00D20324" w:rsidRPr="00D20324">
        <w:rPr>
          <w:rFonts w:ascii="SBL Greek" w:hAnsi="SBL Greek" w:cstheme="majorBidi"/>
          <w:lang w:val="el-GR"/>
        </w:rPr>
        <w:t>εἰωθός</w:t>
      </w:r>
      <w:r w:rsidR="003D7685" w:rsidRPr="00D20324">
        <w:t>) for Paul to teach in synagogue</w:t>
      </w:r>
      <w:r w:rsidR="00E1054C" w:rsidRPr="00D20324">
        <w:t>s</w:t>
      </w:r>
      <w:r w:rsidR="003D7685" w:rsidRPr="00D20324">
        <w:t xml:space="preserve"> on</w:t>
      </w:r>
      <w:r w:rsidR="00E1054C" w:rsidRPr="00D20324">
        <w:t xml:space="preserve"> the</w:t>
      </w:r>
      <w:r w:rsidR="003D7685" w:rsidRPr="00D20324">
        <w:t xml:space="preserve"> Sabbath (Acts 17:2; cf. also 18:4).</w:t>
      </w:r>
      <w:r w:rsidR="00D6797F" w:rsidRPr="00D20324">
        <w:t xml:space="preserve">  Significatly, Luke 4:16 and Acts 17:2 are the only two places in Luke-Acts where Luke uses the phrase </w:t>
      </w:r>
      <w:r w:rsidR="00D20324" w:rsidRPr="00D20324">
        <w:rPr>
          <w:rFonts w:ascii="SBL Greek" w:hAnsi="SBL Greek" w:cstheme="majorBidi"/>
          <w:lang w:val="el-GR"/>
        </w:rPr>
        <w:t>κατὰ</w:t>
      </w:r>
      <w:r w:rsidR="00D20324" w:rsidRPr="00D20324">
        <w:rPr>
          <w:rFonts w:ascii="SBL Greek" w:hAnsi="SBL Greek" w:cstheme="majorBidi"/>
        </w:rPr>
        <w:t xml:space="preserve"> </w:t>
      </w:r>
      <w:r w:rsidR="00D20324" w:rsidRPr="00D20324">
        <w:rPr>
          <w:rFonts w:ascii="SBL Greek" w:hAnsi="SBL Greek" w:cstheme="majorBidi"/>
          <w:lang w:val="el-GR"/>
        </w:rPr>
        <w:t>τὸ</w:t>
      </w:r>
      <w:r w:rsidR="00D20324" w:rsidRPr="00D20324">
        <w:rPr>
          <w:rFonts w:ascii="SBL Greek" w:hAnsi="SBL Greek" w:cstheme="majorBidi"/>
        </w:rPr>
        <w:t xml:space="preserve"> </w:t>
      </w:r>
      <w:r w:rsidR="00D20324" w:rsidRPr="00D20324">
        <w:rPr>
          <w:rFonts w:ascii="SBL Greek" w:hAnsi="SBL Greek" w:cstheme="majorBidi"/>
          <w:lang w:val="el-GR"/>
        </w:rPr>
        <w:t>εἰωθός</w:t>
      </w:r>
      <w:r w:rsidR="00E1054C" w:rsidRPr="00D20324">
        <w:rPr>
          <w:rFonts w:asciiTheme="majorBidi" w:hAnsiTheme="majorBidi" w:cstheme="majorBidi"/>
        </w:rPr>
        <w:t xml:space="preserve"> or any cognate of </w:t>
      </w:r>
      <w:r w:rsidR="00D20324" w:rsidRPr="00D20324">
        <w:rPr>
          <w:rFonts w:ascii="SBL Greek" w:hAnsi="SBL Greek" w:cstheme="majorBidi"/>
          <w:lang w:val="el-GR"/>
        </w:rPr>
        <w:t>εἴωθα</w:t>
      </w:r>
      <w:r w:rsidR="00E1054C" w:rsidRPr="00D20324">
        <w:rPr>
          <w:rFonts w:asciiTheme="majorBidi" w:hAnsiTheme="majorBidi" w:cstheme="majorBidi"/>
        </w:rPr>
        <w:t>.</w:t>
      </w:r>
    </w:p>
    <w:p w:rsidR="008F04D3" w:rsidRPr="00D20324" w:rsidRDefault="00035CDA" w:rsidP="00E41BA9">
      <w:pPr>
        <w:spacing w:line="480" w:lineRule="auto"/>
        <w:ind w:firstLine="720"/>
      </w:pPr>
      <w:r w:rsidRPr="00D20324">
        <w:t xml:space="preserve">This proposal </w:t>
      </w:r>
      <w:r w:rsidR="00460FEC" w:rsidRPr="00D20324">
        <w:t>also</w:t>
      </w:r>
      <w:r w:rsidRPr="00D20324">
        <w:t xml:space="preserve"> accounts for why Luke withheld the </w:t>
      </w:r>
      <w:r w:rsidRPr="00D20324">
        <w:rPr>
          <w:i/>
          <w:iCs/>
        </w:rPr>
        <w:t xml:space="preserve">pneuma </w:t>
      </w:r>
      <w:r w:rsidRPr="00D20324">
        <w:t xml:space="preserve">apologetic from Jesus but </w:t>
      </w:r>
      <w:r w:rsidR="00C219C6" w:rsidRPr="00D20324">
        <w:t xml:space="preserve">willingly </w:t>
      </w:r>
      <w:r w:rsidR="007D2A27" w:rsidRPr="00D20324">
        <w:t>extended it to Peter and John.  T</w:t>
      </w:r>
      <w:r w:rsidRPr="00D20324">
        <w:t>he notion that the disciples were inferior teachers</w:t>
      </w:r>
      <w:r w:rsidR="00C219C6" w:rsidRPr="00D20324">
        <w:t xml:space="preserve"> to Paul</w:t>
      </w:r>
      <w:r w:rsidRPr="00D20324">
        <w:t>, in terms of qualification</w:t>
      </w:r>
      <w:r w:rsidR="00460FEC" w:rsidRPr="00D20324">
        <w:t>s</w:t>
      </w:r>
      <w:r w:rsidRPr="00D20324">
        <w:t>, was acceptable; the notion that Jesus was inferior to Paul</w:t>
      </w:r>
      <w:r w:rsidR="00460FEC" w:rsidRPr="00D20324">
        <w:t>, in terms of qualifications,</w:t>
      </w:r>
      <w:r w:rsidRPr="00D20324">
        <w:t xml:space="preserve"> was not.  Thus, although the Spirit characterizes Jesus’ teachings and synagogue activities </w:t>
      </w:r>
      <w:r w:rsidR="007D2A27" w:rsidRPr="00D20324">
        <w:t xml:space="preserve">(Luke 4:14) </w:t>
      </w:r>
      <w:r w:rsidRPr="00D20324">
        <w:t>as much as it characterizes Peter and John’s appearance before the Sanhedrin</w:t>
      </w:r>
      <w:r w:rsidR="007D2A27" w:rsidRPr="00D20324">
        <w:t xml:space="preserve"> (Acts 4:8) and Paul’s post-Damascus teaching in synagogues (Acts 9:17–20)</w:t>
      </w:r>
      <w:r w:rsidRPr="00D20324">
        <w:t xml:space="preserve">, it </w:t>
      </w:r>
      <w:r w:rsidR="00E41BA9" w:rsidRPr="00D20324">
        <w:t xml:space="preserve">does not compensate for a lack of scribal literacy in the cases of </w:t>
      </w:r>
      <w:r w:rsidRPr="00D20324">
        <w:t xml:space="preserve">Jesus </w:t>
      </w:r>
      <w:r w:rsidR="007D2A27" w:rsidRPr="00D20324">
        <w:t xml:space="preserve">and Paul </w:t>
      </w:r>
      <w:r w:rsidR="00E41BA9" w:rsidRPr="00D20324">
        <w:t xml:space="preserve">whereas it does in the cases of </w:t>
      </w:r>
      <w:r w:rsidRPr="00D20324">
        <w:t>Peter</w:t>
      </w:r>
      <w:r w:rsidR="00460FEC" w:rsidRPr="00D20324">
        <w:t xml:space="preserve"> and John</w:t>
      </w:r>
      <w:r w:rsidRPr="00D20324">
        <w:t>.</w:t>
      </w:r>
    </w:p>
    <w:p w:rsidR="00C412C6" w:rsidRPr="00D20324" w:rsidRDefault="008F04D3" w:rsidP="007D32EC">
      <w:pPr>
        <w:spacing w:line="480" w:lineRule="auto"/>
      </w:pPr>
      <w:r w:rsidRPr="00D20324">
        <w:tab/>
        <w:t xml:space="preserve">If the </w:t>
      </w:r>
      <w:r w:rsidR="003D4155" w:rsidRPr="00D20324">
        <w:t>thesis</w:t>
      </w:r>
      <w:r w:rsidRPr="00D20324">
        <w:t xml:space="preserve"> that Luke narrates Jesus</w:t>
      </w:r>
      <w:r w:rsidR="003D4155" w:rsidRPr="00D20324">
        <w:t>’ scribal-literate status</w:t>
      </w:r>
      <w:r w:rsidRPr="00D20324">
        <w:t xml:space="preserve"> in his Gospel in</w:t>
      </w:r>
      <w:r w:rsidRPr="00D20324">
        <w:rPr>
          <w:i/>
          <w:iCs/>
        </w:rPr>
        <w:t xml:space="preserve"> imago Pauli</w:t>
      </w:r>
      <w:r w:rsidR="001478A3" w:rsidRPr="00D20324">
        <w:t xml:space="preserve"> </w:t>
      </w:r>
      <w:r w:rsidR="003D4155" w:rsidRPr="00D20324">
        <w:t>is correct</w:t>
      </w:r>
      <w:r w:rsidR="001478A3" w:rsidRPr="00D20324">
        <w:t xml:space="preserve">, it provides an important counter-example to scholarly </w:t>
      </w:r>
      <w:r w:rsidR="0006762B" w:rsidRPr="00D20324">
        <w:t>convictions</w:t>
      </w:r>
      <w:r w:rsidR="001478A3" w:rsidRPr="00D20324">
        <w:t xml:space="preserve"> that Luke </w:t>
      </w:r>
      <w:r w:rsidR="00C219C6" w:rsidRPr="00D20324">
        <w:t>patterns</w:t>
      </w:r>
      <w:r w:rsidR="001478A3" w:rsidRPr="00D20324">
        <w:t xml:space="preserve"> the narrative of Paul’s life </w:t>
      </w:r>
      <w:r w:rsidR="0006762B" w:rsidRPr="00D20324">
        <w:t>on the basis of his</w:t>
      </w:r>
      <w:r w:rsidR="001478A3" w:rsidRPr="00D20324">
        <w:t xml:space="preserve"> convictions about Jesus.</w:t>
      </w:r>
      <w:r w:rsidR="003D4155" w:rsidRPr="00D20324">
        <w:rPr>
          <w:rStyle w:val="FootnoteReference"/>
        </w:rPr>
        <w:footnoteReference w:id="68"/>
      </w:r>
      <w:r w:rsidR="001478A3" w:rsidRPr="00D20324">
        <w:t xml:space="preserve">  This example does not disprove that theory, which is clear in a host of other examples</w:t>
      </w:r>
      <w:r w:rsidR="00C219C6" w:rsidRPr="00D20324">
        <w:t xml:space="preserve"> with Paul and others</w:t>
      </w:r>
      <w:r w:rsidR="001478A3" w:rsidRPr="00D20324">
        <w:t>,</w:t>
      </w:r>
      <w:r w:rsidR="00C219C6" w:rsidRPr="00D20324">
        <w:rPr>
          <w:rStyle w:val="FootnoteReference"/>
        </w:rPr>
        <w:footnoteReference w:id="69"/>
      </w:r>
      <w:r w:rsidR="001478A3" w:rsidRPr="00D20324">
        <w:t xml:space="preserve"> but it su</w:t>
      </w:r>
      <w:r w:rsidR="00864824" w:rsidRPr="00D20324">
        <w:t xml:space="preserve">ggests that the reality of Luke’s handling of early Christian </w:t>
      </w:r>
      <w:r w:rsidR="001B08DF" w:rsidRPr="00D20324">
        <w:t>tradition as a historian</w:t>
      </w:r>
      <w:r w:rsidR="00864824" w:rsidRPr="00D20324">
        <w:t xml:space="preserve"> was more complex than a unidirectional theory of </w:t>
      </w:r>
      <w:r w:rsidR="00460FEC" w:rsidRPr="00D20324">
        <w:t>narrative composition</w:t>
      </w:r>
      <w:r w:rsidR="00864824" w:rsidRPr="00D20324">
        <w:t xml:space="preserve"> might suggest.  In some cases, the past that Luke inherited provided him with a narrative pattern.  In other cases, Luke’s own convictions in the present provided him with a narrative pattern.</w:t>
      </w:r>
      <w:r w:rsidR="00864824" w:rsidRPr="00D20324">
        <w:rPr>
          <w:rStyle w:val="FootnoteReference"/>
        </w:rPr>
        <w:footnoteReference w:id="70"/>
      </w:r>
      <w:r w:rsidR="001478A3" w:rsidRPr="00D20324">
        <w:t xml:space="preserve">  On at least one issue, namely scribal-literate authority as a teacher, Luke </w:t>
      </w:r>
      <w:r w:rsidR="00D553BD" w:rsidRPr="00D20324">
        <w:t xml:space="preserve">consistently </w:t>
      </w:r>
      <w:r w:rsidR="001478A3" w:rsidRPr="00D20324">
        <w:t>narrated the life of Jesus based on his convictions about Paul.  Or, to be more accurate, he narrated Jesus’ life based on these convictions consistently with one exception—Acts 4:13b.</w:t>
      </w:r>
    </w:p>
    <w:p w:rsidR="00B97420" w:rsidRPr="00D20324" w:rsidRDefault="00B97420" w:rsidP="000D0D59">
      <w:pPr>
        <w:spacing w:line="480" w:lineRule="auto"/>
      </w:pPr>
    </w:p>
    <w:p w:rsidR="00312210" w:rsidRPr="00D20324" w:rsidRDefault="00312210" w:rsidP="000D0D59">
      <w:pPr>
        <w:spacing w:line="480" w:lineRule="auto"/>
      </w:pPr>
    </w:p>
    <w:sectPr w:rsidR="00312210" w:rsidRPr="00D20324" w:rsidSect="00A73B97">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8D" w:rsidRDefault="009F6F8D" w:rsidP="00C47260">
      <w:r>
        <w:separator/>
      </w:r>
    </w:p>
  </w:endnote>
  <w:endnote w:type="continuationSeparator" w:id="0">
    <w:p w:rsidR="009F6F8D" w:rsidRDefault="009F6F8D" w:rsidP="00C4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BL Greek">
    <w:altName w:val="Times New Roman"/>
    <w:charset w:val="00"/>
    <w:family w:val="auto"/>
    <w:pitch w:val="variable"/>
    <w:sig w:usb0="00000001" w:usb1="0001A0CB" w:usb2="00000000" w:usb3="00000000" w:csb0="00000009" w:csb1="00000000"/>
  </w:font>
  <w:font w:name="Bwgrkl">
    <w:altName w:val="Times New Roman"/>
    <w:charset w:val="00"/>
    <w:family w:val="auto"/>
    <w:pitch w:val="variable"/>
    <w:sig w:usb0="00000001" w:usb1="0000000A" w:usb2="00000000" w:usb3="00000000" w:csb0="00000111" w:csb1="00000000"/>
  </w:font>
  <w:font w:name="SBL Hebrew">
    <w:charset w:val="00"/>
    <w:family w:val="auto"/>
    <w:pitch w:val="variable"/>
    <w:sig w:usb0="8000086F" w:usb1="4000204A" w:usb2="00000000" w:usb3="00000000" w:csb0="00000021" w:csb1="00000000"/>
  </w:font>
  <w:font w:name="SabonMTPro-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8D" w:rsidRDefault="009F6F8D" w:rsidP="00C47260">
      <w:r>
        <w:separator/>
      </w:r>
    </w:p>
  </w:footnote>
  <w:footnote w:type="continuationSeparator" w:id="0">
    <w:p w:rsidR="009F6F8D" w:rsidRDefault="009F6F8D" w:rsidP="00C47260">
      <w:r>
        <w:continuationSeparator/>
      </w:r>
    </w:p>
  </w:footnote>
  <w:footnote w:id="1">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For the sake of clarity, </w:t>
      </w:r>
      <w:r w:rsidR="00847AD9" w:rsidRPr="00040B61">
        <w:rPr>
          <w:sz w:val="24"/>
          <w:szCs w:val="24"/>
        </w:rPr>
        <w:t>my</w:t>
      </w:r>
      <w:r w:rsidRPr="00040B61">
        <w:rPr>
          <w:sz w:val="24"/>
          <w:szCs w:val="24"/>
        </w:rPr>
        <w:t xml:space="preserve"> claim is not that Luke does not apply the Spirit to Jesus (he clearly and consistently does), but that he does not apply a particular apologetic function of the Spirit to Jesus in the Gospel that he applies to Peter and John in Acts 4:8, 13.</w:t>
      </w:r>
    </w:p>
  </w:footnote>
  <w:footnote w:id="2">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All translations are the author’s unless otherwise stated.</w:t>
      </w:r>
    </w:p>
  </w:footnote>
  <w:footnote w:id="3">
    <w:p w:rsidR="00E1054C" w:rsidRPr="00040B61" w:rsidRDefault="00E1054C" w:rsidP="00040B61">
      <w:pPr>
        <w:pStyle w:val="FootnoteText"/>
        <w:spacing w:line="480" w:lineRule="auto"/>
        <w:ind w:firstLine="720"/>
        <w:rPr>
          <w:sz w:val="24"/>
          <w:szCs w:val="24"/>
          <w:lang w:val="en-US"/>
        </w:rPr>
      </w:pPr>
      <w:r w:rsidRPr="00040B61">
        <w:rPr>
          <w:rStyle w:val="FootnoteReference"/>
          <w:sz w:val="24"/>
          <w:szCs w:val="24"/>
        </w:rPr>
        <w:footnoteRef/>
      </w:r>
      <w:r w:rsidRPr="00040B61">
        <w:rPr>
          <w:sz w:val="24"/>
          <w:szCs w:val="24"/>
        </w:rPr>
        <w:t xml:space="preserve"> W. C. van Unnik, “The Christian’s Freedom of Speech in the New Testament,” </w:t>
      </w:r>
      <w:r w:rsidRPr="00040B61">
        <w:rPr>
          <w:i/>
          <w:iCs/>
          <w:sz w:val="24"/>
          <w:szCs w:val="24"/>
        </w:rPr>
        <w:t>BJRL</w:t>
      </w:r>
      <w:r w:rsidRPr="00040B61">
        <w:rPr>
          <w:sz w:val="24"/>
          <w:szCs w:val="24"/>
        </w:rPr>
        <w:t xml:space="preserve"> 44.2 (1962): 477–8; “Luke’s Second Book and the Rules of Hellenistic Historiography,” in </w:t>
      </w:r>
      <w:r w:rsidRPr="00040B61">
        <w:rPr>
          <w:i/>
          <w:iCs/>
          <w:sz w:val="24"/>
          <w:szCs w:val="24"/>
        </w:rPr>
        <w:t>Les Actes des Ap</w:t>
      </w:r>
      <w:r w:rsidRPr="00040B61">
        <w:rPr>
          <w:rFonts w:cs="Times New Roman"/>
          <w:i/>
          <w:iCs/>
          <w:sz w:val="24"/>
          <w:szCs w:val="24"/>
        </w:rPr>
        <w:t>ô</w:t>
      </w:r>
      <w:r w:rsidRPr="00040B61">
        <w:rPr>
          <w:i/>
          <w:iCs/>
          <w:sz w:val="24"/>
          <w:szCs w:val="24"/>
        </w:rPr>
        <w:t>tres: Tradition, Rédaction, Théologie</w:t>
      </w:r>
      <w:r w:rsidRPr="00040B61">
        <w:rPr>
          <w:sz w:val="24"/>
          <w:szCs w:val="24"/>
        </w:rPr>
        <w:t xml:space="preserve"> (ed. J. Kremer; BETL 48; Leuven: Leuven University Press, 1979), 51; Allen R. Hilton, “The Dumb Speak: Early Christian Illiteracy and Pagan Criticism” (Ph.D. diss., Yale University, 1997); respectively.</w:t>
      </w:r>
      <w:r w:rsidRPr="00040B61">
        <w:rPr>
          <w:sz w:val="24"/>
          <w:szCs w:val="24"/>
          <w:lang w:val="en-US"/>
        </w:rPr>
        <w:t xml:space="preserve"> </w:t>
      </w:r>
    </w:p>
  </w:footnote>
  <w:footnote w:id="4">
    <w:p w:rsidR="00E1054C" w:rsidRPr="00040B61" w:rsidRDefault="00E1054C" w:rsidP="00040B61">
      <w:pPr>
        <w:pStyle w:val="FootnoteText"/>
        <w:spacing w:line="480" w:lineRule="auto"/>
        <w:ind w:firstLine="720"/>
        <w:rPr>
          <w:rFonts w:ascii="Bwgrkl" w:hAnsi="Bwgrkl" w:cs="Times New Roman"/>
          <w:sz w:val="24"/>
          <w:szCs w:val="24"/>
        </w:rPr>
      </w:pPr>
      <w:r w:rsidRPr="00040B61">
        <w:rPr>
          <w:rStyle w:val="FootnoteReference"/>
          <w:sz w:val="24"/>
          <w:szCs w:val="24"/>
        </w:rPr>
        <w:footnoteRef/>
      </w:r>
      <w:r w:rsidRPr="00040B61">
        <w:rPr>
          <w:sz w:val="24"/>
          <w:szCs w:val="24"/>
        </w:rPr>
        <w:t xml:space="preserve"> Sean A. Adams, “The Tradition of Peter’s Literacy: Acts, 1 Peter, and Petrine Literature,” in </w:t>
      </w:r>
      <w:r w:rsidRPr="00040B61">
        <w:rPr>
          <w:i/>
          <w:sz w:val="24"/>
          <w:szCs w:val="24"/>
        </w:rPr>
        <w:t>Peter in Earliest Christianity</w:t>
      </w:r>
      <w:r w:rsidRPr="00040B61">
        <w:rPr>
          <w:sz w:val="24"/>
          <w:szCs w:val="24"/>
        </w:rPr>
        <w:t xml:space="preserve"> (eds. Helen K. Bond and Larry W. Hurtado; Grand Rapids: Eerdmans, forthcoming), n.p.; C. K. Barrett, </w:t>
      </w:r>
      <w:r w:rsidRPr="00040B61">
        <w:rPr>
          <w:i/>
          <w:iCs/>
          <w:sz w:val="24"/>
          <w:szCs w:val="24"/>
        </w:rPr>
        <w:t>The Acts of the Apostles</w:t>
      </w:r>
      <w:r w:rsidRPr="00040B61">
        <w:rPr>
          <w:sz w:val="24"/>
          <w:szCs w:val="24"/>
        </w:rPr>
        <w:t xml:space="preserve"> (2 vols.; ICC; Edinburgh: T&amp;T Clark, 1994, 1998), 1.233–4; Luke Timothy Johnson, </w:t>
      </w:r>
      <w:r w:rsidRPr="00040B61">
        <w:rPr>
          <w:i/>
          <w:sz w:val="24"/>
          <w:szCs w:val="24"/>
        </w:rPr>
        <w:t>The Acts of the Apostles</w:t>
      </w:r>
      <w:r w:rsidRPr="00040B61">
        <w:rPr>
          <w:sz w:val="24"/>
          <w:szCs w:val="24"/>
        </w:rPr>
        <w:t xml:space="preserve"> (SP 5; Collegeville: Liturgical, 1992), 78; Thomas J. Kraus, “‘Uneducated’, ‘ignorant’, or even ‘illiterate’? Aspects and Background for an Understanding of </w:t>
      </w:r>
      <w:r w:rsidRPr="00040B61">
        <w:rPr>
          <w:rFonts w:ascii="Bwgrkl" w:hAnsi="Bwgrkl"/>
          <w:sz w:val="24"/>
          <w:szCs w:val="24"/>
        </w:rPr>
        <w:t>AGRAMMATOI</w:t>
      </w:r>
      <w:r w:rsidRPr="00040B61">
        <w:rPr>
          <w:rFonts w:cs="Times New Roman"/>
          <w:sz w:val="24"/>
          <w:szCs w:val="24"/>
        </w:rPr>
        <w:t xml:space="preserve"> (and </w:t>
      </w:r>
      <w:r w:rsidRPr="00040B61">
        <w:rPr>
          <w:rFonts w:ascii="Bwgrkl" w:hAnsi="Bwgrkl" w:cs="Times New Roman"/>
          <w:sz w:val="24"/>
          <w:szCs w:val="24"/>
        </w:rPr>
        <w:t>IDIWTAI</w:t>
      </w:r>
      <w:r w:rsidRPr="00040B61">
        <w:rPr>
          <w:rFonts w:cs="Times New Roman"/>
          <w:sz w:val="24"/>
          <w:szCs w:val="24"/>
        </w:rPr>
        <w:t>) in Acts 4:13,” in Ad fontes</w:t>
      </w:r>
      <w:r w:rsidRPr="00040B61">
        <w:rPr>
          <w:rFonts w:cs="Times New Roman"/>
          <w:i/>
          <w:sz w:val="24"/>
          <w:szCs w:val="24"/>
        </w:rPr>
        <w:t>: Original Manuscripts and Their Significance for Studying Early Christianity—Selected Essays</w:t>
      </w:r>
      <w:r w:rsidRPr="00040B61">
        <w:rPr>
          <w:rFonts w:cs="Times New Roman"/>
          <w:sz w:val="24"/>
          <w:szCs w:val="24"/>
        </w:rPr>
        <w:t xml:space="preserve"> (TENTS 3; Leiden: Brill, 2007), 149–70; repr. from </w:t>
      </w:r>
      <w:r w:rsidRPr="00040B61">
        <w:rPr>
          <w:rFonts w:cs="Times New Roman"/>
          <w:i/>
          <w:sz w:val="24"/>
          <w:szCs w:val="24"/>
        </w:rPr>
        <w:t>NTS</w:t>
      </w:r>
      <w:r w:rsidRPr="00040B61">
        <w:rPr>
          <w:rFonts w:cs="Times New Roman"/>
          <w:sz w:val="24"/>
          <w:szCs w:val="24"/>
        </w:rPr>
        <w:t xml:space="preserve"> 45 (1999): 434–49; Richard N. Longenecker, </w:t>
      </w:r>
      <w:r w:rsidRPr="00040B61">
        <w:rPr>
          <w:rFonts w:cs="Times New Roman"/>
          <w:i/>
          <w:sz w:val="24"/>
          <w:szCs w:val="24"/>
        </w:rPr>
        <w:t>Acts</w:t>
      </w:r>
      <w:r w:rsidRPr="00040B61">
        <w:rPr>
          <w:rFonts w:cs="Times New Roman"/>
          <w:sz w:val="24"/>
          <w:szCs w:val="24"/>
        </w:rPr>
        <w:t xml:space="preserve"> (EBC; Grand Rapids: Zondervan, 1995), 102; Brian Rapske, “Opposition to the Plan of God and Persecution,” in </w:t>
      </w:r>
      <w:r w:rsidRPr="00040B61">
        <w:rPr>
          <w:rFonts w:cs="Times New Roman"/>
          <w:i/>
          <w:sz w:val="24"/>
          <w:szCs w:val="24"/>
        </w:rPr>
        <w:t>Witness to the Gospel: The Theology of Acts</w:t>
      </w:r>
      <w:r w:rsidRPr="00040B61">
        <w:rPr>
          <w:rFonts w:cs="Times New Roman"/>
          <w:sz w:val="24"/>
          <w:szCs w:val="24"/>
        </w:rPr>
        <w:t xml:space="preserve"> (eds. I. Howard Marshall and David Peterson; Grand Rapids: Eerdmans, 1998), 248; Unknown author, “Comparative Translation: Acts 4:13. A Study in Modernizing the English Bible,” </w:t>
      </w:r>
      <w:r w:rsidRPr="00040B61">
        <w:rPr>
          <w:rFonts w:cs="Times New Roman"/>
          <w:i/>
          <w:sz w:val="24"/>
          <w:szCs w:val="24"/>
        </w:rPr>
        <w:t>The Biblical World</w:t>
      </w:r>
      <w:r w:rsidRPr="00040B61">
        <w:rPr>
          <w:rFonts w:cs="Times New Roman"/>
          <w:sz w:val="24"/>
          <w:szCs w:val="24"/>
        </w:rPr>
        <w:t xml:space="preserve"> 23.1 (1904): 49n.1.  For Hilton’s discussion of these words, see “Dumb Speak,” 2–46.  Somewhat surprisingly, there is no reference to Acts 4:13 in Peter Müller, </w:t>
      </w:r>
      <w:r w:rsidRPr="00040B61">
        <w:rPr>
          <w:rFonts w:cs="Times New Roman"/>
          <w:i/>
          <w:sz w:val="24"/>
          <w:szCs w:val="24"/>
        </w:rPr>
        <w:t>„Verstehst du auch, was du liest?”: Lesen und Verstehen im Neuen Testament</w:t>
      </w:r>
      <w:r w:rsidRPr="00040B61">
        <w:rPr>
          <w:rFonts w:cs="Times New Roman"/>
          <w:sz w:val="24"/>
          <w:szCs w:val="24"/>
        </w:rPr>
        <w:t xml:space="preserve"> (Darmstadt: Wissenschaftliche Buchgesellschaft), 1994.</w:t>
      </w:r>
    </w:p>
  </w:footnote>
  <w:footnote w:id="5">
    <w:p w:rsidR="00E1054C" w:rsidRPr="00040B61" w:rsidRDefault="00E1054C" w:rsidP="00040B61">
      <w:pPr>
        <w:pStyle w:val="FootnoteText"/>
        <w:spacing w:line="480" w:lineRule="auto"/>
        <w:ind w:firstLine="720"/>
        <w:rPr>
          <w:rFonts w:cs="Times New Roman"/>
          <w:sz w:val="24"/>
          <w:szCs w:val="24"/>
        </w:rPr>
      </w:pPr>
      <w:r w:rsidRPr="00040B61">
        <w:rPr>
          <w:rStyle w:val="FootnoteReference"/>
          <w:sz w:val="24"/>
          <w:szCs w:val="24"/>
        </w:rPr>
        <w:footnoteRef/>
      </w:r>
      <w:r w:rsidRPr="00040B61">
        <w:rPr>
          <w:sz w:val="24"/>
          <w:szCs w:val="24"/>
        </w:rPr>
        <w:t xml:space="preserve"> Kraus, “Uneducated,” 152–67.  </w:t>
      </w:r>
    </w:p>
  </w:footnote>
  <w:footnote w:id="6">
    <w:p w:rsidR="00E1054C" w:rsidRPr="00040B61" w:rsidRDefault="00E1054C" w:rsidP="001866F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BDAG defines </w:t>
      </w:r>
      <w:r w:rsidR="001866F1" w:rsidRPr="001866F1">
        <w:rPr>
          <w:rFonts w:ascii="SBL Greek" w:hAnsi="SBL Greek"/>
          <w:sz w:val="24"/>
          <w:szCs w:val="24"/>
          <w:lang w:val="el-GR"/>
        </w:rPr>
        <w:t>ἀγράμματος</w:t>
      </w:r>
      <w:r w:rsidRPr="001866F1">
        <w:rPr>
          <w:rFonts w:cs="Times New Roman"/>
          <w:sz w:val="24"/>
          <w:szCs w:val="24"/>
        </w:rPr>
        <w:t xml:space="preserve"> a</w:t>
      </w:r>
      <w:r w:rsidRPr="00040B61">
        <w:rPr>
          <w:rFonts w:cs="Times New Roman"/>
          <w:sz w:val="24"/>
          <w:szCs w:val="24"/>
        </w:rPr>
        <w:t xml:space="preserve">s “uneducated, illiterate” </w:t>
      </w:r>
      <w:r w:rsidRPr="001866F1">
        <w:rPr>
          <w:rFonts w:cs="Times New Roman"/>
          <w:sz w:val="24"/>
          <w:szCs w:val="24"/>
        </w:rPr>
        <w:t xml:space="preserve">and </w:t>
      </w:r>
      <w:r w:rsidR="001866F1" w:rsidRPr="001866F1">
        <w:rPr>
          <w:rFonts w:ascii="SBL Greek" w:hAnsi="SBL Greek"/>
          <w:sz w:val="24"/>
          <w:szCs w:val="24"/>
        </w:rPr>
        <w:t>ἰ</w:t>
      </w:r>
      <w:r w:rsidR="001866F1" w:rsidRPr="001866F1">
        <w:rPr>
          <w:rFonts w:ascii="SBL Greek" w:hAnsi="SBL Greek" w:cs="Times New Roman"/>
          <w:sz w:val="24"/>
          <w:szCs w:val="24"/>
          <w:lang w:val="el-GR"/>
        </w:rPr>
        <w:t>δι</w:t>
      </w:r>
      <w:r w:rsidR="001866F1">
        <w:rPr>
          <w:rFonts w:ascii="SBL Greek" w:hAnsi="SBL Greek" w:cs="Times New Roman"/>
          <w:sz w:val="24"/>
          <w:szCs w:val="24"/>
          <w:lang w:val="el-GR"/>
        </w:rPr>
        <w:t>ώ</w:t>
      </w:r>
      <w:r w:rsidR="001866F1" w:rsidRPr="001866F1">
        <w:rPr>
          <w:rFonts w:ascii="SBL Greek" w:hAnsi="SBL Greek" w:cs="Times New Roman"/>
          <w:sz w:val="24"/>
          <w:szCs w:val="24"/>
          <w:lang w:val="el-GR"/>
        </w:rPr>
        <w:t>τ</w:t>
      </w:r>
      <w:r w:rsidR="001866F1">
        <w:rPr>
          <w:rFonts w:ascii="SBL Greek" w:hAnsi="SBL Greek" w:cs="Times New Roman"/>
          <w:sz w:val="24"/>
          <w:szCs w:val="24"/>
          <w:lang w:val="el-GR"/>
        </w:rPr>
        <w:t>ης</w:t>
      </w:r>
      <w:r w:rsidR="001866F1" w:rsidRPr="001866F1">
        <w:rPr>
          <w:rFonts w:cs="Times New Roman"/>
          <w:sz w:val="24"/>
          <w:szCs w:val="24"/>
        </w:rPr>
        <w:t xml:space="preserve"> </w:t>
      </w:r>
      <w:r w:rsidRPr="001866F1">
        <w:rPr>
          <w:rFonts w:cs="Times New Roman"/>
          <w:sz w:val="24"/>
          <w:szCs w:val="24"/>
        </w:rPr>
        <w:t>as “1.</w:t>
      </w:r>
      <w:r w:rsidRPr="00040B61">
        <w:rPr>
          <w:rFonts w:cs="Times New Roman"/>
          <w:sz w:val="24"/>
          <w:szCs w:val="24"/>
        </w:rPr>
        <w:t xml:space="preserve"> layperson, amateur; . . . 2. one not in the know, outsider.”</w:t>
      </w:r>
    </w:p>
  </w:footnote>
  <w:footnote w:id="7">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Jacob Jervell, </w:t>
      </w:r>
      <w:r w:rsidRPr="00040B61">
        <w:rPr>
          <w:i/>
          <w:iCs/>
          <w:sz w:val="24"/>
          <w:szCs w:val="24"/>
        </w:rPr>
        <w:t>Die Apostelgeschichte</w:t>
      </w:r>
      <w:r w:rsidRPr="00040B61">
        <w:rPr>
          <w:sz w:val="24"/>
          <w:szCs w:val="24"/>
        </w:rPr>
        <w:t xml:space="preserve"> (17</w:t>
      </w:r>
      <w:r w:rsidRPr="00040B61">
        <w:rPr>
          <w:sz w:val="24"/>
          <w:szCs w:val="24"/>
          <w:vertAlign w:val="superscript"/>
        </w:rPr>
        <w:t>th</w:t>
      </w:r>
      <w:r w:rsidRPr="00040B61">
        <w:rPr>
          <w:sz w:val="24"/>
          <w:szCs w:val="24"/>
        </w:rPr>
        <w:t xml:space="preserve"> ed.; KEK 3; Göttingen: Vandenhoeck &amp; Ruprecht, 1998), 179; Rudolf Pesch, </w:t>
      </w:r>
      <w:r w:rsidRPr="00040B61">
        <w:rPr>
          <w:i/>
          <w:iCs/>
          <w:sz w:val="24"/>
          <w:szCs w:val="24"/>
        </w:rPr>
        <w:t>Die Apostelgeschichte: 1. Teilband, Apg 1–12</w:t>
      </w:r>
      <w:r w:rsidRPr="00040B61">
        <w:rPr>
          <w:sz w:val="24"/>
          <w:szCs w:val="24"/>
        </w:rPr>
        <w:t xml:space="preserve"> (EKKNT 5.1; Neukirchen-Vluyn: Neukirchener, 1986), 167.</w:t>
      </w:r>
    </w:p>
  </w:footnote>
  <w:footnote w:id="8">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Kraus, “Uneducated,” 152–3, 156–7.</w:t>
      </w:r>
    </w:p>
  </w:footnote>
  <w:footnote w:id="9">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Unknown, “Comparative,” 49n.1.</w:t>
      </w:r>
    </w:p>
  </w:footnote>
  <w:footnote w:id="10">
    <w:p w:rsidR="00E1054C" w:rsidRPr="00040B61" w:rsidRDefault="00E1054C" w:rsidP="001866F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L&amp;N, 329 (</w:t>
      </w:r>
      <w:r w:rsidRPr="00040B61">
        <w:rPr>
          <w:rFonts w:cs="Times New Roman"/>
          <w:sz w:val="24"/>
          <w:szCs w:val="24"/>
        </w:rPr>
        <w:t>§</w:t>
      </w:r>
      <w:r w:rsidRPr="00040B61">
        <w:rPr>
          <w:sz w:val="24"/>
          <w:szCs w:val="24"/>
        </w:rPr>
        <w:t xml:space="preserve">27.23):  “Some persons have assumed </w:t>
      </w:r>
      <w:r w:rsidRPr="001866F1">
        <w:rPr>
          <w:sz w:val="24"/>
          <w:szCs w:val="24"/>
        </w:rPr>
        <w:t xml:space="preserve">that </w:t>
      </w:r>
      <w:r w:rsidR="001866F1" w:rsidRPr="001866F1">
        <w:rPr>
          <w:rFonts w:ascii="SBL Greek" w:hAnsi="SBL Greek"/>
          <w:sz w:val="24"/>
          <w:szCs w:val="24"/>
          <w:lang w:val="el-GR"/>
        </w:rPr>
        <w:t>ἀγρά</w:t>
      </w:r>
      <w:r w:rsidR="001866F1">
        <w:rPr>
          <w:rFonts w:ascii="SBL Greek" w:hAnsi="SBL Greek"/>
          <w:sz w:val="24"/>
          <w:szCs w:val="24"/>
          <w:lang w:val="el-GR"/>
        </w:rPr>
        <w:t>μματος</w:t>
      </w:r>
      <w:r w:rsidRPr="001866F1">
        <w:rPr>
          <w:rFonts w:asciiTheme="majorBidi" w:hAnsiTheme="majorBidi" w:cstheme="majorBidi"/>
          <w:sz w:val="24"/>
          <w:szCs w:val="24"/>
        </w:rPr>
        <w:t xml:space="preserve"> in</w:t>
      </w:r>
      <w:r w:rsidRPr="00040B61">
        <w:rPr>
          <w:rFonts w:asciiTheme="majorBidi" w:hAnsiTheme="majorBidi" w:cstheme="majorBidi"/>
          <w:sz w:val="24"/>
          <w:szCs w:val="24"/>
        </w:rPr>
        <w:t xml:space="preserve"> Ac 4.13 means ‘illiterate’ in the sense of not being able to read or write, but this is highly unlikely in view of the almost universal literacy in NT times, and especially as the result of extensive synagogue schools.  Evidently, </w:t>
      </w:r>
      <w:r w:rsidR="001866F1" w:rsidRPr="001866F1">
        <w:rPr>
          <w:rFonts w:ascii="SBL Greek" w:hAnsi="SBL Greek"/>
          <w:sz w:val="24"/>
          <w:szCs w:val="24"/>
          <w:lang w:val="el-GR"/>
        </w:rPr>
        <w:t>ἀγρά</w:t>
      </w:r>
      <w:r w:rsidR="001866F1">
        <w:rPr>
          <w:rFonts w:ascii="SBL Greek" w:hAnsi="SBL Greek"/>
          <w:sz w:val="24"/>
          <w:szCs w:val="24"/>
          <w:lang w:val="el-GR"/>
        </w:rPr>
        <w:t>μματος</w:t>
      </w:r>
      <w:r w:rsidR="001866F1" w:rsidRPr="001866F1">
        <w:rPr>
          <w:rFonts w:cs="Times New Roman"/>
          <w:sz w:val="24"/>
          <w:szCs w:val="24"/>
        </w:rPr>
        <w:t xml:space="preserve"> </w:t>
      </w:r>
      <w:r w:rsidRPr="001866F1">
        <w:rPr>
          <w:rFonts w:cs="Times New Roman"/>
          <w:sz w:val="24"/>
          <w:szCs w:val="24"/>
        </w:rPr>
        <w:t>in</w:t>
      </w:r>
      <w:r w:rsidRPr="00040B61">
        <w:rPr>
          <w:rFonts w:cs="Times New Roman"/>
          <w:sz w:val="24"/>
          <w:szCs w:val="24"/>
        </w:rPr>
        <w:t xml:space="preserve"> Ac 4.13 refers to a lack of formal rabbinic teaching.”</w:t>
      </w:r>
      <w:r w:rsidRPr="00040B61">
        <w:rPr>
          <w:sz w:val="24"/>
          <w:szCs w:val="24"/>
        </w:rPr>
        <w:t xml:space="preserve">  Cf. also F. F. Bruce, </w:t>
      </w:r>
      <w:r w:rsidRPr="00040B61">
        <w:rPr>
          <w:i/>
          <w:iCs/>
          <w:sz w:val="24"/>
          <w:szCs w:val="24"/>
        </w:rPr>
        <w:t>The Acts of the Apostles</w:t>
      </w:r>
      <w:r w:rsidRPr="00040B61">
        <w:rPr>
          <w:sz w:val="24"/>
          <w:szCs w:val="24"/>
        </w:rPr>
        <w:t xml:space="preserve"> (3d ed.; Grand Rapids: Eerdmans, 1990), 152–3; C. S. C. Williams, </w:t>
      </w:r>
      <w:r w:rsidRPr="00040B61">
        <w:rPr>
          <w:i/>
          <w:iCs/>
          <w:sz w:val="24"/>
          <w:szCs w:val="24"/>
        </w:rPr>
        <w:t>The Acts of the Apostles</w:t>
      </w:r>
      <w:r w:rsidRPr="00040B61">
        <w:rPr>
          <w:sz w:val="24"/>
          <w:szCs w:val="24"/>
        </w:rPr>
        <w:t xml:space="preserve"> (2d ed.; BNTC; London: Adam &amp; Charles Black, 1964), 84.</w:t>
      </w:r>
    </w:p>
  </w:footnote>
  <w:footnote w:id="11">
    <w:p w:rsidR="00E1054C" w:rsidRPr="00040B61" w:rsidRDefault="00E1054C" w:rsidP="001C215C">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Bruce,</w:t>
      </w:r>
      <w:r w:rsidRPr="00040B61">
        <w:rPr>
          <w:i/>
          <w:sz w:val="24"/>
          <w:szCs w:val="24"/>
        </w:rPr>
        <w:t xml:space="preserve"> Acts</w:t>
      </w:r>
      <w:r w:rsidRPr="00040B61">
        <w:rPr>
          <w:sz w:val="24"/>
          <w:szCs w:val="24"/>
        </w:rPr>
        <w:t xml:space="preserve">, 153; Longenecker, </w:t>
      </w:r>
      <w:r w:rsidRPr="00040B61">
        <w:rPr>
          <w:i/>
          <w:sz w:val="24"/>
          <w:szCs w:val="24"/>
        </w:rPr>
        <w:t>Acts</w:t>
      </w:r>
      <w:r w:rsidRPr="00040B61">
        <w:rPr>
          <w:sz w:val="24"/>
          <w:szCs w:val="24"/>
        </w:rPr>
        <w:t xml:space="preserve">, 102; L&amp;N, 329 (see quotation in footnote </w:t>
      </w:r>
      <w:r w:rsidR="0022225F">
        <w:fldChar w:fldCharType="begin"/>
      </w:r>
      <w:r w:rsidR="0022225F">
        <w:instrText xml:space="preserve"> NOTEREF _Ref377126235 \h  \* MERGEFORMAT </w:instrText>
      </w:r>
      <w:r w:rsidR="0022225F">
        <w:fldChar w:fldCharType="separate"/>
      </w:r>
      <w:r w:rsidR="00C06F6A" w:rsidRPr="00C06F6A">
        <w:rPr>
          <w:sz w:val="24"/>
          <w:szCs w:val="24"/>
        </w:rPr>
        <w:t>10</w:t>
      </w:r>
      <w:r w:rsidR="0022225F">
        <w:fldChar w:fldCharType="end"/>
      </w:r>
      <w:r w:rsidRPr="00040B61">
        <w:rPr>
          <w:sz w:val="24"/>
          <w:szCs w:val="24"/>
        </w:rPr>
        <w:t xml:space="preserve"> above).  </w:t>
      </w:r>
      <w:r w:rsidR="001C215C">
        <w:rPr>
          <w:sz w:val="24"/>
          <w:szCs w:val="24"/>
        </w:rPr>
        <w:t>In contrast,</w:t>
      </w:r>
      <w:r w:rsidRPr="00040B61">
        <w:rPr>
          <w:sz w:val="24"/>
          <w:szCs w:val="24"/>
        </w:rPr>
        <w:t xml:space="preserve"> Haenchen, </w:t>
      </w:r>
      <w:r w:rsidRPr="00040B61">
        <w:rPr>
          <w:i/>
          <w:iCs/>
          <w:sz w:val="24"/>
          <w:szCs w:val="24"/>
        </w:rPr>
        <w:t>Acts</w:t>
      </w:r>
      <w:r w:rsidRPr="00040B61">
        <w:rPr>
          <w:sz w:val="24"/>
          <w:szCs w:val="24"/>
        </w:rPr>
        <w:t xml:space="preserve">, 218n.1:  “It is very doubtful that Luke is here thinking of lack of legal knowledge”; as well as Oscar Cullmann, </w:t>
      </w:r>
      <w:r w:rsidRPr="00040B61">
        <w:rPr>
          <w:i/>
          <w:iCs/>
          <w:sz w:val="24"/>
          <w:szCs w:val="24"/>
        </w:rPr>
        <w:t>Peter: Disciple, Apostle, Martyr</w:t>
      </w:r>
      <w:r w:rsidRPr="00040B61">
        <w:rPr>
          <w:sz w:val="24"/>
          <w:szCs w:val="24"/>
        </w:rPr>
        <w:t xml:space="preserve"> (</w:t>
      </w:r>
      <w:r w:rsidR="000312B9">
        <w:rPr>
          <w:sz w:val="24"/>
          <w:szCs w:val="24"/>
        </w:rPr>
        <w:t xml:space="preserve">trans. Floyd V. Filson; </w:t>
      </w:r>
      <w:r w:rsidRPr="00040B61">
        <w:rPr>
          <w:sz w:val="24"/>
          <w:szCs w:val="24"/>
        </w:rPr>
        <w:t>Waco: Baylor University Press, 2011), 24:  “[Peter] had not ‘studied’ either by Jewish or by Greek standards.”</w:t>
      </w:r>
    </w:p>
  </w:footnote>
  <w:footnote w:id="12">
    <w:p w:rsidR="00E1054C" w:rsidRPr="00040B61" w:rsidRDefault="00E1054C" w:rsidP="00040B61">
      <w:pPr>
        <w:pStyle w:val="FootnoteText"/>
        <w:spacing w:line="480" w:lineRule="auto"/>
        <w:ind w:firstLine="720"/>
        <w:rPr>
          <w:sz w:val="24"/>
          <w:szCs w:val="24"/>
          <w:lang w:val="en-US"/>
        </w:rPr>
      </w:pPr>
      <w:r w:rsidRPr="00040B61">
        <w:rPr>
          <w:rStyle w:val="FootnoteReference"/>
          <w:sz w:val="24"/>
          <w:szCs w:val="24"/>
        </w:rPr>
        <w:footnoteRef/>
      </w:r>
      <w:r w:rsidRPr="00040B61">
        <w:rPr>
          <w:sz w:val="24"/>
          <w:szCs w:val="24"/>
        </w:rPr>
        <w:t xml:space="preserve"> Bruce Chilton et al., “Rabbi as a Title for Jesus,” in </w:t>
      </w:r>
      <w:r w:rsidRPr="00040B61">
        <w:rPr>
          <w:i/>
          <w:sz w:val="24"/>
          <w:szCs w:val="24"/>
        </w:rPr>
        <w:t>A Comparative Handbook to the Gospel of Mark: Comparisons with Pseudepigrapha, the Qumran Scrolls, and Rabbinic Literature</w:t>
      </w:r>
      <w:r w:rsidRPr="00040B61">
        <w:rPr>
          <w:sz w:val="24"/>
          <w:szCs w:val="24"/>
        </w:rPr>
        <w:t xml:space="preserve"> (eds. Bruce Chilton et al.; NTGJC 1; Leiden: Brill, 2010), 560–61, 565; Martin Hengel, </w:t>
      </w:r>
      <w:r w:rsidRPr="00040B61">
        <w:rPr>
          <w:i/>
          <w:sz w:val="24"/>
          <w:szCs w:val="24"/>
        </w:rPr>
        <w:t>The Charismatic Leader and His Followers</w:t>
      </w:r>
      <w:r w:rsidRPr="00040B61">
        <w:rPr>
          <w:sz w:val="24"/>
          <w:szCs w:val="24"/>
        </w:rPr>
        <w:t xml:space="preserve"> (ed. John Riches; trans. James C. G. Greig; Edinburgh: T&amp;T Clark, 1981), 42–43; Joachim Jeremias, </w:t>
      </w:r>
      <w:r w:rsidRPr="00040B61">
        <w:rPr>
          <w:i/>
          <w:sz w:val="24"/>
          <w:szCs w:val="24"/>
        </w:rPr>
        <w:t>Jerusalem in the Time of Jesus: An Investigation into Economic and Social Conditions during the New Testament Period</w:t>
      </w:r>
      <w:r w:rsidRPr="00040B61">
        <w:rPr>
          <w:sz w:val="24"/>
          <w:szCs w:val="24"/>
        </w:rPr>
        <w:t xml:space="preserve"> (trans. F. H. Cave and C. H. Cave; 3d ed.; London: SCM, 1969), 236; Hershel Shanks, “Is the Title ‘Rabbi’ Anachronistic in the Gospels?” </w:t>
      </w:r>
      <w:r w:rsidRPr="00040B61">
        <w:rPr>
          <w:i/>
          <w:sz w:val="24"/>
          <w:szCs w:val="24"/>
        </w:rPr>
        <w:t xml:space="preserve">JQR </w:t>
      </w:r>
      <w:r w:rsidRPr="00040B61">
        <w:rPr>
          <w:sz w:val="24"/>
          <w:szCs w:val="24"/>
        </w:rPr>
        <w:t>53.4 (1963): 339–41.</w:t>
      </w:r>
    </w:p>
  </w:footnote>
  <w:footnote w:id="13">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For the ancient context, see the now standard William V. Harris, </w:t>
      </w:r>
      <w:r w:rsidRPr="00040B61">
        <w:rPr>
          <w:i/>
          <w:iCs/>
          <w:sz w:val="24"/>
          <w:szCs w:val="24"/>
        </w:rPr>
        <w:t>Ancient Literacy</w:t>
      </w:r>
      <w:r w:rsidRPr="00040B61">
        <w:rPr>
          <w:sz w:val="24"/>
          <w:szCs w:val="24"/>
        </w:rPr>
        <w:t xml:space="preserve"> (Cambridge: Harvard University Press, 1989).  For Roman Palestine, see Catherine Hezser, </w:t>
      </w:r>
      <w:r w:rsidRPr="00040B61">
        <w:rPr>
          <w:i/>
          <w:iCs/>
          <w:sz w:val="24"/>
          <w:szCs w:val="24"/>
        </w:rPr>
        <w:t>Jewish Literacy in Roman Palestine</w:t>
      </w:r>
      <w:r w:rsidRPr="00040B61">
        <w:rPr>
          <w:sz w:val="24"/>
          <w:szCs w:val="24"/>
        </w:rPr>
        <w:t xml:space="preserve"> (TSAJ 81; Tübingen: Mohr Siebeck, 2001), 40–68, 496–504.  See also Meir Bar-Ilan, “Illiteracy in the Land of Israel in the First Centuries CE,” in </w:t>
      </w:r>
      <w:r w:rsidRPr="00040B61">
        <w:rPr>
          <w:i/>
          <w:iCs/>
          <w:sz w:val="24"/>
          <w:szCs w:val="24"/>
        </w:rPr>
        <w:t>Essays in the Social Scientific Study of Judaism and Jewish Society: 2</w:t>
      </w:r>
      <w:r w:rsidRPr="00040B61">
        <w:rPr>
          <w:sz w:val="24"/>
          <w:szCs w:val="24"/>
        </w:rPr>
        <w:t xml:space="preserve"> (eds. Simcha Fishbane, Stuart Schoenfeld, A. Goldschlaeger; New York: Ktva, 1992), 55; “Writing in Ancient Israel and Early Judaism Part Two: Scribes and Books in the Late Second Commonwealth and Rabbinic Period,” in </w:t>
      </w:r>
      <w:r w:rsidRPr="00040B61">
        <w:rPr>
          <w:i/>
          <w:iCs/>
          <w:sz w:val="24"/>
          <w:szCs w:val="24"/>
        </w:rPr>
        <w:t xml:space="preserve">Mikra: Text, Translation, Reading and Interpretation of the Hebrew Bible in Ancient Judaism and Early Christianity </w:t>
      </w:r>
      <w:r w:rsidRPr="00040B61">
        <w:rPr>
          <w:sz w:val="24"/>
          <w:szCs w:val="24"/>
        </w:rPr>
        <w:t xml:space="preserve">(ed. Martin Jan Mulder; Philadelphia: Fortress, 1988), 33–34; David M. Carr, </w:t>
      </w:r>
      <w:r w:rsidRPr="00040B61">
        <w:rPr>
          <w:i/>
          <w:iCs/>
          <w:sz w:val="24"/>
          <w:szCs w:val="24"/>
        </w:rPr>
        <w:t>Writing on the Tablet of the Heart: Origins of Scripture and Literature</w:t>
      </w:r>
      <w:r w:rsidRPr="00040B61">
        <w:rPr>
          <w:sz w:val="24"/>
          <w:szCs w:val="24"/>
        </w:rPr>
        <w:t xml:space="preserve"> (New York: Oxford University Press, 111–73; Lester L. Grabbe, “Scribes and Synagogues,” in </w:t>
      </w:r>
      <w:r w:rsidRPr="00040B61">
        <w:rPr>
          <w:i/>
          <w:iCs/>
          <w:sz w:val="24"/>
          <w:szCs w:val="24"/>
        </w:rPr>
        <w:t>OHBS</w:t>
      </w:r>
      <w:r w:rsidRPr="00040B61">
        <w:rPr>
          <w:sz w:val="24"/>
          <w:szCs w:val="24"/>
        </w:rPr>
        <w:t xml:space="preserve"> 366; Chris Keith, </w:t>
      </w:r>
      <w:r w:rsidRPr="00040B61">
        <w:rPr>
          <w:i/>
          <w:iCs/>
          <w:sz w:val="24"/>
          <w:szCs w:val="24"/>
        </w:rPr>
        <w:t>Jesus’ Literacy: Scribal Culture and the Teacher from Galilee</w:t>
      </w:r>
      <w:r w:rsidRPr="00040B61">
        <w:rPr>
          <w:sz w:val="24"/>
          <w:szCs w:val="24"/>
        </w:rPr>
        <w:t xml:space="preserve"> (LHJS 8/LNTS 413; London: T&amp;T Clark, 2011), 72–110; </w:t>
      </w:r>
      <w:r w:rsidRPr="00040B61">
        <w:rPr>
          <w:i/>
          <w:iCs/>
          <w:sz w:val="24"/>
          <w:szCs w:val="24"/>
        </w:rPr>
        <w:t xml:space="preserve">The </w:t>
      </w:r>
      <w:r w:rsidRPr="00040B61">
        <w:rPr>
          <w:sz w:val="24"/>
          <w:szCs w:val="24"/>
        </w:rPr>
        <w:t>Pericope Adulterae</w:t>
      </w:r>
      <w:r w:rsidRPr="00040B61">
        <w:rPr>
          <w:i/>
          <w:iCs/>
          <w:sz w:val="24"/>
          <w:szCs w:val="24"/>
        </w:rPr>
        <w:t>, the Gospel of John, and the Literacy of Jesus</w:t>
      </w:r>
      <w:r w:rsidRPr="00040B61">
        <w:rPr>
          <w:sz w:val="24"/>
          <w:szCs w:val="24"/>
        </w:rPr>
        <w:t xml:space="preserve"> (NTTSD 38; Leiden: Brill, 2009), 53–94; Karel van der Toorn, </w:t>
      </w:r>
      <w:r w:rsidRPr="00040B61">
        <w:rPr>
          <w:i/>
          <w:iCs/>
          <w:sz w:val="24"/>
          <w:szCs w:val="24"/>
        </w:rPr>
        <w:t>Scribal Culture and the Making of the Hebrew Bible</w:t>
      </w:r>
      <w:r w:rsidRPr="00040B61">
        <w:rPr>
          <w:sz w:val="24"/>
          <w:szCs w:val="24"/>
        </w:rPr>
        <w:t xml:space="preserve"> (Cambridge: Harvard University Press, 2007), 1–8.</w:t>
      </w:r>
    </w:p>
  </w:footnote>
  <w:footnote w:id="14">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Hezser, </w:t>
      </w:r>
      <w:r w:rsidRPr="00040B61">
        <w:rPr>
          <w:i/>
          <w:iCs/>
          <w:sz w:val="24"/>
          <w:szCs w:val="24"/>
        </w:rPr>
        <w:t>Jewish Literacy</w:t>
      </w:r>
      <w:r w:rsidRPr="00040B61">
        <w:rPr>
          <w:sz w:val="24"/>
          <w:szCs w:val="24"/>
        </w:rPr>
        <w:t xml:space="preserve">, 40–68.  </w:t>
      </w:r>
      <w:r w:rsidRPr="00040B61">
        <w:rPr>
          <w:i/>
          <w:iCs/>
          <w:sz w:val="24"/>
          <w:szCs w:val="24"/>
        </w:rPr>
        <w:t>Contra</w:t>
      </w:r>
      <w:r w:rsidRPr="00040B61">
        <w:rPr>
          <w:sz w:val="24"/>
          <w:szCs w:val="24"/>
        </w:rPr>
        <w:t xml:space="preserve"> L&amp;N, 329.</w:t>
      </w:r>
    </w:p>
  </w:footnote>
  <w:footnote w:id="15">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van der Toorn, </w:t>
      </w:r>
      <w:r w:rsidRPr="00040B61">
        <w:rPr>
          <w:i/>
          <w:iCs/>
          <w:sz w:val="24"/>
          <w:szCs w:val="24"/>
        </w:rPr>
        <w:t>Scribal Culture</w:t>
      </w:r>
      <w:r w:rsidRPr="00040B61">
        <w:rPr>
          <w:sz w:val="24"/>
          <w:szCs w:val="24"/>
        </w:rPr>
        <w:t>, 24.  Thus, one must take Josephus’s claim for universal Jewish literacy (</w:t>
      </w:r>
      <w:r w:rsidRPr="00040B61">
        <w:rPr>
          <w:i/>
          <w:iCs/>
          <w:sz w:val="24"/>
          <w:szCs w:val="24"/>
        </w:rPr>
        <w:t>Ag. Ap.</w:t>
      </w:r>
      <w:r w:rsidRPr="00040B61">
        <w:rPr>
          <w:sz w:val="24"/>
          <w:szCs w:val="24"/>
        </w:rPr>
        <w:t xml:space="preserve"> 2.25 </w:t>
      </w:r>
      <w:r w:rsidRPr="00040B61">
        <w:rPr>
          <w:rFonts w:cs="Times New Roman"/>
          <w:sz w:val="24"/>
          <w:szCs w:val="24"/>
        </w:rPr>
        <w:t>§</w:t>
      </w:r>
      <w:r w:rsidRPr="00040B61">
        <w:rPr>
          <w:sz w:val="24"/>
          <w:szCs w:val="24"/>
        </w:rPr>
        <w:t xml:space="preserve">204) as “exaggerated apologetic” (James L. Crenshaw, </w:t>
      </w:r>
      <w:r w:rsidRPr="00040B61">
        <w:rPr>
          <w:i/>
          <w:iCs/>
          <w:sz w:val="24"/>
          <w:szCs w:val="24"/>
        </w:rPr>
        <w:t>Education in Ancient Israel: Across the Deadening Silence</w:t>
      </w:r>
      <w:r w:rsidRPr="00040B61">
        <w:rPr>
          <w:sz w:val="24"/>
          <w:szCs w:val="24"/>
        </w:rPr>
        <w:t xml:space="preserve"> [ABRL; New York: Doubleday, 1998], 6).</w:t>
      </w:r>
    </w:p>
  </w:footnote>
  <w:footnote w:id="16">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Pesch, </w:t>
      </w:r>
      <w:r w:rsidRPr="00040B61">
        <w:rPr>
          <w:i/>
          <w:iCs/>
          <w:sz w:val="24"/>
          <w:szCs w:val="24"/>
        </w:rPr>
        <w:t>Apostelgeschichte</w:t>
      </w:r>
      <w:r w:rsidRPr="00040B61">
        <w:rPr>
          <w:sz w:val="24"/>
          <w:szCs w:val="24"/>
        </w:rPr>
        <w:t xml:space="preserve">, 167 (emphasis added).  Johannes Munck, </w:t>
      </w:r>
      <w:r w:rsidRPr="00040B61">
        <w:rPr>
          <w:i/>
          <w:sz w:val="24"/>
          <w:szCs w:val="24"/>
        </w:rPr>
        <w:t>The Acts of the Apostles</w:t>
      </w:r>
      <w:r w:rsidRPr="00040B61">
        <w:rPr>
          <w:sz w:val="24"/>
          <w:szCs w:val="24"/>
        </w:rPr>
        <w:t xml:space="preserve"> (rev. by William F. Albright and C. S. Mann; AB 31; Garden City: Doubleday, 1967), 34, is thus correct to interpret the Sanhedrin’s description of Peter and John as </w:t>
      </w:r>
      <w:r w:rsidRPr="00040B61">
        <w:rPr>
          <w:rFonts w:cs="Times New Roman"/>
          <w:sz w:val="24"/>
          <w:szCs w:val="24"/>
        </w:rPr>
        <w:t xml:space="preserve">“unlearned in the Law,” as is Barrett, </w:t>
      </w:r>
      <w:r w:rsidRPr="00040B61">
        <w:rPr>
          <w:rFonts w:cs="Times New Roman"/>
          <w:i/>
          <w:iCs/>
          <w:sz w:val="24"/>
          <w:szCs w:val="24"/>
        </w:rPr>
        <w:t>Acts</w:t>
      </w:r>
      <w:r w:rsidRPr="00040B61">
        <w:rPr>
          <w:rFonts w:cs="Times New Roman"/>
          <w:sz w:val="24"/>
          <w:szCs w:val="24"/>
        </w:rPr>
        <w:t>, 1.234, to interpret it as “without scribal training in the law.”</w:t>
      </w:r>
    </w:p>
  </w:footnote>
  <w:footnote w:id="17">
    <w:p w:rsidR="00E1054C" w:rsidRPr="00040B61" w:rsidRDefault="00E1054C" w:rsidP="001866F1">
      <w:pPr>
        <w:pStyle w:val="FootnoteText"/>
        <w:spacing w:line="480" w:lineRule="auto"/>
        <w:ind w:firstLine="720"/>
        <w:rPr>
          <w:rFonts w:asciiTheme="majorBidi" w:hAnsiTheme="majorBidi" w:cstheme="majorBidi"/>
          <w:sz w:val="24"/>
          <w:szCs w:val="24"/>
        </w:rPr>
      </w:pPr>
      <w:r w:rsidRPr="00040B61">
        <w:rPr>
          <w:rStyle w:val="FootnoteReference"/>
          <w:sz w:val="24"/>
          <w:szCs w:val="24"/>
        </w:rPr>
        <w:footnoteRef/>
      </w:r>
      <w:r w:rsidRPr="00040B61">
        <w:rPr>
          <w:sz w:val="24"/>
          <w:szCs w:val="24"/>
        </w:rPr>
        <w:t xml:space="preserve"> Keith, </w:t>
      </w:r>
      <w:r w:rsidRPr="00040B61">
        <w:rPr>
          <w:i/>
          <w:sz w:val="24"/>
          <w:szCs w:val="24"/>
        </w:rPr>
        <w:t>Jesus’ Literacy</w:t>
      </w:r>
      <w:r w:rsidRPr="00040B61">
        <w:rPr>
          <w:sz w:val="24"/>
          <w:szCs w:val="24"/>
        </w:rPr>
        <w:t>, 110.  Thus, when I refer here to “scribal” authority, status, or class, I refer to possessors of scribal literacy, not necessarily scribes (</w:t>
      </w:r>
      <w:r w:rsidR="001866F1">
        <w:rPr>
          <w:rFonts w:ascii="SBL Greek" w:hAnsi="SBL Greek"/>
          <w:sz w:val="24"/>
          <w:szCs w:val="24"/>
          <w:lang w:val="el-GR"/>
        </w:rPr>
        <w:t>γραμματεῖς</w:t>
      </w:r>
      <w:r w:rsidRPr="00040B61">
        <w:rPr>
          <w:rFonts w:asciiTheme="majorBidi" w:hAnsiTheme="majorBidi" w:cstheme="majorBidi"/>
          <w:sz w:val="24"/>
          <w:szCs w:val="24"/>
        </w:rPr>
        <w:t>) in particular, though they also, obviously, possessed scribal literacy.</w:t>
      </w:r>
    </w:p>
  </w:footnote>
  <w:footnote w:id="18">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Keith, </w:t>
      </w:r>
      <w:r w:rsidRPr="00040B61">
        <w:rPr>
          <w:i/>
          <w:sz w:val="24"/>
          <w:szCs w:val="24"/>
        </w:rPr>
        <w:t>Jesus’ Literacy</w:t>
      </w:r>
      <w:r w:rsidRPr="00040B61">
        <w:rPr>
          <w:sz w:val="24"/>
          <w:szCs w:val="24"/>
        </w:rPr>
        <w:t>, 110–</w:t>
      </w:r>
      <w:r w:rsidR="001E7293">
        <w:rPr>
          <w:sz w:val="24"/>
          <w:szCs w:val="24"/>
        </w:rPr>
        <w:t xml:space="preserve">11.  Hezser argues </w:t>
      </w:r>
      <w:r w:rsidRPr="00040B61">
        <w:rPr>
          <w:sz w:val="24"/>
          <w:szCs w:val="24"/>
        </w:rPr>
        <w:t xml:space="preserve">that Jewish primary education focused upon Torah-reading abilities with writing reserved for later specialized training for scribes (Hezser, </w:t>
      </w:r>
      <w:r w:rsidRPr="00040B61">
        <w:rPr>
          <w:i/>
          <w:sz w:val="24"/>
          <w:szCs w:val="24"/>
        </w:rPr>
        <w:t>Jewish Literacy</w:t>
      </w:r>
      <w:r w:rsidRPr="00040B61">
        <w:rPr>
          <w:sz w:val="24"/>
          <w:szCs w:val="24"/>
        </w:rPr>
        <w:t xml:space="preserve">, 88; Catherine Hezser, “Private and Public Education,” </w:t>
      </w:r>
      <w:r w:rsidRPr="00040B61">
        <w:rPr>
          <w:i/>
          <w:sz w:val="24"/>
          <w:szCs w:val="24"/>
        </w:rPr>
        <w:t>OHJDL</w:t>
      </w:r>
      <w:r w:rsidRPr="00040B61">
        <w:rPr>
          <w:sz w:val="24"/>
          <w:szCs w:val="24"/>
        </w:rPr>
        <w:t xml:space="preserve"> 471).</w:t>
      </w:r>
    </w:p>
  </w:footnote>
  <w:footnote w:id="19">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Commentators who describe the disciples hyperbolically as “rude and barbarous creatures” or “mere country bumpkins” in the eyes of the Sanhedrin are thus not entirely distant from the correct sentiment (Richard I. Pervo, </w:t>
      </w:r>
      <w:r w:rsidRPr="00040B61">
        <w:rPr>
          <w:i/>
          <w:iCs/>
          <w:sz w:val="24"/>
          <w:szCs w:val="24"/>
        </w:rPr>
        <w:t>Acts: A Commentary</w:t>
      </w:r>
      <w:r w:rsidRPr="00040B61">
        <w:rPr>
          <w:sz w:val="24"/>
          <w:szCs w:val="24"/>
        </w:rPr>
        <w:t xml:space="preserve"> [Hermenia; Minneapolis: Fortress, 2009], 117; Gerhard A. Krodel, </w:t>
      </w:r>
      <w:r w:rsidRPr="00040B61">
        <w:rPr>
          <w:i/>
          <w:iCs/>
          <w:sz w:val="24"/>
          <w:szCs w:val="24"/>
        </w:rPr>
        <w:t>Acts</w:t>
      </w:r>
      <w:r w:rsidRPr="00040B61">
        <w:rPr>
          <w:sz w:val="24"/>
          <w:szCs w:val="24"/>
        </w:rPr>
        <w:t xml:space="preserve"> [ACNT; Minneapolis: Ausburg, 1986], 111; respectively).</w:t>
      </w:r>
    </w:p>
  </w:footnote>
  <w:footnote w:id="20">
    <w:p w:rsidR="00E1054C" w:rsidRPr="00040B61" w:rsidRDefault="00E1054C" w:rsidP="009E0558">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w:t>
      </w:r>
      <w:r w:rsidRPr="00040B61">
        <w:rPr>
          <w:rFonts w:cs="Times New Roman"/>
          <w:sz w:val="24"/>
          <w:szCs w:val="24"/>
        </w:rPr>
        <w:t xml:space="preserve">Luke elsewhere uses </w:t>
      </w:r>
      <w:r w:rsidR="009E0558">
        <w:rPr>
          <w:rFonts w:ascii="SBL Greek" w:hAnsi="SBL Greek" w:cs="Times New Roman"/>
          <w:sz w:val="24"/>
          <w:szCs w:val="24"/>
        </w:rPr>
        <w:t>ἐ</w:t>
      </w:r>
      <w:r w:rsidR="009E0558">
        <w:rPr>
          <w:rFonts w:ascii="SBL Greek" w:hAnsi="SBL Greek" w:cs="Times New Roman"/>
          <w:sz w:val="24"/>
          <w:szCs w:val="24"/>
          <w:lang w:val="el-GR"/>
        </w:rPr>
        <w:t>ξίστημι</w:t>
      </w:r>
      <w:r w:rsidRPr="00040B61">
        <w:rPr>
          <w:rFonts w:ascii="Bwgrkl" w:hAnsi="Bwgrkl" w:cs="Times New Roman"/>
          <w:sz w:val="24"/>
          <w:szCs w:val="24"/>
        </w:rPr>
        <w:t xml:space="preserve"> </w:t>
      </w:r>
      <w:r w:rsidRPr="00040B61">
        <w:rPr>
          <w:rFonts w:cs="Times New Roman"/>
          <w:sz w:val="24"/>
          <w:szCs w:val="24"/>
        </w:rPr>
        <w:t xml:space="preserve">(Luke 2:47) and </w:t>
      </w:r>
      <w:r w:rsidR="009E0558">
        <w:rPr>
          <w:rFonts w:ascii="SBL Greek" w:hAnsi="SBL Greek" w:cs="Times New Roman"/>
          <w:sz w:val="24"/>
          <w:szCs w:val="24"/>
        </w:rPr>
        <w:t>ἐ</w:t>
      </w:r>
      <w:r w:rsidR="009E0558">
        <w:rPr>
          <w:rFonts w:ascii="SBL Greek" w:hAnsi="SBL Greek" w:cs="Times New Roman"/>
          <w:sz w:val="24"/>
          <w:szCs w:val="24"/>
          <w:lang w:val="el-GR"/>
        </w:rPr>
        <w:t>κπλήσσω</w:t>
      </w:r>
      <w:r w:rsidRPr="00040B61">
        <w:rPr>
          <w:rFonts w:ascii="Bwgrkl" w:hAnsi="Bwgrkl" w:cs="Times New Roman"/>
          <w:sz w:val="24"/>
          <w:szCs w:val="24"/>
        </w:rPr>
        <w:t xml:space="preserve"> </w:t>
      </w:r>
      <w:r w:rsidRPr="00040B61">
        <w:rPr>
          <w:rFonts w:cs="Times New Roman"/>
          <w:sz w:val="24"/>
          <w:szCs w:val="24"/>
        </w:rPr>
        <w:t>(Luke 2:48).</w:t>
      </w:r>
    </w:p>
  </w:footnote>
  <w:footnote w:id="21">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Luke Timothy Johnson, </w:t>
      </w:r>
      <w:r w:rsidRPr="00040B61">
        <w:rPr>
          <w:i/>
          <w:iCs/>
          <w:sz w:val="24"/>
          <w:szCs w:val="24"/>
        </w:rPr>
        <w:t>The Writings of the New Testament</w:t>
      </w:r>
      <w:r w:rsidRPr="00040B61">
        <w:rPr>
          <w:sz w:val="24"/>
          <w:szCs w:val="24"/>
        </w:rPr>
        <w:t xml:space="preserve"> (3d ed.; Minneapolis: Fortress, 2010), 193:  “Events in Acts clearly parallel those of the Gospel.”</w:t>
      </w:r>
    </w:p>
  </w:footnote>
  <w:footnote w:id="22">
    <w:p w:rsidR="00E1054C" w:rsidRPr="00040B61" w:rsidRDefault="00E1054C" w:rsidP="00040B61">
      <w:pPr>
        <w:pStyle w:val="FootnoteText"/>
        <w:spacing w:line="480" w:lineRule="auto"/>
        <w:ind w:firstLine="720"/>
        <w:rPr>
          <w:rFonts w:cs="Times New Roman"/>
          <w:sz w:val="24"/>
          <w:szCs w:val="24"/>
        </w:rPr>
      </w:pPr>
      <w:r w:rsidRPr="00040B61">
        <w:rPr>
          <w:rStyle w:val="FootnoteReference"/>
          <w:sz w:val="24"/>
          <w:szCs w:val="24"/>
        </w:rPr>
        <w:footnoteRef/>
      </w:r>
      <w:r w:rsidRPr="00040B61">
        <w:rPr>
          <w:sz w:val="24"/>
          <w:szCs w:val="24"/>
        </w:rPr>
        <w:t xml:space="preserve"> Barrett, </w:t>
      </w:r>
      <w:r w:rsidRPr="00040B61">
        <w:rPr>
          <w:i/>
          <w:iCs/>
          <w:sz w:val="24"/>
          <w:szCs w:val="24"/>
        </w:rPr>
        <w:t>Acts</w:t>
      </w:r>
      <w:r w:rsidRPr="00040B61">
        <w:rPr>
          <w:sz w:val="24"/>
          <w:szCs w:val="24"/>
        </w:rPr>
        <w:t>, 1.234, aptly notes that here Luke says two things ([1] the Sanhedrin recognized the disciples and [2] recognized that they were companions of Jesus), which grammatically “he runs into each other.”</w:t>
      </w:r>
    </w:p>
  </w:footnote>
  <w:footnote w:id="23">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Longenecker, </w:t>
      </w:r>
      <w:r w:rsidRPr="00040B61">
        <w:rPr>
          <w:i/>
          <w:sz w:val="24"/>
          <w:szCs w:val="24"/>
        </w:rPr>
        <w:t>Acts</w:t>
      </w:r>
      <w:r w:rsidRPr="00040B61">
        <w:rPr>
          <w:sz w:val="24"/>
          <w:szCs w:val="24"/>
        </w:rPr>
        <w:t xml:space="preserve">, 102.  Similarly, Bruce, </w:t>
      </w:r>
      <w:r w:rsidRPr="00040B61">
        <w:rPr>
          <w:i/>
          <w:iCs/>
          <w:sz w:val="24"/>
          <w:szCs w:val="24"/>
        </w:rPr>
        <w:t>Acts</w:t>
      </w:r>
      <w:r w:rsidRPr="00040B61">
        <w:rPr>
          <w:sz w:val="24"/>
          <w:szCs w:val="24"/>
        </w:rPr>
        <w:t>, 153.</w:t>
      </w:r>
    </w:p>
  </w:footnote>
  <w:footnote w:id="24">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William J. Larkin Jr., </w:t>
      </w:r>
      <w:r w:rsidRPr="00040B61">
        <w:rPr>
          <w:i/>
          <w:sz w:val="24"/>
          <w:szCs w:val="24"/>
        </w:rPr>
        <w:t>Acts</w:t>
      </w:r>
      <w:r w:rsidRPr="00040B61">
        <w:rPr>
          <w:sz w:val="24"/>
          <w:szCs w:val="24"/>
        </w:rPr>
        <w:t xml:space="preserve"> (IVPNTCS 5; Downers Grove: InterVarsity, 1995), 75.</w:t>
      </w:r>
    </w:p>
  </w:footnote>
  <w:footnote w:id="25">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Johnson, </w:t>
      </w:r>
      <w:r w:rsidRPr="00040B61">
        <w:rPr>
          <w:i/>
          <w:sz w:val="24"/>
          <w:szCs w:val="24"/>
        </w:rPr>
        <w:t>Acts</w:t>
      </w:r>
      <w:r w:rsidRPr="00040B61">
        <w:rPr>
          <w:sz w:val="24"/>
          <w:szCs w:val="24"/>
        </w:rPr>
        <w:t>, 81.</w:t>
      </w:r>
    </w:p>
  </w:footnote>
  <w:footnote w:id="26">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Cf. Pesch, </w:t>
      </w:r>
      <w:r w:rsidRPr="00040B61">
        <w:rPr>
          <w:i/>
          <w:iCs/>
          <w:sz w:val="24"/>
          <w:szCs w:val="24"/>
        </w:rPr>
        <w:t>Apostelgeschichte</w:t>
      </w:r>
      <w:r w:rsidRPr="00040B61">
        <w:rPr>
          <w:sz w:val="24"/>
          <w:szCs w:val="24"/>
        </w:rPr>
        <w:t xml:space="preserve">, 167–8, who, instead of noting a shared social status between the disciples and Jesus in Acts 4:13b, takes the verse to indicate their sharing in his authority:  “Mit der Bemerkung, daß die Apostel als (frühere) </w:t>
      </w:r>
      <w:r w:rsidRPr="00040B61">
        <w:rPr>
          <w:i/>
          <w:iCs/>
          <w:sz w:val="24"/>
          <w:szCs w:val="24"/>
        </w:rPr>
        <w:t>Begleiter</w:t>
      </w:r>
      <w:r w:rsidRPr="00040B61">
        <w:rPr>
          <w:sz w:val="24"/>
          <w:szCs w:val="24"/>
        </w:rPr>
        <w:t xml:space="preserve"> Jesu . . . wiedererkannt werden, ist angedeutet, daß sie die Sache Jesu vertreten und nicht in eigenem Namen auftreten und reden” (emphasis original).</w:t>
      </w:r>
    </w:p>
  </w:footnote>
  <w:footnote w:id="27">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Bruce, </w:t>
      </w:r>
      <w:r w:rsidRPr="00040B61">
        <w:rPr>
          <w:i/>
          <w:iCs/>
          <w:sz w:val="24"/>
          <w:szCs w:val="24"/>
        </w:rPr>
        <w:t>Acts</w:t>
      </w:r>
      <w:r w:rsidRPr="00040B61">
        <w:rPr>
          <w:sz w:val="24"/>
          <w:szCs w:val="24"/>
        </w:rPr>
        <w:t>, 153 (who also appeals to Mark 1:22); Kraus, “Uneducated,” 154; Unknown, “Comparative Translations,” 49n.1.</w:t>
      </w:r>
    </w:p>
  </w:footnote>
  <w:footnote w:id="28">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See further Chris Keith, “The Claim of John 7:15 and the Memory of Jesus’ Literacy,” </w:t>
      </w:r>
      <w:r w:rsidRPr="00040B61">
        <w:rPr>
          <w:i/>
          <w:iCs/>
          <w:sz w:val="24"/>
          <w:szCs w:val="24"/>
        </w:rPr>
        <w:t>NTS</w:t>
      </w:r>
      <w:r w:rsidRPr="00040B61">
        <w:rPr>
          <w:sz w:val="24"/>
          <w:szCs w:val="24"/>
        </w:rPr>
        <w:t xml:space="preserve"> 56.1 (2010): 44–63.</w:t>
      </w:r>
    </w:p>
  </w:footnote>
  <w:footnote w:id="29">
    <w:p w:rsidR="00E1054C" w:rsidRPr="00040B61" w:rsidRDefault="00E1054C" w:rsidP="00040B61">
      <w:pPr>
        <w:pStyle w:val="FootnoteText"/>
        <w:spacing w:line="480" w:lineRule="auto"/>
        <w:ind w:firstLine="720"/>
        <w:rPr>
          <w:sz w:val="24"/>
          <w:szCs w:val="24"/>
          <w:lang w:val="en-US"/>
        </w:rPr>
      </w:pPr>
      <w:r w:rsidRPr="00040B61">
        <w:rPr>
          <w:rStyle w:val="FootnoteReference"/>
          <w:sz w:val="24"/>
          <w:szCs w:val="24"/>
        </w:rPr>
        <w:footnoteRef/>
      </w:r>
      <w:r w:rsidRPr="00040B61">
        <w:rPr>
          <w:sz w:val="24"/>
          <w:szCs w:val="24"/>
        </w:rPr>
        <w:t xml:space="preserve"> Bruce, </w:t>
      </w:r>
      <w:r w:rsidRPr="00040B61">
        <w:rPr>
          <w:i/>
          <w:sz w:val="24"/>
          <w:szCs w:val="24"/>
        </w:rPr>
        <w:t>Acts</w:t>
      </w:r>
      <w:r w:rsidRPr="00040B61">
        <w:rPr>
          <w:sz w:val="24"/>
          <w:szCs w:val="24"/>
        </w:rPr>
        <w:t xml:space="preserve">, 153; Longenecker, </w:t>
      </w:r>
      <w:r w:rsidRPr="00040B61">
        <w:rPr>
          <w:i/>
          <w:sz w:val="24"/>
          <w:szCs w:val="24"/>
        </w:rPr>
        <w:t>Acts</w:t>
      </w:r>
      <w:r w:rsidRPr="00040B61">
        <w:rPr>
          <w:sz w:val="24"/>
          <w:szCs w:val="24"/>
        </w:rPr>
        <w:t>, 102.</w:t>
      </w:r>
    </w:p>
  </w:footnote>
  <w:footnote w:id="30">
    <w:p w:rsidR="00E1054C" w:rsidRPr="00040B61" w:rsidRDefault="00E1054C" w:rsidP="009E0558">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This section d</w:t>
      </w:r>
      <w:r w:rsidR="009E0558">
        <w:rPr>
          <w:sz w:val="24"/>
          <w:szCs w:val="24"/>
        </w:rPr>
        <w:t xml:space="preserve">raws upon Keith, </w:t>
      </w:r>
      <w:r w:rsidR="009E0558">
        <w:rPr>
          <w:i/>
          <w:iCs/>
          <w:sz w:val="24"/>
          <w:szCs w:val="24"/>
        </w:rPr>
        <w:t>Jesus’ Literacy</w:t>
      </w:r>
      <w:r w:rsidR="009E0558">
        <w:rPr>
          <w:sz w:val="24"/>
          <w:szCs w:val="24"/>
        </w:rPr>
        <w:t>, 124–46.</w:t>
      </w:r>
    </w:p>
  </w:footnote>
  <w:footnote w:id="31">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Here and throughout I assume Markan priority.  When Luke redacts texts that appear in both Mark’s Gospel and Matthew’s Gospel, whether he is primarily reflective of one over the other has no bearing upon my present argument.  I will thus focus upon the manners in which he differs from and agrees with Mark’s Gospel. </w:t>
      </w:r>
    </w:p>
  </w:footnote>
  <w:footnote w:id="32">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Vincent Taylor, </w:t>
      </w:r>
      <w:r w:rsidRPr="00040B61">
        <w:rPr>
          <w:i/>
          <w:iCs/>
          <w:sz w:val="24"/>
          <w:szCs w:val="24"/>
        </w:rPr>
        <w:t>The Gospel according to St. Mark</w:t>
      </w:r>
      <w:r w:rsidRPr="00040B61">
        <w:rPr>
          <w:sz w:val="24"/>
          <w:szCs w:val="24"/>
        </w:rPr>
        <w:t xml:space="preserve"> (London: Macmillan, 1963), 12; also, Norval Geldenhuys, </w:t>
      </w:r>
      <w:r w:rsidRPr="00040B61">
        <w:rPr>
          <w:i/>
          <w:iCs/>
          <w:sz w:val="24"/>
          <w:szCs w:val="24"/>
        </w:rPr>
        <w:t>The Gospel of Luke</w:t>
      </w:r>
      <w:r w:rsidRPr="00040B61">
        <w:rPr>
          <w:sz w:val="24"/>
          <w:szCs w:val="24"/>
        </w:rPr>
        <w:t xml:space="preserve"> (NICNT; Grand Rapids: Eerdmans, 1951), 169, in reference to the Lukan parallel (Luke 4:32).</w:t>
      </w:r>
    </w:p>
  </w:footnote>
  <w:footnote w:id="33">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R. T. France, </w:t>
      </w:r>
      <w:r w:rsidRPr="00040B61">
        <w:rPr>
          <w:i/>
          <w:iCs/>
          <w:sz w:val="24"/>
          <w:szCs w:val="24"/>
        </w:rPr>
        <w:t>The Gospel of Mark</w:t>
      </w:r>
      <w:r w:rsidRPr="00040B61">
        <w:rPr>
          <w:sz w:val="24"/>
          <w:szCs w:val="24"/>
        </w:rPr>
        <w:t xml:space="preserve"> (NICNT; Grand Rapids: Eerdmans, 2002), 102.</w:t>
      </w:r>
    </w:p>
  </w:footnote>
  <w:footnote w:id="34">
    <w:p w:rsidR="00E1054C" w:rsidRPr="00040B61" w:rsidRDefault="00E1054C" w:rsidP="00D20324">
      <w:pPr>
        <w:pStyle w:val="FootnoteText"/>
        <w:spacing w:line="480" w:lineRule="auto"/>
        <w:ind w:firstLine="720"/>
        <w:rPr>
          <w:rFonts w:asciiTheme="majorBidi" w:hAnsiTheme="majorBidi" w:cstheme="majorBidi"/>
          <w:sz w:val="24"/>
          <w:szCs w:val="24"/>
        </w:rPr>
      </w:pPr>
      <w:r w:rsidRPr="00040B61">
        <w:rPr>
          <w:rStyle w:val="FootnoteReference"/>
          <w:sz w:val="24"/>
          <w:szCs w:val="24"/>
        </w:rPr>
        <w:footnoteRef/>
      </w:r>
      <w:r w:rsidRPr="00040B61">
        <w:rPr>
          <w:sz w:val="24"/>
          <w:szCs w:val="24"/>
        </w:rPr>
        <w:t xml:space="preserve"> Luke also repeats the periphrastic </w:t>
      </w:r>
      <w:r w:rsidR="00D20324">
        <w:rPr>
          <w:rFonts w:ascii="SBL Greek" w:hAnsi="SBL Greek"/>
          <w:sz w:val="24"/>
          <w:szCs w:val="24"/>
        </w:rPr>
        <w:t>ἦ</w:t>
      </w:r>
      <w:r w:rsidR="00D20324">
        <w:rPr>
          <w:rFonts w:ascii="SBL Greek" w:hAnsi="SBL Greek"/>
          <w:sz w:val="24"/>
          <w:szCs w:val="24"/>
          <w:lang w:val="el-GR"/>
        </w:rPr>
        <w:t>ν</w:t>
      </w:r>
      <w:r w:rsidR="00D20324" w:rsidRPr="00D20324">
        <w:rPr>
          <w:rFonts w:ascii="SBL Greek" w:hAnsi="SBL Greek"/>
          <w:sz w:val="24"/>
          <w:szCs w:val="24"/>
        </w:rPr>
        <w:t xml:space="preserve"> </w:t>
      </w:r>
      <w:r w:rsidR="00D20324">
        <w:rPr>
          <w:rFonts w:ascii="SBL Greek" w:hAnsi="SBL Greek"/>
          <w:sz w:val="24"/>
          <w:szCs w:val="24"/>
          <w:lang w:val="el-GR"/>
        </w:rPr>
        <w:t>διδάσκων</w:t>
      </w:r>
      <w:r w:rsidRPr="00040B61">
        <w:rPr>
          <w:rFonts w:ascii="Bwgrkl" w:hAnsi="Bwgrkl"/>
          <w:sz w:val="24"/>
          <w:szCs w:val="24"/>
        </w:rPr>
        <w:t xml:space="preserve"> </w:t>
      </w:r>
      <w:r w:rsidRPr="00040B61">
        <w:rPr>
          <w:rFonts w:asciiTheme="majorBidi" w:hAnsiTheme="majorBidi" w:cstheme="majorBidi"/>
          <w:sz w:val="24"/>
          <w:szCs w:val="24"/>
        </w:rPr>
        <w:t>(“he was teaching”; Mark 1:22//Matt 7:29) but moves it to the prior sentence (Luke 4:31).</w:t>
      </w:r>
    </w:p>
  </w:footnote>
  <w:footnote w:id="35">
    <w:p w:rsidR="00E1054C" w:rsidRPr="00040B61" w:rsidRDefault="00E1054C" w:rsidP="00040B61">
      <w:pPr>
        <w:pStyle w:val="FootnoteText"/>
        <w:spacing w:line="480" w:lineRule="auto"/>
        <w:ind w:firstLine="720"/>
        <w:rPr>
          <w:smallCaps/>
          <w:sz w:val="24"/>
          <w:szCs w:val="24"/>
        </w:rPr>
      </w:pPr>
      <w:r w:rsidRPr="00040B61">
        <w:rPr>
          <w:rStyle w:val="FootnoteReference"/>
          <w:sz w:val="24"/>
          <w:szCs w:val="24"/>
        </w:rPr>
        <w:footnoteRef/>
      </w:r>
      <w:r w:rsidRPr="00040B61">
        <w:rPr>
          <w:sz w:val="24"/>
          <w:szCs w:val="24"/>
        </w:rPr>
        <w:t xml:space="preserve"> Eduard Schweizer, </w:t>
      </w:r>
      <w:r w:rsidRPr="00040B61">
        <w:rPr>
          <w:i/>
          <w:iCs/>
          <w:sz w:val="24"/>
          <w:szCs w:val="24"/>
        </w:rPr>
        <w:t>The Good News according to Luke</w:t>
      </w:r>
      <w:r w:rsidRPr="00040B61">
        <w:rPr>
          <w:sz w:val="24"/>
          <w:szCs w:val="24"/>
        </w:rPr>
        <w:t xml:space="preserve"> (trans. David E. Green; London: SPC</w:t>
      </w:r>
      <w:r w:rsidRPr="00040B61">
        <w:rPr>
          <w:smallCaps/>
          <w:sz w:val="24"/>
          <w:szCs w:val="24"/>
        </w:rPr>
        <w:t>K, 1984), 99.</w:t>
      </w:r>
    </w:p>
  </w:footnote>
  <w:footnote w:id="36">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Joseph A. Fitzmyer, </w:t>
      </w:r>
      <w:r w:rsidRPr="00040B61">
        <w:rPr>
          <w:i/>
          <w:iCs/>
          <w:sz w:val="24"/>
          <w:szCs w:val="24"/>
        </w:rPr>
        <w:t xml:space="preserve">The Gospel according to Luke I–IX </w:t>
      </w:r>
      <w:r w:rsidRPr="00040B61">
        <w:rPr>
          <w:sz w:val="24"/>
          <w:szCs w:val="24"/>
        </w:rPr>
        <w:t>(AB 28; Garden City: Doubleday, 1981), 544.</w:t>
      </w:r>
    </w:p>
  </w:footnote>
  <w:footnote w:id="37">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M.-J. Lagrange, </w:t>
      </w:r>
      <w:r w:rsidRPr="00040B61">
        <w:rPr>
          <w:i/>
          <w:iCs/>
          <w:sz w:val="24"/>
          <w:szCs w:val="24"/>
        </w:rPr>
        <w:t>Évangile selon Saint Luc</w:t>
      </w:r>
      <w:r w:rsidRPr="00040B61">
        <w:rPr>
          <w:sz w:val="24"/>
          <w:szCs w:val="24"/>
        </w:rPr>
        <w:t xml:space="preserve"> (7</w:t>
      </w:r>
      <w:r w:rsidRPr="00040B61">
        <w:rPr>
          <w:sz w:val="24"/>
          <w:szCs w:val="24"/>
          <w:vertAlign w:val="superscript"/>
        </w:rPr>
        <w:t>th</w:t>
      </w:r>
      <w:r w:rsidRPr="00040B61">
        <w:rPr>
          <w:sz w:val="24"/>
          <w:szCs w:val="24"/>
        </w:rPr>
        <w:t xml:space="preserve"> ed.; </w:t>
      </w:r>
      <w:r w:rsidRPr="00040B61">
        <w:rPr>
          <w:i/>
          <w:iCs/>
          <w:sz w:val="24"/>
          <w:szCs w:val="24"/>
        </w:rPr>
        <w:t>EBib</w:t>
      </w:r>
      <w:r w:rsidRPr="00040B61">
        <w:rPr>
          <w:sz w:val="24"/>
          <w:szCs w:val="24"/>
        </w:rPr>
        <w:t xml:space="preserve">; Paris: J. Gabalda, 1948), 149. </w:t>
      </w:r>
      <w:r w:rsidRPr="00040B61">
        <w:rPr>
          <w:sz w:val="24"/>
          <w:szCs w:val="24"/>
        </w:rPr>
        <w:tab/>
      </w:r>
    </w:p>
  </w:footnote>
  <w:footnote w:id="38">
    <w:p w:rsidR="00E1054C" w:rsidRPr="00040B61" w:rsidRDefault="00E1054C" w:rsidP="00D20324">
      <w:pPr>
        <w:pStyle w:val="FootnoteText"/>
        <w:spacing w:line="480" w:lineRule="auto"/>
        <w:ind w:firstLine="720"/>
        <w:rPr>
          <w:rFonts w:asciiTheme="majorBidi" w:hAnsiTheme="majorBidi" w:cstheme="majorBidi"/>
          <w:sz w:val="24"/>
          <w:szCs w:val="24"/>
        </w:rPr>
      </w:pPr>
      <w:r w:rsidRPr="00040B61">
        <w:rPr>
          <w:rStyle w:val="FootnoteReference"/>
          <w:sz w:val="24"/>
          <w:szCs w:val="24"/>
        </w:rPr>
        <w:footnoteRef/>
      </w:r>
      <w:r w:rsidRPr="00040B61">
        <w:rPr>
          <w:sz w:val="24"/>
          <w:szCs w:val="24"/>
        </w:rPr>
        <w:t xml:space="preserve"> Luke 5:21, 30; 6:7; 9:22; 11:53; 15:2; 19:47; 20:1, 19, 39, 46; 22:2, 66; 23:10; Acts 4:5; 6:12; 23:9.  An eighteenth occurrence of </w:t>
      </w:r>
      <w:r w:rsidR="00D20324">
        <w:rPr>
          <w:rFonts w:ascii="SBL Greek" w:hAnsi="SBL Greek"/>
          <w:sz w:val="24"/>
          <w:szCs w:val="24"/>
          <w:lang w:val="el-GR"/>
        </w:rPr>
        <w:t>γραμματεύς</w:t>
      </w:r>
      <w:r w:rsidRPr="00040B61">
        <w:rPr>
          <w:rFonts w:asciiTheme="majorBidi" w:hAnsiTheme="majorBidi" w:cstheme="majorBidi"/>
          <w:sz w:val="24"/>
          <w:szCs w:val="24"/>
        </w:rPr>
        <w:t xml:space="preserve"> occurs in Acts 19:35, but not in reference to a Torah scribe.</w:t>
      </w:r>
    </w:p>
  </w:footnote>
  <w:footnote w:id="39">
    <w:p w:rsidR="00E1054C" w:rsidRPr="00040B61" w:rsidRDefault="00E1054C" w:rsidP="001C215C">
      <w:pPr>
        <w:pStyle w:val="FootnoteText"/>
        <w:spacing w:line="480" w:lineRule="auto"/>
        <w:ind w:firstLine="720"/>
        <w:rPr>
          <w:rFonts w:asciiTheme="majorBidi" w:hAnsiTheme="majorBidi" w:cstheme="majorBidi"/>
          <w:sz w:val="24"/>
          <w:szCs w:val="24"/>
        </w:rPr>
      </w:pPr>
      <w:r w:rsidRPr="00040B61">
        <w:rPr>
          <w:rStyle w:val="FootnoteReference"/>
          <w:sz w:val="24"/>
          <w:szCs w:val="24"/>
        </w:rPr>
        <w:footnoteRef/>
      </w:r>
      <w:r w:rsidRPr="00040B61">
        <w:rPr>
          <w:sz w:val="24"/>
          <w:szCs w:val="24"/>
        </w:rPr>
        <w:t xml:space="preserve"> On the diversity of possible meanings for </w:t>
      </w:r>
      <w:r w:rsidR="001C215C">
        <w:rPr>
          <w:rFonts w:ascii="SBL Greek" w:hAnsi="SBL Greek"/>
          <w:sz w:val="24"/>
          <w:szCs w:val="24"/>
          <w:lang w:val="el-GR"/>
        </w:rPr>
        <w:t>τέκτων</w:t>
      </w:r>
      <w:r w:rsidRPr="00040B61">
        <w:rPr>
          <w:rFonts w:asciiTheme="majorBidi" w:hAnsiTheme="majorBidi" w:cstheme="majorBidi"/>
          <w:sz w:val="24"/>
          <w:szCs w:val="24"/>
        </w:rPr>
        <w:t xml:space="preserve">, see Keith, </w:t>
      </w:r>
      <w:r w:rsidRPr="00040B61">
        <w:rPr>
          <w:rFonts w:asciiTheme="majorBidi" w:hAnsiTheme="majorBidi" w:cstheme="majorBidi"/>
          <w:i/>
          <w:iCs/>
          <w:sz w:val="24"/>
          <w:szCs w:val="24"/>
        </w:rPr>
        <w:t>Jesus’ Literacy</w:t>
      </w:r>
      <w:r w:rsidRPr="00040B61">
        <w:rPr>
          <w:rFonts w:asciiTheme="majorBidi" w:hAnsiTheme="majorBidi" w:cstheme="majorBidi"/>
          <w:sz w:val="24"/>
          <w:szCs w:val="24"/>
        </w:rPr>
        <w:t>, 130–32.</w:t>
      </w:r>
    </w:p>
  </w:footnote>
  <w:footnote w:id="40">
    <w:p w:rsidR="00E1054C" w:rsidRPr="00040B61" w:rsidRDefault="00E1054C" w:rsidP="001C215C">
      <w:pPr>
        <w:pStyle w:val="FootnoteText"/>
        <w:spacing w:line="480" w:lineRule="auto"/>
        <w:ind w:firstLine="720"/>
        <w:rPr>
          <w:rFonts w:asciiTheme="majorBidi" w:hAnsiTheme="majorBidi" w:cstheme="majorBidi"/>
          <w:sz w:val="24"/>
          <w:szCs w:val="24"/>
        </w:rPr>
      </w:pPr>
      <w:r w:rsidRPr="00040B61">
        <w:rPr>
          <w:rStyle w:val="FootnoteReference"/>
          <w:sz w:val="24"/>
          <w:szCs w:val="24"/>
        </w:rPr>
        <w:footnoteRef/>
      </w:r>
      <w:r w:rsidRPr="00040B61">
        <w:rPr>
          <w:sz w:val="24"/>
          <w:szCs w:val="24"/>
        </w:rPr>
        <w:t xml:space="preserve"> In a similar move away from direct identification as a carpenter, Matt 13:55 has the audience identify Jesus as “the son of the carpenter.”  </w:t>
      </w:r>
      <w:r w:rsidR="00C8679A">
        <w:rPr>
          <w:rFonts w:ascii="Bwgrkl" w:hAnsi="Bwgrkl"/>
          <w:sz w:val="24"/>
          <w:szCs w:val="24"/>
        </w:rPr>
        <w:t>P</w:t>
      </w:r>
      <w:r w:rsidRPr="00040B61">
        <w:rPr>
          <w:sz w:val="24"/>
          <w:szCs w:val="24"/>
          <w:vertAlign w:val="superscript"/>
        </w:rPr>
        <w:t>45</w:t>
      </w:r>
      <w:r w:rsidRPr="00040B61">
        <w:rPr>
          <w:sz w:val="24"/>
          <w:szCs w:val="24"/>
        </w:rPr>
        <w:t xml:space="preserve"> substitutes the Matthean reading at Mark 6:3.  The sixth-century Palestinian Syriac tradition removes the reference to </w:t>
      </w:r>
      <w:r w:rsidR="001C215C">
        <w:rPr>
          <w:rFonts w:ascii="SBL Greek" w:hAnsi="SBL Greek"/>
          <w:sz w:val="24"/>
          <w:szCs w:val="24"/>
          <w:lang w:val="el-GR"/>
        </w:rPr>
        <w:t>τέκτων</w:t>
      </w:r>
      <w:r w:rsidR="001C215C" w:rsidRPr="00040B61">
        <w:rPr>
          <w:rFonts w:asciiTheme="majorBidi" w:hAnsiTheme="majorBidi" w:cstheme="majorBidi"/>
          <w:sz w:val="24"/>
          <w:szCs w:val="24"/>
        </w:rPr>
        <w:t xml:space="preserve"> </w:t>
      </w:r>
      <w:r w:rsidRPr="00040B61">
        <w:rPr>
          <w:rFonts w:asciiTheme="majorBidi" w:hAnsiTheme="majorBidi" w:cstheme="majorBidi"/>
          <w:sz w:val="24"/>
          <w:szCs w:val="24"/>
        </w:rPr>
        <w:t xml:space="preserve">altogether (Bruce M. Metzger, </w:t>
      </w:r>
      <w:r w:rsidRPr="00040B61">
        <w:rPr>
          <w:rFonts w:asciiTheme="majorBidi" w:hAnsiTheme="majorBidi" w:cstheme="majorBidi"/>
          <w:i/>
          <w:iCs/>
          <w:sz w:val="24"/>
          <w:szCs w:val="24"/>
        </w:rPr>
        <w:t>A Textual Commentary on the Greek New Testament</w:t>
      </w:r>
      <w:r w:rsidRPr="00040B61">
        <w:rPr>
          <w:rFonts w:asciiTheme="majorBidi" w:hAnsiTheme="majorBidi" w:cstheme="majorBidi"/>
          <w:sz w:val="24"/>
          <w:szCs w:val="24"/>
        </w:rPr>
        <w:t xml:space="preserve"> [2d ed.; Stuttgart: Deutsche Bibelgesellschaft, 2000], 76).</w:t>
      </w:r>
    </w:p>
  </w:footnote>
  <w:footnote w:id="41">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For Paul, the Pharisee, see </w:t>
      </w:r>
      <w:r w:rsidRPr="00040B61">
        <w:rPr>
          <w:rFonts w:asciiTheme="majorBidi" w:hAnsiTheme="majorBidi" w:cstheme="majorBidi"/>
          <w:sz w:val="24"/>
          <w:szCs w:val="24"/>
          <w:lang w:bidi="he-IL"/>
        </w:rPr>
        <w:t xml:space="preserve">1 Thess. 2:9; Acts 18:3; cf. Acts 20:34.  Josephus, </w:t>
      </w:r>
      <w:r w:rsidRPr="00040B61">
        <w:rPr>
          <w:rFonts w:asciiTheme="majorBidi" w:hAnsiTheme="majorBidi" w:cstheme="majorBidi"/>
          <w:i/>
          <w:iCs/>
          <w:sz w:val="24"/>
          <w:szCs w:val="24"/>
          <w:lang w:bidi="he-IL"/>
        </w:rPr>
        <w:t>Ant</w:t>
      </w:r>
      <w:r w:rsidRPr="00040B61">
        <w:rPr>
          <w:rFonts w:asciiTheme="majorBidi" w:hAnsiTheme="majorBidi" w:cstheme="majorBidi"/>
          <w:sz w:val="24"/>
          <w:szCs w:val="24"/>
          <w:lang w:bidi="he-IL"/>
        </w:rPr>
        <w:t xml:space="preserve">. 15.11.2 §390, mentions priests who were trained as carpenters and other artisans.  See also Philo’s descriptions of the Essenes in </w:t>
      </w:r>
      <w:r w:rsidRPr="00040B61">
        <w:rPr>
          <w:rFonts w:asciiTheme="majorBidi" w:hAnsiTheme="majorBidi" w:cstheme="majorBidi"/>
          <w:i/>
          <w:iCs/>
          <w:sz w:val="24"/>
          <w:szCs w:val="24"/>
          <w:lang w:bidi="he-IL"/>
        </w:rPr>
        <w:t>Prob.</w:t>
      </w:r>
      <w:r w:rsidRPr="00040B61">
        <w:rPr>
          <w:rFonts w:asciiTheme="majorBidi" w:hAnsiTheme="majorBidi" w:cstheme="majorBidi"/>
          <w:sz w:val="24"/>
          <w:szCs w:val="24"/>
          <w:lang w:bidi="he-IL"/>
        </w:rPr>
        <w:t xml:space="preserve"> 12.81–82; </w:t>
      </w:r>
      <w:r w:rsidRPr="00040B61">
        <w:rPr>
          <w:rFonts w:asciiTheme="majorBidi" w:hAnsiTheme="majorBidi" w:cstheme="majorBidi"/>
          <w:i/>
          <w:iCs/>
          <w:sz w:val="24"/>
          <w:szCs w:val="24"/>
          <w:lang w:bidi="he-IL"/>
        </w:rPr>
        <w:t>Hypoth</w:t>
      </w:r>
      <w:r w:rsidRPr="00040B61">
        <w:rPr>
          <w:rFonts w:asciiTheme="majorBidi" w:hAnsiTheme="majorBidi" w:cstheme="majorBidi"/>
          <w:sz w:val="24"/>
          <w:szCs w:val="24"/>
          <w:lang w:bidi="he-IL"/>
        </w:rPr>
        <w:t xml:space="preserve">. 11.6–9; as well as </w:t>
      </w:r>
      <w:r w:rsidRPr="00040B61">
        <w:rPr>
          <w:rFonts w:asciiTheme="majorBidi" w:eastAsia="SabonMTPro-Italic" w:hAnsiTheme="majorBidi" w:cstheme="majorBidi"/>
          <w:i/>
          <w:iCs/>
          <w:sz w:val="24"/>
          <w:szCs w:val="24"/>
          <w:lang w:bidi="he-IL"/>
        </w:rPr>
        <w:t xml:space="preserve">m. </w:t>
      </w:r>
      <w:r w:rsidRPr="00040B61">
        <w:rPr>
          <w:rFonts w:asciiTheme="majorBidi" w:hAnsiTheme="majorBidi" w:cstheme="majorBidi"/>
          <w:i/>
          <w:iCs/>
          <w:sz w:val="24"/>
          <w:szCs w:val="24"/>
          <w:lang w:bidi="he-IL"/>
        </w:rPr>
        <w:t>ʾ</w:t>
      </w:r>
      <w:r w:rsidRPr="00040B61">
        <w:rPr>
          <w:rFonts w:asciiTheme="majorBidi" w:eastAsia="SabonMTPro-Italic" w:hAnsiTheme="majorBidi" w:cstheme="majorBidi"/>
          <w:i/>
          <w:iCs/>
          <w:sz w:val="24"/>
          <w:szCs w:val="24"/>
          <w:lang w:bidi="he-IL"/>
        </w:rPr>
        <w:t xml:space="preserve">Abot </w:t>
      </w:r>
      <w:r w:rsidRPr="00040B61">
        <w:rPr>
          <w:rFonts w:asciiTheme="majorBidi" w:hAnsiTheme="majorBidi" w:cstheme="majorBidi"/>
          <w:sz w:val="24"/>
          <w:szCs w:val="24"/>
          <w:lang w:bidi="he-IL"/>
        </w:rPr>
        <w:t xml:space="preserve">2.2.  </w:t>
      </w:r>
    </w:p>
  </w:footnote>
  <w:footnote w:id="42">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See also Josephus’s reference to the leisure necessary to write his history of the Jewish war in </w:t>
      </w:r>
      <w:r w:rsidRPr="00040B61">
        <w:rPr>
          <w:i/>
          <w:iCs/>
          <w:sz w:val="24"/>
          <w:szCs w:val="24"/>
        </w:rPr>
        <w:t xml:space="preserve">Ag. Ap. </w:t>
      </w:r>
      <w:r w:rsidRPr="00040B61">
        <w:rPr>
          <w:sz w:val="24"/>
          <w:szCs w:val="24"/>
        </w:rPr>
        <w:t xml:space="preserve">1.9 </w:t>
      </w:r>
      <w:r w:rsidRPr="00040B61">
        <w:rPr>
          <w:rFonts w:cs="Times New Roman"/>
          <w:sz w:val="24"/>
          <w:szCs w:val="24"/>
        </w:rPr>
        <w:t>§</w:t>
      </w:r>
      <w:r w:rsidRPr="00040B61">
        <w:rPr>
          <w:sz w:val="24"/>
          <w:szCs w:val="24"/>
        </w:rPr>
        <w:t>50.</w:t>
      </w:r>
    </w:p>
  </w:footnote>
  <w:footnote w:id="43">
    <w:p w:rsidR="00E1054C" w:rsidRPr="00040B61" w:rsidRDefault="00E1054C" w:rsidP="00040B61">
      <w:pPr>
        <w:pStyle w:val="FootnoteText"/>
        <w:spacing w:line="480" w:lineRule="auto"/>
        <w:ind w:firstLine="720"/>
        <w:rPr>
          <w:sz w:val="24"/>
          <w:szCs w:val="24"/>
          <w:lang w:val="en-US"/>
        </w:rPr>
      </w:pPr>
      <w:r w:rsidRPr="00040B61">
        <w:rPr>
          <w:rStyle w:val="FootnoteReference"/>
          <w:sz w:val="24"/>
          <w:szCs w:val="24"/>
        </w:rPr>
        <w:footnoteRef/>
      </w:r>
      <w:r w:rsidRPr="00040B61">
        <w:rPr>
          <w:sz w:val="24"/>
          <w:szCs w:val="24"/>
        </w:rPr>
        <w:t xml:space="preserve"> </w:t>
      </w:r>
      <w:r w:rsidR="00DC20FE" w:rsidRPr="00DC20FE">
        <w:rPr>
          <w:sz w:val="24"/>
          <w:szCs w:val="24"/>
        </w:rPr>
        <w:t>Sirach was not the only ancient author who contrasted the scribal class with the manual-labor class.</w:t>
      </w:r>
      <w:r w:rsidR="00DC20FE">
        <w:rPr>
          <w:sz w:val="24"/>
          <w:szCs w:val="24"/>
        </w:rPr>
        <w:t xml:space="preserve">  See </w:t>
      </w:r>
      <w:r w:rsidRPr="00DC20FE">
        <w:rPr>
          <w:sz w:val="24"/>
          <w:szCs w:val="24"/>
        </w:rPr>
        <w:t>C</w:t>
      </w:r>
      <w:r w:rsidRPr="00040B61">
        <w:rPr>
          <w:sz w:val="24"/>
          <w:szCs w:val="24"/>
        </w:rPr>
        <w:t>hris A. Rollston, “Ben Sira 38:24–39:11 and the</w:t>
      </w:r>
      <w:r w:rsidRPr="00040B61">
        <w:rPr>
          <w:i/>
          <w:sz w:val="24"/>
          <w:szCs w:val="24"/>
        </w:rPr>
        <w:t xml:space="preserve"> Egyptian Satire of the Trades</w:t>
      </w:r>
      <w:r w:rsidRPr="00040B61">
        <w:rPr>
          <w:sz w:val="24"/>
          <w:szCs w:val="24"/>
        </w:rPr>
        <w:t xml:space="preserve">: A Reconsideration,” </w:t>
      </w:r>
      <w:r w:rsidRPr="00040B61">
        <w:rPr>
          <w:i/>
          <w:sz w:val="24"/>
          <w:szCs w:val="24"/>
        </w:rPr>
        <w:t>JBL</w:t>
      </w:r>
      <w:r w:rsidRPr="00040B61">
        <w:rPr>
          <w:sz w:val="24"/>
          <w:szCs w:val="24"/>
        </w:rPr>
        <w:t xml:space="preserve"> 120 (2001): 131–9.</w:t>
      </w:r>
    </w:p>
  </w:footnote>
  <w:footnote w:id="44">
    <w:p w:rsidR="00E1054C" w:rsidRPr="00040B61" w:rsidRDefault="00E1054C" w:rsidP="00F96430">
      <w:pPr>
        <w:pStyle w:val="FootnoteText"/>
        <w:spacing w:line="480" w:lineRule="auto"/>
        <w:ind w:firstLine="720"/>
        <w:rPr>
          <w:rFonts w:asciiTheme="majorBidi" w:hAnsiTheme="majorBidi" w:cstheme="majorBidi"/>
          <w:sz w:val="24"/>
          <w:szCs w:val="24"/>
        </w:rPr>
      </w:pPr>
      <w:r w:rsidRPr="00040B61">
        <w:rPr>
          <w:rStyle w:val="FootnoteReference"/>
          <w:sz w:val="24"/>
          <w:szCs w:val="24"/>
        </w:rPr>
        <w:footnoteRef/>
      </w:r>
      <w:r w:rsidRPr="00040B61">
        <w:rPr>
          <w:sz w:val="24"/>
          <w:szCs w:val="24"/>
        </w:rPr>
        <w:t xml:space="preserve"> Although scholars have doubted whether synagogues </w:t>
      </w:r>
      <w:r w:rsidR="00BD6CA6" w:rsidRPr="00040B61">
        <w:rPr>
          <w:sz w:val="24"/>
          <w:szCs w:val="24"/>
        </w:rPr>
        <w:t xml:space="preserve">existed prior to and during </w:t>
      </w:r>
      <w:r w:rsidRPr="00040B61">
        <w:rPr>
          <w:sz w:val="24"/>
          <w:szCs w:val="24"/>
        </w:rPr>
        <w:t>the first century CE, the most recent research on synagogues</w:t>
      </w:r>
      <w:r w:rsidR="00DC20FE">
        <w:rPr>
          <w:sz w:val="24"/>
          <w:szCs w:val="24"/>
        </w:rPr>
        <w:t xml:space="preserve"> indicates unquestionably that they </w:t>
      </w:r>
      <w:r w:rsidR="00731F59" w:rsidRPr="00040B61">
        <w:rPr>
          <w:sz w:val="24"/>
          <w:szCs w:val="24"/>
        </w:rPr>
        <w:t>did</w:t>
      </w:r>
      <w:r w:rsidR="00BD6CA6" w:rsidRPr="00040B61">
        <w:rPr>
          <w:sz w:val="24"/>
          <w:szCs w:val="24"/>
        </w:rPr>
        <w:t xml:space="preserve"> (Anders Runesson, Donald D. Binder, and Birger Olsson, </w:t>
      </w:r>
      <w:r w:rsidR="00BD6CA6" w:rsidRPr="00040B61">
        <w:rPr>
          <w:i/>
          <w:iCs/>
          <w:sz w:val="24"/>
          <w:szCs w:val="24"/>
        </w:rPr>
        <w:t>The Ancient Synagogue: From Its Origins to 200 C.E.: A Source Book</w:t>
      </w:r>
      <w:r w:rsidR="00BD6CA6" w:rsidRPr="00040B61">
        <w:rPr>
          <w:sz w:val="24"/>
          <w:szCs w:val="24"/>
        </w:rPr>
        <w:t xml:space="preserve"> [Leiden: Brill, 2010])</w:t>
      </w:r>
      <w:r w:rsidRPr="00040B61">
        <w:rPr>
          <w:sz w:val="24"/>
          <w:szCs w:val="24"/>
        </w:rPr>
        <w:t xml:space="preserve">.  </w:t>
      </w:r>
      <w:r w:rsidR="00BD6CA6" w:rsidRPr="00040B61">
        <w:rPr>
          <w:sz w:val="24"/>
          <w:szCs w:val="24"/>
        </w:rPr>
        <w:t>O</w:t>
      </w:r>
      <w:r w:rsidRPr="00040B61">
        <w:rPr>
          <w:sz w:val="24"/>
          <w:szCs w:val="24"/>
        </w:rPr>
        <w:t xml:space="preserve">n </w:t>
      </w:r>
      <w:r w:rsidR="00F96430">
        <w:rPr>
          <w:rFonts w:ascii="SBL Greek" w:hAnsi="SBL Greek"/>
          <w:sz w:val="24"/>
          <w:szCs w:val="24"/>
        </w:rPr>
        <w:t>ἐ</w:t>
      </w:r>
      <w:r w:rsidR="00F96430">
        <w:rPr>
          <w:rFonts w:ascii="SBL Greek" w:hAnsi="SBL Greek"/>
          <w:sz w:val="24"/>
          <w:szCs w:val="24"/>
          <w:lang w:val="el-GR"/>
        </w:rPr>
        <w:t>κκλησία</w:t>
      </w:r>
      <w:r w:rsidR="00F96430" w:rsidRPr="00F96430">
        <w:rPr>
          <w:rFonts w:ascii="SBL Greek" w:hAnsi="SBL Greek"/>
          <w:sz w:val="24"/>
          <w:szCs w:val="24"/>
        </w:rPr>
        <w:t xml:space="preserve"> </w:t>
      </w:r>
      <w:r w:rsidRPr="00040B61">
        <w:rPr>
          <w:rFonts w:asciiTheme="majorBidi" w:hAnsiTheme="majorBidi" w:cstheme="majorBidi"/>
          <w:sz w:val="24"/>
          <w:szCs w:val="24"/>
        </w:rPr>
        <w:t xml:space="preserve">as a synagogue term in Second Temple Judaism generally, and here in Sirach particularly, see Ralph John Korner, “Before ‘Church’: Political, Ethno-religious, and Theological Implications of the Collective Designation of Pauline Christ-Followers as </w:t>
      </w:r>
      <w:r w:rsidRPr="00040B61">
        <w:rPr>
          <w:rFonts w:asciiTheme="majorBidi" w:hAnsiTheme="majorBidi" w:cstheme="majorBidi"/>
          <w:i/>
          <w:iCs/>
          <w:sz w:val="24"/>
          <w:szCs w:val="24"/>
        </w:rPr>
        <w:t>Ekklēsiai</w:t>
      </w:r>
      <w:r w:rsidRPr="00040B61">
        <w:rPr>
          <w:rFonts w:asciiTheme="majorBidi" w:hAnsiTheme="majorBidi" w:cstheme="majorBidi"/>
          <w:sz w:val="24"/>
          <w:szCs w:val="24"/>
        </w:rPr>
        <w:t>” (Ph.D. diss., McMaster University, 2014), esp. 114–29.</w:t>
      </w:r>
    </w:p>
  </w:footnote>
  <w:footnote w:id="45">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Jesus, of course, teaches successfully in other Galilean synagogues before his rejection in Nazareth (Mark 1:21–28, 39; 3:1–6), but he is not here identified as a carpenter.  Mark thus portrays Jesus as able to convince other Galileans of a status as synagogue teacher that he cannot convince his hometown.</w:t>
      </w:r>
    </w:p>
  </w:footnote>
  <w:footnote w:id="46">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Josephus, </w:t>
      </w:r>
      <w:r w:rsidRPr="00040B61">
        <w:rPr>
          <w:i/>
          <w:iCs/>
          <w:sz w:val="24"/>
          <w:szCs w:val="24"/>
        </w:rPr>
        <w:t>Ag. Ap.</w:t>
      </w:r>
      <w:r w:rsidRPr="00040B61">
        <w:rPr>
          <w:sz w:val="24"/>
          <w:szCs w:val="24"/>
        </w:rPr>
        <w:t xml:space="preserve"> 2.17 </w:t>
      </w:r>
      <w:r w:rsidRPr="00040B61">
        <w:rPr>
          <w:rFonts w:cs="Times New Roman"/>
          <w:sz w:val="24"/>
          <w:szCs w:val="24"/>
        </w:rPr>
        <w:t>§</w:t>
      </w:r>
      <w:r w:rsidRPr="00040B61">
        <w:rPr>
          <w:sz w:val="24"/>
          <w:szCs w:val="24"/>
        </w:rPr>
        <w:t xml:space="preserve">175; Philo, </w:t>
      </w:r>
      <w:r w:rsidRPr="00040B61">
        <w:rPr>
          <w:i/>
          <w:iCs/>
          <w:sz w:val="24"/>
          <w:szCs w:val="24"/>
        </w:rPr>
        <w:t>Hypoth.</w:t>
      </w:r>
      <w:r w:rsidRPr="00040B61">
        <w:rPr>
          <w:sz w:val="24"/>
          <w:szCs w:val="24"/>
        </w:rPr>
        <w:t xml:space="preserve"> 7.12–13; </w:t>
      </w:r>
      <w:r w:rsidRPr="00040B61">
        <w:rPr>
          <w:i/>
          <w:iCs/>
          <w:sz w:val="24"/>
          <w:szCs w:val="24"/>
        </w:rPr>
        <w:t>Prob</w:t>
      </w:r>
      <w:r w:rsidRPr="00040B61">
        <w:rPr>
          <w:sz w:val="24"/>
          <w:szCs w:val="24"/>
        </w:rPr>
        <w:t xml:space="preserve">. 12.81–82; </w:t>
      </w:r>
      <w:r w:rsidRPr="00040B61">
        <w:rPr>
          <w:i/>
          <w:iCs/>
          <w:sz w:val="24"/>
          <w:szCs w:val="24"/>
        </w:rPr>
        <w:t xml:space="preserve">Spec. </w:t>
      </w:r>
      <w:r w:rsidRPr="00040B61">
        <w:rPr>
          <w:sz w:val="24"/>
          <w:szCs w:val="24"/>
        </w:rPr>
        <w:t xml:space="preserve">2.62.  Cf. Josephus, </w:t>
      </w:r>
      <w:r w:rsidRPr="00040B61">
        <w:rPr>
          <w:i/>
          <w:iCs/>
          <w:sz w:val="24"/>
          <w:szCs w:val="24"/>
        </w:rPr>
        <w:t>Ant.</w:t>
      </w:r>
      <w:r w:rsidRPr="00040B61">
        <w:rPr>
          <w:sz w:val="24"/>
          <w:szCs w:val="24"/>
        </w:rPr>
        <w:t xml:space="preserve"> 16.2.3 </w:t>
      </w:r>
      <w:r w:rsidRPr="00040B61">
        <w:rPr>
          <w:rFonts w:cs="Times New Roman"/>
          <w:sz w:val="24"/>
          <w:szCs w:val="24"/>
        </w:rPr>
        <w:t>§</w:t>
      </w:r>
      <w:r w:rsidRPr="00040B61">
        <w:rPr>
          <w:sz w:val="24"/>
          <w:szCs w:val="24"/>
        </w:rPr>
        <w:t>43.</w:t>
      </w:r>
    </w:p>
  </w:footnote>
  <w:footnote w:id="47">
    <w:p w:rsidR="00E1054C" w:rsidRPr="00DC20FE" w:rsidRDefault="00E1054C" w:rsidP="00DC20FE">
      <w:pPr>
        <w:pStyle w:val="FootnoteText"/>
        <w:spacing w:line="480" w:lineRule="auto"/>
        <w:ind w:firstLine="720"/>
        <w:rPr>
          <w:rFonts w:cs="Times New Roman"/>
          <w:sz w:val="24"/>
          <w:szCs w:val="24"/>
        </w:rPr>
      </w:pPr>
      <w:r w:rsidRPr="00040B61">
        <w:rPr>
          <w:rStyle w:val="FootnoteReference"/>
          <w:sz w:val="24"/>
          <w:szCs w:val="24"/>
        </w:rPr>
        <w:footnoteRef/>
      </w:r>
      <w:r w:rsidRPr="00040B61">
        <w:rPr>
          <w:sz w:val="24"/>
          <w:szCs w:val="24"/>
        </w:rPr>
        <w:t xml:space="preserve"> Later rabbinic literature presents possible exceptions in the figures of Hillel, Shammai, and Akiba.  See the discussions in Hyam Maccoby, </w:t>
      </w:r>
      <w:r w:rsidRPr="00040B61">
        <w:rPr>
          <w:i/>
          <w:iCs/>
          <w:sz w:val="24"/>
          <w:szCs w:val="24"/>
        </w:rPr>
        <w:t>Jesus the Pharisee</w:t>
      </w:r>
      <w:r w:rsidRPr="00040B61">
        <w:rPr>
          <w:sz w:val="24"/>
          <w:szCs w:val="24"/>
        </w:rPr>
        <w:t xml:space="preserve"> (London: SCM, 2003), 181; Azzan Yadin, “Akiba (Aqiva),” in John J. Collins and Daniel C. Harlow, eds., </w:t>
      </w:r>
      <w:r w:rsidRPr="00040B61">
        <w:rPr>
          <w:i/>
          <w:iCs/>
          <w:sz w:val="24"/>
          <w:szCs w:val="24"/>
        </w:rPr>
        <w:t>The Eerdmans Dictionary of Early Judaism</w:t>
      </w:r>
      <w:r w:rsidRPr="00040B61">
        <w:rPr>
          <w:sz w:val="24"/>
          <w:szCs w:val="24"/>
        </w:rPr>
        <w:t xml:space="preserve"> (Grand Rapids: Eerdmans, 2010), 315–6.  </w:t>
      </w:r>
      <w:r w:rsidR="00DC20FE">
        <w:rPr>
          <w:sz w:val="24"/>
          <w:szCs w:val="24"/>
        </w:rPr>
        <w:t xml:space="preserve">The usefulness of rabbinic texts as sources for the NT period is heavily debated.  Even if the rabbinic texts could be shown to depict the first-century synagogue setting accurately, this would not disprove the present point—that, for the most part, those born into the manual-labor class did not have the leisure time or financial ability to become scribal-literate Torah authorities who could access the Hebrew Scriptures for themselves.  It is significant, for example, that, according to tradition, Akiba is able to access scribal education,and thus rise above his origins as an </w:t>
      </w:r>
      <w:r w:rsidR="00DC20FE">
        <w:rPr>
          <w:rFonts w:cs="Times New Roman"/>
          <w:i/>
          <w:iCs/>
          <w:sz w:val="24"/>
          <w:szCs w:val="24"/>
          <w:lang w:bidi="he-IL"/>
        </w:rPr>
        <w:t>ʿam h</w:t>
      </w:r>
      <w:r w:rsidR="00DC20FE">
        <w:rPr>
          <w:rFonts w:cs="Times New Roman"/>
          <w:i/>
          <w:iCs/>
          <w:sz w:val="24"/>
          <w:szCs w:val="24"/>
        </w:rPr>
        <w:t>āʾāreṣ</w:t>
      </w:r>
      <w:r w:rsidR="00DC20FE">
        <w:rPr>
          <w:rFonts w:cs="Times New Roman"/>
          <w:sz w:val="24"/>
          <w:szCs w:val="24"/>
        </w:rPr>
        <w:t>, only by marrying into wealth (b. Ned. 50a; b. Ketub. 62b–63a).</w:t>
      </w:r>
    </w:p>
  </w:footnote>
  <w:footnote w:id="48">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Fran</w:t>
      </w:r>
      <w:r w:rsidRPr="00040B61">
        <w:rPr>
          <w:rFonts w:cs="Times New Roman"/>
          <w:sz w:val="24"/>
          <w:szCs w:val="24"/>
        </w:rPr>
        <w:t>ç</w:t>
      </w:r>
      <w:r w:rsidRPr="00040B61">
        <w:rPr>
          <w:sz w:val="24"/>
          <w:szCs w:val="24"/>
        </w:rPr>
        <w:t xml:space="preserve">ois Bovon, </w:t>
      </w:r>
      <w:r w:rsidRPr="00040B61">
        <w:rPr>
          <w:i/>
          <w:iCs/>
          <w:sz w:val="24"/>
          <w:szCs w:val="24"/>
        </w:rPr>
        <w:t xml:space="preserve">Das Evangelium nach Lukas (Lk 1,1 – 9,50) </w:t>
      </w:r>
      <w:r w:rsidRPr="00040B61">
        <w:rPr>
          <w:sz w:val="24"/>
          <w:szCs w:val="24"/>
        </w:rPr>
        <w:t xml:space="preserve">(EKKNT 3.1; Zürich: Benziger, 1989), 157.  </w:t>
      </w:r>
      <w:r w:rsidRPr="00040B61">
        <w:rPr>
          <w:i/>
          <w:iCs/>
          <w:sz w:val="24"/>
          <w:szCs w:val="24"/>
        </w:rPr>
        <w:t>Contra</w:t>
      </w:r>
      <w:r w:rsidRPr="00040B61">
        <w:rPr>
          <w:sz w:val="24"/>
          <w:szCs w:val="24"/>
        </w:rPr>
        <w:t xml:space="preserve"> Fitzmyer, </w:t>
      </w:r>
      <w:r w:rsidRPr="00040B61">
        <w:rPr>
          <w:i/>
          <w:iCs/>
          <w:sz w:val="24"/>
          <w:szCs w:val="24"/>
        </w:rPr>
        <w:t>Gospel according to Luke I–IX</w:t>
      </w:r>
      <w:r w:rsidRPr="00040B61">
        <w:rPr>
          <w:sz w:val="24"/>
          <w:szCs w:val="24"/>
        </w:rPr>
        <w:t xml:space="preserve">, 442; I. Howard Marshall, </w:t>
      </w:r>
      <w:r w:rsidRPr="00040B61">
        <w:rPr>
          <w:i/>
          <w:iCs/>
          <w:sz w:val="24"/>
          <w:szCs w:val="24"/>
        </w:rPr>
        <w:t xml:space="preserve">The Gospel of Luke: A Commentary on the Greek Text </w:t>
      </w:r>
      <w:r w:rsidRPr="00040B61">
        <w:rPr>
          <w:sz w:val="24"/>
          <w:szCs w:val="24"/>
        </w:rPr>
        <w:t>(NIGTC; Grand Rapids: Eerdmans, 1978), 127–8.</w:t>
      </w:r>
    </w:p>
  </w:footnote>
  <w:footnote w:id="49">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2 Chron. 17:7–9; Neh. 8:1–9; Sir. 45:17; </w:t>
      </w:r>
      <w:r w:rsidRPr="00040B61">
        <w:rPr>
          <w:i/>
          <w:sz w:val="24"/>
          <w:szCs w:val="24"/>
        </w:rPr>
        <w:t xml:space="preserve">T. Levi </w:t>
      </w:r>
      <w:r w:rsidRPr="00040B61">
        <w:rPr>
          <w:sz w:val="24"/>
          <w:szCs w:val="24"/>
        </w:rPr>
        <w:t>13.2//4Q213=4QAramiac Levi</w:t>
      </w:r>
      <w:r w:rsidRPr="00040B61">
        <w:rPr>
          <w:sz w:val="24"/>
          <w:szCs w:val="24"/>
          <w:vertAlign w:val="superscript"/>
        </w:rPr>
        <w:t>a</w:t>
      </w:r>
      <w:r w:rsidRPr="00040B61">
        <w:rPr>
          <w:sz w:val="24"/>
          <w:szCs w:val="24"/>
        </w:rPr>
        <w:t xml:space="preserve"> 1.1.9, 12; </w:t>
      </w:r>
      <w:r w:rsidRPr="00040B61">
        <w:rPr>
          <w:i/>
          <w:sz w:val="24"/>
          <w:szCs w:val="24"/>
        </w:rPr>
        <w:t>Jub.</w:t>
      </w:r>
      <w:r w:rsidRPr="00040B61">
        <w:rPr>
          <w:sz w:val="24"/>
          <w:szCs w:val="24"/>
        </w:rPr>
        <w:t xml:space="preserve"> 45.15; 4QD</w:t>
      </w:r>
      <w:r w:rsidRPr="00040B61">
        <w:rPr>
          <w:sz w:val="24"/>
          <w:szCs w:val="24"/>
          <w:vertAlign w:val="superscript"/>
        </w:rPr>
        <w:t>a</w:t>
      </w:r>
      <w:r w:rsidRPr="00040B61">
        <w:rPr>
          <w:sz w:val="24"/>
          <w:szCs w:val="24"/>
        </w:rPr>
        <w:t xml:space="preserve"> 14.6–8; Josephus, </w:t>
      </w:r>
      <w:r w:rsidRPr="00040B61">
        <w:rPr>
          <w:i/>
          <w:sz w:val="24"/>
          <w:szCs w:val="24"/>
        </w:rPr>
        <w:t>Life</w:t>
      </w:r>
      <w:r w:rsidRPr="00040B61">
        <w:rPr>
          <w:sz w:val="24"/>
          <w:szCs w:val="24"/>
        </w:rPr>
        <w:t xml:space="preserve"> 1 § 1–6.</w:t>
      </w:r>
    </w:p>
  </w:footnote>
  <w:footnote w:id="50">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Thus, Sean A. Adams, </w:t>
      </w:r>
      <w:r w:rsidRPr="00040B61">
        <w:rPr>
          <w:i/>
          <w:iCs/>
          <w:sz w:val="24"/>
          <w:szCs w:val="24"/>
        </w:rPr>
        <w:t>The Genre of Acts and Collected Biography</w:t>
      </w:r>
      <w:r w:rsidRPr="00040B61">
        <w:rPr>
          <w:sz w:val="24"/>
          <w:szCs w:val="24"/>
        </w:rPr>
        <w:t xml:space="preserve"> (SNTSMS 156; Cambridge: Cambridge University Press, 2013), 188, 212–3; Bruce, </w:t>
      </w:r>
      <w:r w:rsidRPr="00040B61">
        <w:rPr>
          <w:i/>
          <w:sz w:val="24"/>
          <w:szCs w:val="24"/>
        </w:rPr>
        <w:t>Acts</w:t>
      </w:r>
      <w:r w:rsidRPr="00040B61">
        <w:rPr>
          <w:sz w:val="24"/>
          <w:szCs w:val="24"/>
        </w:rPr>
        <w:t xml:space="preserve">, 153; Longenecker, </w:t>
      </w:r>
      <w:r w:rsidRPr="00040B61">
        <w:rPr>
          <w:i/>
          <w:sz w:val="24"/>
          <w:szCs w:val="24"/>
        </w:rPr>
        <w:t>Acts</w:t>
      </w:r>
      <w:r w:rsidRPr="00040B61">
        <w:rPr>
          <w:sz w:val="24"/>
          <w:szCs w:val="24"/>
        </w:rPr>
        <w:t xml:space="preserve">, 102; Larkin, </w:t>
      </w:r>
      <w:r w:rsidRPr="00040B61">
        <w:rPr>
          <w:i/>
          <w:sz w:val="24"/>
          <w:szCs w:val="24"/>
        </w:rPr>
        <w:t>Acts</w:t>
      </w:r>
      <w:r w:rsidRPr="00040B61">
        <w:rPr>
          <w:sz w:val="24"/>
          <w:szCs w:val="24"/>
        </w:rPr>
        <w:t>, 75.</w:t>
      </w:r>
    </w:p>
  </w:footnote>
  <w:footnote w:id="51">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Haenchen, </w:t>
      </w:r>
      <w:r w:rsidRPr="00040B61">
        <w:rPr>
          <w:i/>
          <w:iCs/>
          <w:sz w:val="24"/>
          <w:szCs w:val="24"/>
        </w:rPr>
        <w:t>Acts</w:t>
      </w:r>
      <w:r w:rsidRPr="00040B61">
        <w:rPr>
          <w:sz w:val="24"/>
          <w:szCs w:val="24"/>
        </w:rPr>
        <w:t xml:space="preserve">, 255. </w:t>
      </w:r>
    </w:p>
  </w:footnote>
  <w:footnote w:id="52">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Jervell, </w:t>
      </w:r>
      <w:r w:rsidRPr="00040B61">
        <w:rPr>
          <w:i/>
          <w:iCs/>
          <w:sz w:val="24"/>
          <w:szCs w:val="24"/>
        </w:rPr>
        <w:t>Apostelgeschichte</w:t>
      </w:r>
      <w:r w:rsidRPr="00040B61">
        <w:rPr>
          <w:sz w:val="24"/>
          <w:szCs w:val="24"/>
        </w:rPr>
        <w:t>, 179.  See further Hilton, “Dumb Speak.”</w:t>
      </w:r>
    </w:p>
  </w:footnote>
  <w:footnote w:id="53">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Pesch, </w:t>
      </w:r>
      <w:r w:rsidRPr="00040B61">
        <w:rPr>
          <w:i/>
          <w:iCs/>
          <w:sz w:val="24"/>
          <w:szCs w:val="24"/>
        </w:rPr>
        <w:t>Apostelgeschichte</w:t>
      </w:r>
      <w:r w:rsidRPr="00040B61">
        <w:rPr>
          <w:sz w:val="24"/>
          <w:szCs w:val="24"/>
        </w:rPr>
        <w:t>, 167.</w:t>
      </w:r>
    </w:p>
  </w:footnote>
  <w:footnote w:id="54">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John T. Squires, </w:t>
      </w:r>
      <w:r w:rsidRPr="00040B61">
        <w:rPr>
          <w:i/>
          <w:iCs/>
          <w:sz w:val="24"/>
          <w:szCs w:val="24"/>
        </w:rPr>
        <w:t>The Plan of God in Luke-Acts</w:t>
      </w:r>
      <w:r w:rsidRPr="00040B61">
        <w:rPr>
          <w:sz w:val="24"/>
          <w:szCs w:val="24"/>
        </w:rPr>
        <w:t xml:space="preserve"> (SNTSMS 76; Cambridge: Cambridge University Press, 1993), 99n.110.</w:t>
      </w:r>
    </w:p>
  </w:footnote>
  <w:footnote w:id="55">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Conzelmann, </w:t>
      </w:r>
      <w:r w:rsidRPr="00040B61">
        <w:rPr>
          <w:i/>
          <w:iCs/>
          <w:sz w:val="24"/>
          <w:szCs w:val="24"/>
        </w:rPr>
        <w:t>Acts</w:t>
      </w:r>
      <w:r w:rsidRPr="00040B61">
        <w:rPr>
          <w:sz w:val="24"/>
          <w:szCs w:val="24"/>
        </w:rPr>
        <w:t xml:space="preserve">, 33. </w:t>
      </w:r>
    </w:p>
  </w:footnote>
  <w:footnote w:id="56">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Hilton, “Dumb Speak,” 137.</w:t>
      </w:r>
    </w:p>
  </w:footnote>
  <w:footnote w:id="57">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Luke Timothy Johnson, </w:t>
      </w:r>
      <w:r w:rsidRPr="00040B61">
        <w:rPr>
          <w:i/>
          <w:iCs/>
          <w:sz w:val="24"/>
          <w:szCs w:val="24"/>
        </w:rPr>
        <w:t>Among the Gentiles: Greco-Roman Religion and Christianity</w:t>
      </w:r>
      <w:r w:rsidRPr="00040B61">
        <w:rPr>
          <w:sz w:val="24"/>
          <w:szCs w:val="24"/>
        </w:rPr>
        <w:t xml:space="preserve"> (AYBRL; New Haven: Yale University Press, 2009), 150–51.</w:t>
      </w:r>
    </w:p>
  </w:footnote>
  <w:footnote w:id="58">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Adams, </w:t>
      </w:r>
      <w:r w:rsidRPr="00040B61">
        <w:rPr>
          <w:i/>
          <w:iCs/>
          <w:sz w:val="24"/>
          <w:szCs w:val="24"/>
        </w:rPr>
        <w:t>Genre</w:t>
      </w:r>
      <w:r w:rsidRPr="00040B61">
        <w:rPr>
          <w:sz w:val="24"/>
          <w:szCs w:val="24"/>
        </w:rPr>
        <w:t>, 177.</w:t>
      </w:r>
    </w:p>
  </w:footnote>
  <w:footnote w:id="59">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Origen, </w:t>
      </w:r>
      <w:r w:rsidRPr="00040B61">
        <w:rPr>
          <w:i/>
          <w:iCs/>
          <w:sz w:val="24"/>
          <w:szCs w:val="24"/>
        </w:rPr>
        <w:t>Cels</w:t>
      </w:r>
      <w:r w:rsidRPr="00040B61">
        <w:rPr>
          <w:sz w:val="24"/>
          <w:szCs w:val="24"/>
        </w:rPr>
        <w:t>. 1.29 (Chadwick).</w:t>
      </w:r>
    </w:p>
  </w:footnote>
  <w:footnote w:id="60">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00D20324" w:rsidRPr="00642384">
        <w:rPr>
          <w:sz w:val="24"/>
          <w:szCs w:val="24"/>
        </w:rPr>
        <w:t xml:space="preserve"> </w:t>
      </w:r>
      <w:r w:rsidRPr="00040B61">
        <w:rPr>
          <w:sz w:val="24"/>
          <w:szCs w:val="24"/>
        </w:rPr>
        <w:t xml:space="preserve">Origen, </w:t>
      </w:r>
      <w:r w:rsidRPr="00040B61">
        <w:rPr>
          <w:i/>
          <w:iCs/>
          <w:sz w:val="24"/>
          <w:szCs w:val="24"/>
        </w:rPr>
        <w:t>Cels.</w:t>
      </w:r>
      <w:r w:rsidRPr="00040B61">
        <w:rPr>
          <w:sz w:val="24"/>
          <w:szCs w:val="24"/>
        </w:rPr>
        <w:t xml:space="preserve"> 1.62 (Chadwick).  Similarly, see Pseudo-Clement, </w:t>
      </w:r>
      <w:r w:rsidRPr="00040B61">
        <w:rPr>
          <w:i/>
          <w:iCs/>
          <w:sz w:val="24"/>
          <w:szCs w:val="24"/>
        </w:rPr>
        <w:t>Recognitions</w:t>
      </w:r>
      <w:r w:rsidRPr="00040B61">
        <w:rPr>
          <w:sz w:val="24"/>
          <w:szCs w:val="24"/>
        </w:rPr>
        <w:t xml:space="preserve"> 1.62.</w:t>
      </w:r>
    </w:p>
  </w:footnote>
  <w:footnote w:id="61">
    <w:p w:rsidR="00E1054C" w:rsidRPr="00DC211B"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Mark Goodacre, “Fatigue in the Synoptics,” </w:t>
      </w:r>
      <w:r w:rsidRPr="00040B61">
        <w:rPr>
          <w:i/>
          <w:iCs/>
          <w:sz w:val="24"/>
          <w:szCs w:val="24"/>
        </w:rPr>
        <w:t>NTS</w:t>
      </w:r>
      <w:r w:rsidRPr="00040B61">
        <w:rPr>
          <w:sz w:val="24"/>
          <w:szCs w:val="24"/>
        </w:rPr>
        <w:t xml:space="preserve"> 44 (1998): 45–58; </w:t>
      </w:r>
      <w:r w:rsidRPr="00040B61">
        <w:rPr>
          <w:i/>
          <w:iCs/>
          <w:sz w:val="24"/>
          <w:szCs w:val="24"/>
        </w:rPr>
        <w:t>The Synoptic Problem: A Way through the Maze</w:t>
      </w:r>
      <w:r w:rsidRPr="00040B61">
        <w:rPr>
          <w:sz w:val="24"/>
          <w:szCs w:val="24"/>
        </w:rPr>
        <w:t xml:space="preserve"> (London: T&amp;T Clark, 2001), 71–76; Thomas</w:t>
      </w:r>
      <w:r w:rsidRPr="00040B61">
        <w:rPr>
          <w:i/>
          <w:iCs/>
          <w:sz w:val="24"/>
          <w:szCs w:val="24"/>
        </w:rPr>
        <w:t xml:space="preserve"> and the Gospels: The Case for </w:t>
      </w:r>
      <w:r w:rsidRPr="00040B61">
        <w:rPr>
          <w:sz w:val="24"/>
          <w:szCs w:val="24"/>
        </w:rPr>
        <w:t>Thomas</w:t>
      </w:r>
      <w:r w:rsidRPr="00040B61">
        <w:rPr>
          <w:i/>
          <w:iCs/>
          <w:sz w:val="24"/>
          <w:szCs w:val="24"/>
        </w:rPr>
        <w:t>’s Familiarity with the Synoptics</w:t>
      </w:r>
      <w:r w:rsidRPr="00040B61">
        <w:rPr>
          <w:sz w:val="24"/>
          <w:szCs w:val="24"/>
        </w:rPr>
        <w:t xml:space="preserve"> (Grand R</w:t>
      </w:r>
      <w:r w:rsidR="00DC211B">
        <w:rPr>
          <w:sz w:val="24"/>
          <w:szCs w:val="24"/>
        </w:rPr>
        <w:t xml:space="preserve">apids: Eerdmans, 2012), 90, 115; M. D. Goulder, </w:t>
      </w:r>
      <w:r w:rsidR="00DC211B">
        <w:rPr>
          <w:i/>
          <w:iCs/>
          <w:sz w:val="24"/>
          <w:szCs w:val="24"/>
        </w:rPr>
        <w:t xml:space="preserve">Midrash and Lection in Matthew: The Speaker’s Lectures in Biblical Studies 1969–71 </w:t>
      </w:r>
      <w:r w:rsidR="00DC211B">
        <w:rPr>
          <w:sz w:val="24"/>
          <w:szCs w:val="24"/>
        </w:rPr>
        <w:t xml:space="preserve">(1975; repr., Eugene: Wipf &amp; Stock, 2004), 35–36; Goulder, </w:t>
      </w:r>
      <w:r w:rsidR="00DC211B">
        <w:rPr>
          <w:i/>
          <w:iCs/>
          <w:sz w:val="24"/>
          <w:szCs w:val="24"/>
        </w:rPr>
        <w:t>Luke: A New Paradigm</w:t>
      </w:r>
      <w:r w:rsidR="00DC211B">
        <w:rPr>
          <w:sz w:val="24"/>
          <w:szCs w:val="24"/>
        </w:rPr>
        <w:t>, 2 vols., JSNTSup 20 (Sheffield: JSOT Press, 1989), 109–10.</w:t>
      </w:r>
    </w:p>
  </w:footnote>
  <w:footnote w:id="62">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For a methodological emphasis on the intertwining of the past and the present in early Christian historiography, see Jens Schröter, </w:t>
      </w:r>
      <w:r w:rsidRPr="00040B61">
        <w:rPr>
          <w:i/>
          <w:iCs/>
          <w:sz w:val="24"/>
          <w:szCs w:val="24"/>
        </w:rPr>
        <w:t>Von Jesus zum Neuen Testament</w:t>
      </w:r>
      <w:r w:rsidRPr="00040B61">
        <w:rPr>
          <w:sz w:val="24"/>
          <w:szCs w:val="24"/>
        </w:rPr>
        <w:t xml:space="preserve"> (WUNT 204; Tübingen: Mohr Siebeck, 2007), esp. 9–77, 223–46.</w:t>
      </w:r>
    </w:p>
  </w:footnote>
  <w:footnote w:id="63">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Irenaeus, </w:t>
      </w:r>
      <w:r w:rsidRPr="00040B61">
        <w:rPr>
          <w:i/>
          <w:iCs/>
          <w:sz w:val="24"/>
          <w:szCs w:val="24"/>
        </w:rPr>
        <w:t>Haer</w:t>
      </w:r>
      <w:r w:rsidRPr="00040B61">
        <w:rPr>
          <w:sz w:val="24"/>
          <w:szCs w:val="24"/>
        </w:rPr>
        <w:t xml:space="preserve">. 3.1.1; 14.1; Tertullian, </w:t>
      </w:r>
      <w:r w:rsidRPr="00040B61">
        <w:rPr>
          <w:i/>
          <w:iCs/>
          <w:sz w:val="24"/>
          <w:szCs w:val="24"/>
        </w:rPr>
        <w:t>Marc</w:t>
      </w:r>
      <w:r w:rsidRPr="00040B61">
        <w:rPr>
          <w:sz w:val="24"/>
          <w:szCs w:val="24"/>
        </w:rPr>
        <w:t>. 4.2, 5; Muratorian Canon 1.</w:t>
      </w:r>
    </w:p>
  </w:footnote>
  <w:footnote w:id="64">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Note also that Luke characterizes Apollos as “being powerful in the Scriptures” before mentioning that he taught in the synagogue in Ephesus (18:24, 26).</w:t>
      </w:r>
    </w:p>
  </w:footnote>
  <w:footnote w:id="65">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See Bruce, </w:t>
      </w:r>
      <w:r w:rsidRPr="00040B61">
        <w:rPr>
          <w:i/>
          <w:iCs/>
          <w:sz w:val="24"/>
          <w:szCs w:val="24"/>
        </w:rPr>
        <w:t>Acts</w:t>
      </w:r>
      <w:r w:rsidRPr="00040B61">
        <w:rPr>
          <w:sz w:val="24"/>
          <w:szCs w:val="24"/>
        </w:rPr>
        <w:t xml:space="preserve">, 52–53; Schröter, </w:t>
      </w:r>
      <w:r w:rsidRPr="00040B61">
        <w:rPr>
          <w:i/>
          <w:iCs/>
          <w:sz w:val="24"/>
          <w:szCs w:val="24"/>
        </w:rPr>
        <w:t>Von Jesus</w:t>
      </w:r>
      <w:r w:rsidRPr="00040B61">
        <w:rPr>
          <w:sz w:val="24"/>
          <w:szCs w:val="24"/>
        </w:rPr>
        <w:t>, 237.</w:t>
      </w:r>
    </w:p>
  </w:footnote>
  <w:footnote w:id="66">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On Greek education for Jews, see Hezser, </w:t>
      </w:r>
      <w:r w:rsidRPr="00040B61">
        <w:rPr>
          <w:i/>
          <w:iCs/>
          <w:sz w:val="24"/>
          <w:szCs w:val="24"/>
        </w:rPr>
        <w:t>Jewish Literacy</w:t>
      </w:r>
      <w:r w:rsidRPr="00040B61">
        <w:rPr>
          <w:sz w:val="24"/>
          <w:szCs w:val="24"/>
        </w:rPr>
        <w:t>, 90–94.</w:t>
      </w:r>
    </w:p>
  </w:footnote>
  <w:footnote w:id="67">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Cf. Luke’s portrayal of Paul at the end of the Acts, also explaining the law and prophets (Acts 28:23).</w:t>
      </w:r>
    </w:p>
  </w:footnote>
  <w:footnote w:id="68">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Johnson, </w:t>
      </w:r>
      <w:r w:rsidRPr="00040B61">
        <w:rPr>
          <w:i/>
          <w:iCs/>
          <w:sz w:val="24"/>
          <w:szCs w:val="24"/>
        </w:rPr>
        <w:t>Among</w:t>
      </w:r>
      <w:r w:rsidRPr="00040B61">
        <w:rPr>
          <w:sz w:val="24"/>
          <w:szCs w:val="24"/>
        </w:rPr>
        <w:t xml:space="preserve">, 151, notes that one way Luke shows continuity between the ministries of Jesus and his apostles (he cites Peter, John, Philip, and Paul) “is by describing their powerful deeds, which </w:t>
      </w:r>
      <w:r w:rsidR="00136376" w:rsidRPr="00040B61">
        <w:rPr>
          <w:sz w:val="24"/>
          <w:szCs w:val="24"/>
        </w:rPr>
        <w:t>mirror those performed by Jesus</w:t>
      </w:r>
      <w:r w:rsidRPr="00040B61">
        <w:rPr>
          <w:sz w:val="24"/>
          <w:szCs w:val="24"/>
        </w:rPr>
        <w:t>”</w:t>
      </w:r>
      <w:r w:rsidR="00136376" w:rsidRPr="00040B61">
        <w:rPr>
          <w:sz w:val="24"/>
          <w:szCs w:val="24"/>
        </w:rPr>
        <w:t xml:space="preserve">; see also his </w:t>
      </w:r>
      <w:r w:rsidR="00136376" w:rsidRPr="00040B61">
        <w:rPr>
          <w:i/>
          <w:iCs/>
          <w:sz w:val="24"/>
          <w:szCs w:val="24"/>
        </w:rPr>
        <w:t>Acts</w:t>
      </w:r>
      <w:r w:rsidR="00136376" w:rsidRPr="00040B61">
        <w:rPr>
          <w:sz w:val="24"/>
          <w:szCs w:val="24"/>
        </w:rPr>
        <w:t>, 10.</w:t>
      </w:r>
    </w:p>
  </w:footnote>
  <w:footnote w:id="69">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A particularly clear case is the portrayal of Stephen’s stoning (Acts 7:54–60) using narrative patterns from Jesus’ trials and crucifixion (Luke 22:66–23:49). </w:t>
      </w:r>
    </w:p>
  </w:footnote>
  <w:footnote w:id="70">
    <w:p w:rsidR="00E1054C" w:rsidRPr="00040B61" w:rsidRDefault="00E1054C" w:rsidP="00040B61">
      <w:pPr>
        <w:pStyle w:val="FootnoteText"/>
        <w:spacing w:line="480" w:lineRule="auto"/>
        <w:ind w:firstLine="720"/>
        <w:rPr>
          <w:sz w:val="24"/>
          <w:szCs w:val="24"/>
        </w:rPr>
      </w:pPr>
      <w:r w:rsidRPr="00040B61">
        <w:rPr>
          <w:rStyle w:val="FootnoteReference"/>
          <w:sz w:val="24"/>
          <w:szCs w:val="24"/>
        </w:rPr>
        <w:footnoteRef/>
      </w:r>
      <w:r w:rsidRPr="00040B61">
        <w:rPr>
          <w:sz w:val="24"/>
          <w:szCs w:val="24"/>
        </w:rPr>
        <w:t xml:space="preserve"> Similarly, A. J. Mattill, “The Jesus-Paul Parallels and the Purpose of Luke-Acts: H. H. Evans Reconsidered,” </w:t>
      </w:r>
      <w:r w:rsidRPr="00040B61">
        <w:rPr>
          <w:i/>
          <w:iCs/>
          <w:sz w:val="24"/>
          <w:szCs w:val="24"/>
        </w:rPr>
        <w:t>NovT</w:t>
      </w:r>
      <w:r w:rsidRPr="00040B61">
        <w:rPr>
          <w:sz w:val="24"/>
          <w:szCs w:val="24"/>
        </w:rPr>
        <w:t xml:space="preserve"> 27.1 (1975): 37:  “Luke has . . . painted his heroes in Acts with the image of Jesus and his ministry, passion, death, and resurrection hovering before his eyes.  But . . . there was also an influence from Acts to Gospel, from Paul to Jesus.”  See also Peder Borgen, “From Paul to Luke,” </w:t>
      </w:r>
      <w:r w:rsidRPr="00040B61">
        <w:rPr>
          <w:i/>
          <w:iCs/>
          <w:sz w:val="24"/>
          <w:szCs w:val="24"/>
        </w:rPr>
        <w:t>CBQ</w:t>
      </w:r>
      <w:r w:rsidRPr="00040B61">
        <w:rPr>
          <w:sz w:val="24"/>
          <w:szCs w:val="24"/>
        </w:rPr>
        <w:t xml:space="preserve"> 31 (1969):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1622"/>
      <w:docPartObj>
        <w:docPartGallery w:val="Page Numbers (Top of Page)"/>
        <w:docPartUnique/>
      </w:docPartObj>
    </w:sdtPr>
    <w:sdtEndPr/>
    <w:sdtContent>
      <w:p w:rsidR="00E1054C" w:rsidRDefault="0022225F">
        <w:pPr>
          <w:pStyle w:val="Header"/>
          <w:jc w:val="right"/>
        </w:pPr>
        <w:r>
          <w:fldChar w:fldCharType="begin"/>
        </w:r>
        <w:r>
          <w:instrText xml:space="preserve"> PAGE   \* MERGEFORMAT </w:instrText>
        </w:r>
        <w:r>
          <w:fldChar w:fldCharType="separate"/>
        </w:r>
        <w:r w:rsidR="003B281B">
          <w:rPr>
            <w:noProof/>
          </w:rPr>
          <w:t>1</w:t>
        </w:r>
        <w:r>
          <w:rPr>
            <w:noProof/>
          </w:rPr>
          <w:fldChar w:fldCharType="end"/>
        </w:r>
      </w:p>
    </w:sdtContent>
  </w:sdt>
  <w:p w:rsidR="00E1054C" w:rsidRDefault="00E10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FFF"/>
    <w:multiLevelType w:val="multilevel"/>
    <w:tmpl w:val="010C801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1A"/>
    <w:rsid w:val="00010253"/>
    <w:rsid w:val="0001362C"/>
    <w:rsid w:val="00013CE7"/>
    <w:rsid w:val="00014D2B"/>
    <w:rsid w:val="0003046A"/>
    <w:rsid w:val="000312B9"/>
    <w:rsid w:val="00032847"/>
    <w:rsid w:val="00035CDA"/>
    <w:rsid w:val="00037CD5"/>
    <w:rsid w:val="00040B61"/>
    <w:rsid w:val="00050306"/>
    <w:rsid w:val="00066569"/>
    <w:rsid w:val="0006762B"/>
    <w:rsid w:val="000716EA"/>
    <w:rsid w:val="000726D9"/>
    <w:rsid w:val="000728FE"/>
    <w:rsid w:val="00077818"/>
    <w:rsid w:val="00081783"/>
    <w:rsid w:val="0008239B"/>
    <w:rsid w:val="00094393"/>
    <w:rsid w:val="000962D4"/>
    <w:rsid w:val="00097417"/>
    <w:rsid w:val="000A03EE"/>
    <w:rsid w:val="000A214C"/>
    <w:rsid w:val="000A3789"/>
    <w:rsid w:val="000B3376"/>
    <w:rsid w:val="000B3E40"/>
    <w:rsid w:val="000B4D46"/>
    <w:rsid w:val="000C0054"/>
    <w:rsid w:val="000C5EC6"/>
    <w:rsid w:val="000D0D59"/>
    <w:rsid w:val="000D3531"/>
    <w:rsid w:val="000D65C3"/>
    <w:rsid w:val="000E467B"/>
    <w:rsid w:val="000F0AAA"/>
    <w:rsid w:val="000F4D1B"/>
    <w:rsid w:val="000F607F"/>
    <w:rsid w:val="001012C5"/>
    <w:rsid w:val="0011267B"/>
    <w:rsid w:val="00117E8E"/>
    <w:rsid w:val="00121BBF"/>
    <w:rsid w:val="00122366"/>
    <w:rsid w:val="00136376"/>
    <w:rsid w:val="00140C91"/>
    <w:rsid w:val="00142361"/>
    <w:rsid w:val="001439B0"/>
    <w:rsid w:val="00144B99"/>
    <w:rsid w:val="00146249"/>
    <w:rsid w:val="001478A3"/>
    <w:rsid w:val="00150474"/>
    <w:rsid w:val="00152729"/>
    <w:rsid w:val="001548F3"/>
    <w:rsid w:val="00154F52"/>
    <w:rsid w:val="0016071F"/>
    <w:rsid w:val="00160A4D"/>
    <w:rsid w:val="00171BE8"/>
    <w:rsid w:val="00172E7C"/>
    <w:rsid w:val="001826C4"/>
    <w:rsid w:val="00184BFF"/>
    <w:rsid w:val="001866F1"/>
    <w:rsid w:val="00191D1E"/>
    <w:rsid w:val="001948B3"/>
    <w:rsid w:val="001A0742"/>
    <w:rsid w:val="001A0D86"/>
    <w:rsid w:val="001A492B"/>
    <w:rsid w:val="001A6FC6"/>
    <w:rsid w:val="001B08DF"/>
    <w:rsid w:val="001B2324"/>
    <w:rsid w:val="001C215C"/>
    <w:rsid w:val="001C31AE"/>
    <w:rsid w:val="001C60D1"/>
    <w:rsid w:val="001D3073"/>
    <w:rsid w:val="001D5789"/>
    <w:rsid w:val="001E0781"/>
    <w:rsid w:val="001E46C4"/>
    <w:rsid w:val="001E68CC"/>
    <w:rsid w:val="001E7293"/>
    <w:rsid w:val="001F1246"/>
    <w:rsid w:val="001F36B1"/>
    <w:rsid w:val="001F45B7"/>
    <w:rsid w:val="001F6B63"/>
    <w:rsid w:val="001F7B26"/>
    <w:rsid w:val="00203FD0"/>
    <w:rsid w:val="00206460"/>
    <w:rsid w:val="00213CA1"/>
    <w:rsid w:val="0021419C"/>
    <w:rsid w:val="0021425A"/>
    <w:rsid w:val="00214A52"/>
    <w:rsid w:val="00216BA3"/>
    <w:rsid w:val="00216D75"/>
    <w:rsid w:val="0022225F"/>
    <w:rsid w:val="00225E6F"/>
    <w:rsid w:val="0023084B"/>
    <w:rsid w:val="00232479"/>
    <w:rsid w:val="00253895"/>
    <w:rsid w:val="0025599D"/>
    <w:rsid w:val="002626DD"/>
    <w:rsid w:val="00265946"/>
    <w:rsid w:val="00270C27"/>
    <w:rsid w:val="00280118"/>
    <w:rsid w:val="00284BB5"/>
    <w:rsid w:val="002A1D65"/>
    <w:rsid w:val="002A5121"/>
    <w:rsid w:val="002B0308"/>
    <w:rsid w:val="002B09F2"/>
    <w:rsid w:val="002B3783"/>
    <w:rsid w:val="002C24AC"/>
    <w:rsid w:val="002C31F8"/>
    <w:rsid w:val="002C5D70"/>
    <w:rsid w:val="002D6ACB"/>
    <w:rsid w:val="002E4E00"/>
    <w:rsid w:val="00303067"/>
    <w:rsid w:val="00305500"/>
    <w:rsid w:val="00312210"/>
    <w:rsid w:val="00353DEC"/>
    <w:rsid w:val="003615EE"/>
    <w:rsid w:val="00376E37"/>
    <w:rsid w:val="0038195D"/>
    <w:rsid w:val="00383414"/>
    <w:rsid w:val="00384550"/>
    <w:rsid w:val="00386C3E"/>
    <w:rsid w:val="003A2025"/>
    <w:rsid w:val="003B281B"/>
    <w:rsid w:val="003B356A"/>
    <w:rsid w:val="003B35D4"/>
    <w:rsid w:val="003B72B6"/>
    <w:rsid w:val="003C2C28"/>
    <w:rsid w:val="003D06C2"/>
    <w:rsid w:val="003D3263"/>
    <w:rsid w:val="003D4155"/>
    <w:rsid w:val="003D7685"/>
    <w:rsid w:val="003D7E23"/>
    <w:rsid w:val="003E0EF1"/>
    <w:rsid w:val="003E22DE"/>
    <w:rsid w:val="003E3539"/>
    <w:rsid w:val="003E3901"/>
    <w:rsid w:val="003F5373"/>
    <w:rsid w:val="003F6F96"/>
    <w:rsid w:val="003F7019"/>
    <w:rsid w:val="00404AB1"/>
    <w:rsid w:val="00406E4B"/>
    <w:rsid w:val="00410A76"/>
    <w:rsid w:val="00414812"/>
    <w:rsid w:val="00422C29"/>
    <w:rsid w:val="00423451"/>
    <w:rsid w:val="004243CA"/>
    <w:rsid w:val="004266FC"/>
    <w:rsid w:val="004304BF"/>
    <w:rsid w:val="0043310C"/>
    <w:rsid w:val="00433148"/>
    <w:rsid w:val="004378BA"/>
    <w:rsid w:val="004408F2"/>
    <w:rsid w:val="004424BA"/>
    <w:rsid w:val="00446074"/>
    <w:rsid w:val="004529E4"/>
    <w:rsid w:val="004546C1"/>
    <w:rsid w:val="0045759F"/>
    <w:rsid w:val="004578A2"/>
    <w:rsid w:val="00460FEC"/>
    <w:rsid w:val="004612C4"/>
    <w:rsid w:val="0046386F"/>
    <w:rsid w:val="00463F62"/>
    <w:rsid w:val="00465E57"/>
    <w:rsid w:val="00473828"/>
    <w:rsid w:val="00476BC2"/>
    <w:rsid w:val="004948A6"/>
    <w:rsid w:val="00494D0A"/>
    <w:rsid w:val="004970E8"/>
    <w:rsid w:val="00497169"/>
    <w:rsid w:val="004972E5"/>
    <w:rsid w:val="004A1511"/>
    <w:rsid w:val="004A29D5"/>
    <w:rsid w:val="004B0A5B"/>
    <w:rsid w:val="004B7A96"/>
    <w:rsid w:val="004C1061"/>
    <w:rsid w:val="004C56FC"/>
    <w:rsid w:val="004C6305"/>
    <w:rsid w:val="004F4696"/>
    <w:rsid w:val="00501817"/>
    <w:rsid w:val="00502EDB"/>
    <w:rsid w:val="00503D01"/>
    <w:rsid w:val="00506E9C"/>
    <w:rsid w:val="00507EA4"/>
    <w:rsid w:val="005201BE"/>
    <w:rsid w:val="00520CCF"/>
    <w:rsid w:val="00524FD8"/>
    <w:rsid w:val="005253BA"/>
    <w:rsid w:val="00527015"/>
    <w:rsid w:val="00536E08"/>
    <w:rsid w:val="00542C4D"/>
    <w:rsid w:val="005470E0"/>
    <w:rsid w:val="0055547F"/>
    <w:rsid w:val="0055774A"/>
    <w:rsid w:val="00564283"/>
    <w:rsid w:val="005672AC"/>
    <w:rsid w:val="00572E6E"/>
    <w:rsid w:val="00575E29"/>
    <w:rsid w:val="00583F64"/>
    <w:rsid w:val="005879F7"/>
    <w:rsid w:val="005A01EB"/>
    <w:rsid w:val="005C0960"/>
    <w:rsid w:val="005C70CC"/>
    <w:rsid w:val="005C772F"/>
    <w:rsid w:val="005D5A78"/>
    <w:rsid w:val="005D7FC0"/>
    <w:rsid w:val="00606851"/>
    <w:rsid w:val="00611F0D"/>
    <w:rsid w:val="00612583"/>
    <w:rsid w:val="00623EC3"/>
    <w:rsid w:val="0063702A"/>
    <w:rsid w:val="00640315"/>
    <w:rsid w:val="00641D33"/>
    <w:rsid w:val="00642384"/>
    <w:rsid w:val="006475F8"/>
    <w:rsid w:val="00647F18"/>
    <w:rsid w:val="00657786"/>
    <w:rsid w:val="006605D7"/>
    <w:rsid w:val="00665914"/>
    <w:rsid w:val="00670872"/>
    <w:rsid w:val="00674C92"/>
    <w:rsid w:val="006755F4"/>
    <w:rsid w:val="00676B1D"/>
    <w:rsid w:val="00676F26"/>
    <w:rsid w:val="0068286F"/>
    <w:rsid w:val="00683D14"/>
    <w:rsid w:val="0069102F"/>
    <w:rsid w:val="006A7069"/>
    <w:rsid w:val="006B5800"/>
    <w:rsid w:val="006B6C61"/>
    <w:rsid w:val="006C69AA"/>
    <w:rsid w:val="006D34CB"/>
    <w:rsid w:val="006E1F0B"/>
    <w:rsid w:val="006E2302"/>
    <w:rsid w:val="006F59B0"/>
    <w:rsid w:val="006F6371"/>
    <w:rsid w:val="00700DF6"/>
    <w:rsid w:val="00717334"/>
    <w:rsid w:val="007224D2"/>
    <w:rsid w:val="0072736F"/>
    <w:rsid w:val="00727CB3"/>
    <w:rsid w:val="00730856"/>
    <w:rsid w:val="00731F59"/>
    <w:rsid w:val="00753A28"/>
    <w:rsid w:val="0075470C"/>
    <w:rsid w:val="00754BB3"/>
    <w:rsid w:val="00765EA5"/>
    <w:rsid w:val="00782921"/>
    <w:rsid w:val="007848C1"/>
    <w:rsid w:val="007946DD"/>
    <w:rsid w:val="007A6E23"/>
    <w:rsid w:val="007A7828"/>
    <w:rsid w:val="007B0728"/>
    <w:rsid w:val="007C40F3"/>
    <w:rsid w:val="007C5A53"/>
    <w:rsid w:val="007D2A27"/>
    <w:rsid w:val="007D32EC"/>
    <w:rsid w:val="007D3F9B"/>
    <w:rsid w:val="007D4E2A"/>
    <w:rsid w:val="007E07FC"/>
    <w:rsid w:val="007E6DB8"/>
    <w:rsid w:val="007F6114"/>
    <w:rsid w:val="00803860"/>
    <w:rsid w:val="00804F2C"/>
    <w:rsid w:val="00811D73"/>
    <w:rsid w:val="00812D0F"/>
    <w:rsid w:val="00813D90"/>
    <w:rsid w:val="00817584"/>
    <w:rsid w:val="00835069"/>
    <w:rsid w:val="00841045"/>
    <w:rsid w:val="00846226"/>
    <w:rsid w:val="00847AD9"/>
    <w:rsid w:val="008543BC"/>
    <w:rsid w:val="008627F7"/>
    <w:rsid w:val="00864824"/>
    <w:rsid w:val="00871103"/>
    <w:rsid w:val="008814A5"/>
    <w:rsid w:val="008817BC"/>
    <w:rsid w:val="00885AA1"/>
    <w:rsid w:val="008914B7"/>
    <w:rsid w:val="008933D6"/>
    <w:rsid w:val="00895570"/>
    <w:rsid w:val="008958C1"/>
    <w:rsid w:val="00895ACA"/>
    <w:rsid w:val="008A545F"/>
    <w:rsid w:val="008A63B9"/>
    <w:rsid w:val="008D14F8"/>
    <w:rsid w:val="008D34A4"/>
    <w:rsid w:val="008D6124"/>
    <w:rsid w:val="008E1764"/>
    <w:rsid w:val="008F0343"/>
    <w:rsid w:val="008F04D3"/>
    <w:rsid w:val="008F2E2E"/>
    <w:rsid w:val="008F4B2E"/>
    <w:rsid w:val="008F55E5"/>
    <w:rsid w:val="00900944"/>
    <w:rsid w:val="00916EF4"/>
    <w:rsid w:val="00922882"/>
    <w:rsid w:val="00922934"/>
    <w:rsid w:val="009278E3"/>
    <w:rsid w:val="00930B6F"/>
    <w:rsid w:val="00931C19"/>
    <w:rsid w:val="00932499"/>
    <w:rsid w:val="00936045"/>
    <w:rsid w:val="0094247A"/>
    <w:rsid w:val="009479F9"/>
    <w:rsid w:val="00953488"/>
    <w:rsid w:val="00953C49"/>
    <w:rsid w:val="0095794E"/>
    <w:rsid w:val="00960363"/>
    <w:rsid w:val="0096040E"/>
    <w:rsid w:val="0096322D"/>
    <w:rsid w:val="009664E1"/>
    <w:rsid w:val="00982B98"/>
    <w:rsid w:val="009961B4"/>
    <w:rsid w:val="009A0959"/>
    <w:rsid w:val="009A1DBE"/>
    <w:rsid w:val="009A1E5C"/>
    <w:rsid w:val="009A3229"/>
    <w:rsid w:val="009A3915"/>
    <w:rsid w:val="009B4E5D"/>
    <w:rsid w:val="009B7E6E"/>
    <w:rsid w:val="009C15ED"/>
    <w:rsid w:val="009C4767"/>
    <w:rsid w:val="009C583F"/>
    <w:rsid w:val="009C5F3A"/>
    <w:rsid w:val="009D194F"/>
    <w:rsid w:val="009D65BC"/>
    <w:rsid w:val="009E0558"/>
    <w:rsid w:val="009E3BDA"/>
    <w:rsid w:val="009E4D00"/>
    <w:rsid w:val="009F6F8D"/>
    <w:rsid w:val="00A11CA5"/>
    <w:rsid w:val="00A17282"/>
    <w:rsid w:val="00A21C36"/>
    <w:rsid w:val="00A23B91"/>
    <w:rsid w:val="00A329BA"/>
    <w:rsid w:val="00A37515"/>
    <w:rsid w:val="00A42682"/>
    <w:rsid w:val="00A4455F"/>
    <w:rsid w:val="00A4470E"/>
    <w:rsid w:val="00A44B7D"/>
    <w:rsid w:val="00A45540"/>
    <w:rsid w:val="00A46877"/>
    <w:rsid w:val="00A57E30"/>
    <w:rsid w:val="00A6095F"/>
    <w:rsid w:val="00A7389D"/>
    <w:rsid w:val="00A73B97"/>
    <w:rsid w:val="00A740A7"/>
    <w:rsid w:val="00A74D66"/>
    <w:rsid w:val="00A76013"/>
    <w:rsid w:val="00A81DCB"/>
    <w:rsid w:val="00A81E59"/>
    <w:rsid w:val="00A87847"/>
    <w:rsid w:val="00A87D0F"/>
    <w:rsid w:val="00A94FF3"/>
    <w:rsid w:val="00AA09DF"/>
    <w:rsid w:val="00AA1545"/>
    <w:rsid w:val="00AA48B2"/>
    <w:rsid w:val="00AC33C7"/>
    <w:rsid w:val="00AC4233"/>
    <w:rsid w:val="00AD3230"/>
    <w:rsid w:val="00AE05F5"/>
    <w:rsid w:val="00AF01C4"/>
    <w:rsid w:val="00AF57B5"/>
    <w:rsid w:val="00B0214E"/>
    <w:rsid w:val="00B10AEC"/>
    <w:rsid w:val="00B13D48"/>
    <w:rsid w:val="00B217AF"/>
    <w:rsid w:val="00B24682"/>
    <w:rsid w:val="00B279EC"/>
    <w:rsid w:val="00B365C1"/>
    <w:rsid w:val="00B37A15"/>
    <w:rsid w:val="00B40E70"/>
    <w:rsid w:val="00B4217A"/>
    <w:rsid w:val="00B42F38"/>
    <w:rsid w:val="00B45B10"/>
    <w:rsid w:val="00B50341"/>
    <w:rsid w:val="00B65A5E"/>
    <w:rsid w:val="00B730D0"/>
    <w:rsid w:val="00B81061"/>
    <w:rsid w:val="00B835CB"/>
    <w:rsid w:val="00B920F7"/>
    <w:rsid w:val="00B9243D"/>
    <w:rsid w:val="00B97420"/>
    <w:rsid w:val="00BA1C46"/>
    <w:rsid w:val="00BA310D"/>
    <w:rsid w:val="00BB02AB"/>
    <w:rsid w:val="00BB1150"/>
    <w:rsid w:val="00BB3058"/>
    <w:rsid w:val="00BB734C"/>
    <w:rsid w:val="00BB7EEE"/>
    <w:rsid w:val="00BC385B"/>
    <w:rsid w:val="00BC5F57"/>
    <w:rsid w:val="00BD17B4"/>
    <w:rsid w:val="00BD6CA6"/>
    <w:rsid w:val="00C06F6A"/>
    <w:rsid w:val="00C167A3"/>
    <w:rsid w:val="00C219C6"/>
    <w:rsid w:val="00C23025"/>
    <w:rsid w:val="00C35109"/>
    <w:rsid w:val="00C412C6"/>
    <w:rsid w:val="00C44A89"/>
    <w:rsid w:val="00C44BB6"/>
    <w:rsid w:val="00C47260"/>
    <w:rsid w:val="00C52915"/>
    <w:rsid w:val="00C55C40"/>
    <w:rsid w:val="00C619CE"/>
    <w:rsid w:val="00C626CF"/>
    <w:rsid w:val="00C711BC"/>
    <w:rsid w:val="00C8679A"/>
    <w:rsid w:val="00C9209A"/>
    <w:rsid w:val="00C958A7"/>
    <w:rsid w:val="00C966B2"/>
    <w:rsid w:val="00CC3EB7"/>
    <w:rsid w:val="00CC4497"/>
    <w:rsid w:val="00CC493C"/>
    <w:rsid w:val="00CD2BA4"/>
    <w:rsid w:val="00CD53C6"/>
    <w:rsid w:val="00CE095E"/>
    <w:rsid w:val="00CE21CD"/>
    <w:rsid w:val="00CE7A4E"/>
    <w:rsid w:val="00CF4F38"/>
    <w:rsid w:val="00CF6945"/>
    <w:rsid w:val="00D022CD"/>
    <w:rsid w:val="00D10ED8"/>
    <w:rsid w:val="00D122C0"/>
    <w:rsid w:val="00D12DD3"/>
    <w:rsid w:val="00D17684"/>
    <w:rsid w:val="00D2024C"/>
    <w:rsid w:val="00D20324"/>
    <w:rsid w:val="00D31BEB"/>
    <w:rsid w:val="00D35806"/>
    <w:rsid w:val="00D43E93"/>
    <w:rsid w:val="00D44F7A"/>
    <w:rsid w:val="00D47BFE"/>
    <w:rsid w:val="00D51CF8"/>
    <w:rsid w:val="00D553BD"/>
    <w:rsid w:val="00D61D81"/>
    <w:rsid w:val="00D61F80"/>
    <w:rsid w:val="00D66558"/>
    <w:rsid w:val="00D668C2"/>
    <w:rsid w:val="00D6797F"/>
    <w:rsid w:val="00D7163E"/>
    <w:rsid w:val="00D73C9D"/>
    <w:rsid w:val="00D7436B"/>
    <w:rsid w:val="00D8371B"/>
    <w:rsid w:val="00D84DB5"/>
    <w:rsid w:val="00D953EC"/>
    <w:rsid w:val="00DB0282"/>
    <w:rsid w:val="00DB467E"/>
    <w:rsid w:val="00DC1A26"/>
    <w:rsid w:val="00DC20FE"/>
    <w:rsid w:val="00DC211B"/>
    <w:rsid w:val="00DE177E"/>
    <w:rsid w:val="00DE28B2"/>
    <w:rsid w:val="00DE4766"/>
    <w:rsid w:val="00DE722A"/>
    <w:rsid w:val="00DF1171"/>
    <w:rsid w:val="00DF69DD"/>
    <w:rsid w:val="00E00113"/>
    <w:rsid w:val="00E0403F"/>
    <w:rsid w:val="00E04EF7"/>
    <w:rsid w:val="00E1054C"/>
    <w:rsid w:val="00E12383"/>
    <w:rsid w:val="00E12912"/>
    <w:rsid w:val="00E16634"/>
    <w:rsid w:val="00E2522E"/>
    <w:rsid w:val="00E25DD8"/>
    <w:rsid w:val="00E31D14"/>
    <w:rsid w:val="00E327D0"/>
    <w:rsid w:val="00E36579"/>
    <w:rsid w:val="00E37555"/>
    <w:rsid w:val="00E40288"/>
    <w:rsid w:val="00E41ADC"/>
    <w:rsid w:val="00E41BA9"/>
    <w:rsid w:val="00E4688D"/>
    <w:rsid w:val="00E5082A"/>
    <w:rsid w:val="00E6000D"/>
    <w:rsid w:val="00E62579"/>
    <w:rsid w:val="00E65789"/>
    <w:rsid w:val="00E65AC3"/>
    <w:rsid w:val="00E74214"/>
    <w:rsid w:val="00E91A5C"/>
    <w:rsid w:val="00E92F15"/>
    <w:rsid w:val="00EB557B"/>
    <w:rsid w:val="00EB721A"/>
    <w:rsid w:val="00EE5AE5"/>
    <w:rsid w:val="00EE5FC9"/>
    <w:rsid w:val="00EE75B2"/>
    <w:rsid w:val="00EF250E"/>
    <w:rsid w:val="00EF70E9"/>
    <w:rsid w:val="00F14F1C"/>
    <w:rsid w:val="00F16D72"/>
    <w:rsid w:val="00F2212F"/>
    <w:rsid w:val="00F26E67"/>
    <w:rsid w:val="00F34838"/>
    <w:rsid w:val="00F41333"/>
    <w:rsid w:val="00F47C7A"/>
    <w:rsid w:val="00F509E9"/>
    <w:rsid w:val="00F5662A"/>
    <w:rsid w:val="00F64254"/>
    <w:rsid w:val="00F7014A"/>
    <w:rsid w:val="00F75A49"/>
    <w:rsid w:val="00F805BA"/>
    <w:rsid w:val="00F809DE"/>
    <w:rsid w:val="00F82771"/>
    <w:rsid w:val="00F90534"/>
    <w:rsid w:val="00F932E5"/>
    <w:rsid w:val="00F9642B"/>
    <w:rsid w:val="00F96430"/>
    <w:rsid w:val="00FA0166"/>
    <w:rsid w:val="00FA368D"/>
    <w:rsid w:val="00FA5281"/>
    <w:rsid w:val="00FA69F6"/>
    <w:rsid w:val="00FD43A3"/>
    <w:rsid w:val="00FD48FE"/>
    <w:rsid w:val="00FD5835"/>
    <w:rsid w:val="00FD7BB9"/>
    <w:rsid w:val="00FE096D"/>
    <w:rsid w:val="00FE0C25"/>
    <w:rsid w:val="00FE36BD"/>
    <w:rsid w:val="00FE51A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25A"/>
    <w:pPr>
      <w:ind w:left="720"/>
      <w:contextualSpacing/>
    </w:pPr>
  </w:style>
  <w:style w:type="paragraph" w:styleId="FootnoteText">
    <w:name w:val="footnote text"/>
    <w:basedOn w:val="Normal"/>
    <w:link w:val="FootnoteTextChar"/>
    <w:uiPriority w:val="99"/>
    <w:semiHidden/>
    <w:unhideWhenUsed/>
    <w:rsid w:val="00C47260"/>
    <w:rPr>
      <w:sz w:val="20"/>
      <w:szCs w:val="20"/>
    </w:rPr>
  </w:style>
  <w:style w:type="character" w:customStyle="1" w:styleId="FootnoteTextChar">
    <w:name w:val="Footnote Text Char"/>
    <w:basedOn w:val="DefaultParagraphFont"/>
    <w:link w:val="FootnoteText"/>
    <w:uiPriority w:val="99"/>
    <w:semiHidden/>
    <w:rsid w:val="00C47260"/>
    <w:rPr>
      <w:sz w:val="20"/>
      <w:szCs w:val="20"/>
    </w:rPr>
  </w:style>
  <w:style w:type="character" w:styleId="FootnoteReference">
    <w:name w:val="footnote reference"/>
    <w:basedOn w:val="DefaultParagraphFont"/>
    <w:uiPriority w:val="99"/>
    <w:semiHidden/>
    <w:unhideWhenUsed/>
    <w:rsid w:val="00C47260"/>
    <w:rPr>
      <w:vertAlign w:val="superscript"/>
    </w:rPr>
  </w:style>
  <w:style w:type="paragraph" w:customStyle="1" w:styleId="extract">
    <w:name w:val="extract"/>
    <w:basedOn w:val="Normal"/>
    <w:next w:val="Normal"/>
    <w:rsid w:val="00765EA5"/>
    <w:pPr>
      <w:spacing w:line="480" w:lineRule="auto"/>
      <w:ind w:left="480" w:firstLine="240"/>
    </w:pPr>
    <w:rPr>
      <w:rFonts w:eastAsia="Times New Roman" w:cs="Times New Roman"/>
      <w:sz w:val="22"/>
      <w:szCs w:val="20"/>
      <w:lang w:val="en-US"/>
    </w:rPr>
  </w:style>
  <w:style w:type="paragraph" w:customStyle="1" w:styleId="extractspace">
    <w:name w:val="extract space"/>
    <w:basedOn w:val="extract"/>
    <w:rsid w:val="00765EA5"/>
    <w:pPr>
      <w:spacing w:before="240"/>
      <w:ind w:firstLine="0"/>
    </w:pPr>
  </w:style>
  <w:style w:type="paragraph" w:styleId="Header">
    <w:name w:val="header"/>
    <w:basedOn w:val="Normal"/>
    <w:link w:val="HeaderChar"/>
    <w:uiPriority w:val="99"/>
    <w:unhideWhenUsed/>
    <w:rsid w:val="000B3376"/>
    <w:pPr>
      <w:tabs>
        <w:tab w:val="center" w:pos="4513"/>
        <w:tab w:val="right" w:pos="9026"/>
      </w:tabs>
    </w:pPr>
  </w:style>
  <w:style w:type="character" w:customStyle="1" w:styleId="HeaderChar">
    <w:name w:val="Header Char"/>
    <w:basedOn w:val="DefaultParagraphFont"/>
    <w:link w:val="Header"/>
    <w:uiPriority w:val="99"/>
    <w:rsid w:val="000B3376"/>
  </w:style>
  <w:style w:type="paragraph" w:styleId="Footer">
    <w:name w:val="footer"/>
    <w:basedOn w:val="Normal"/>
    <w:link w:val="FooterChar"/>
    <w:uiPriority w:val="99"/>
    <w:semiHidden/>
    <w:unhideWhenUsed/>
    <w:rsid w:val="000B3376"/>
    <w:pPr>
      <w:tabs>
        <w:tab w:val="center" w:pos="4513"/>
        <w:tab w:val="right" w:pos="9026"/>
      </w:tabs>
    </w:pPr>
  </w:style>
  <w:style w:type="character" w:customStyle="1" w:styleId="FooterChar">
    <w:name w:val="Footer Char"/>
    <w:basedOn w:val="DefaultParagraphFont"/>
    <w:link w:val="Footer"/>
    <w:uiPriority w:val="99"/>
    <w:semiHidden/>
    <w:rsid w:val="000B3376"/>
  </w:style>
  <w:style w:type="character" w:styleId="Hyperlink">
    <w:name w:val="Hyperlink"/>
    <w:basedOn w:val="DefaultParagraphFont"/>
    <w:uiPriority w:val="99"/>
    <w:unhideWhenUsed/>
    <w:rsid w:val="00A73B97"/>
    <w:rPr>
      <w:color w:val="0000FF" w:themeColor="hyperlink"/>
      <w:u w:val="single"/>
    </w:rPr>
  </w:style>
  <w:style w:type="paragraph" w:styleId="BalloonText">
    <w:name w:val="Balloon Text"/>
    <w:basedOn w:val="Normal"/>
    <w:link w:val="BalloonTextChar"/>
    <w:uiPriority w:val="99"/>
    <w:semiHidden/>
    <w:unhideWhenUsed/>
    <w:rsid w:val="006B6C61"/>
    <w:rPr>
      <w:rFonts w:ascii="Tahoma" w:hAnsi="Tahoma" w:cs="Tahoma"/>
      <w:sz w:val="16"/>
      <w:szCs w:val="16"/>
    </w:rPr>
  </w:style>
  <w:style w:type="character" w:customStyle="1" w:styleId="BalloonTextChar">
    <w:name w:val="Balloon Text Char"/>
    <w:basedOn w:val="DefaultParagraphFont"/>
    <w:link w:val="BalloonText"/>
    <w:uiPriority w:val="99"/>
    <w:semiHidden/>
    <w:rsid w:val="006B6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25A"/>
    <w:pPr>
      <w:ind w:left="720"/>
      <w:contextualSpacing/>
    </w:pPr>
  </w:style>
  <w:style w:type="paragraph" w:styleId="FootnoteText">
    <w:name w:val="footnote text"/>
    <w:basedOn w:val="Normal"/>
    <w:link w:val="FootnoteTextChar"/>
    <w:uiPriority w:val="99"/>
    <w:semiHidden/>
    <w:unhideWhenUsed/>
    <w:rsid w:val="00C47260"/>
    <w:rPr>
      <w:sz w:val="20"/>
      <w:szCs w:val="20"/>
    </w:rPr>
  </w:style>
  <w:style w:type="character" w:customStyle="1" w:styleId="FootnoteTextChar">
    <w:name w:val="Footnote Text Char"/>
    <w:basedOn w:val="DefaultParagraphFont"/>
    <w:link w:val="FootnoteText"/>
    <w:uiPriority w:val="99"/>
    <w:semiHidden/>
    <w:rsid w:val="00C47260"/>
    <w:rPr>
      <w:sz w:val="20"/>
      <w:szCs w:val="20"/>
    </w:rPr>
  </w:style>
  <w:style w:type="character" w:styleId="FootnoteReference">
    <w:name w:val="footnote reference"/>
    <w:basedOn w:val="DefaultParagraphFont"/>
    <w:uiPriority w:val="99"/>
    <w:semiHidden/>
    <w:unhideWhenUsed/>
    <w:rsid w:val="00C47260"/>
    <w:rPr>
      <w:vertAlign w:val="superscript"/>
    </w:rPr>
  </w:style>
  <w:style w:type="paragraph" w:customStyle="1" w:styleId="extract">
    <w:name w:val="extract"/>
    <w:basedOn w:val="Normal"/>
    <w:next w:val="Normal"/>
    <w:rsid w:val="00765EA5"/>
    <w:pPr>
      <w:spacing w:line="480" w:lineRule="auto"/>
      <w:ind w:left="480" w:firstLine="240"/>
    </w:pPr>
    <w:rPr>
      <w:rFonts w:eastAsia="Times New Roman" w:cs="Times New Roman"/>
      <w:sz w:val="22"/>
      <w:szCs w:val="20"/>
      <w:lang w:val="en-US"/>
    </w:rPr>
  </w:style>
  <w:style w:type="paragraph" w:customStyle="1" w:styleId="extractspace">
    <w:name w:val="extract space"/>
    <w:basedOn w:val="extract"/>
    <w:rsid w:val="00765EA5"/>
    <w:pPr>
      <w:spacing w:before="240"/>
      <w:ind w:firstLine="0"/>
    </w:pPr>
  </w:style>
  <w:style w:type="paragraph" w:styleId="Header">
    <w:name w:val="header"/>
    <w:basedOn w:val="Normal"/>
    <w:link w:val="HeaderChar"/>
    <w:uiPriority w:val="99"/>
    <w:unhideWhenUsed/>
    <w:rsid w:val="000B3376"/>
    <w:pPr>
      <w:tabs>
        <w:tab w:val="center" w:pos="4513"/>
        <w:tab w:val="right" w:pos="9026"/>
      </w:tabs>
    </w:pPr>
  </w:style>
  <w:style w:type="character" w:customStyle="1" w:styleId="HeaderChar">
    <w:name w:val="Header Char"/>
    <w:basedOn w:val="DefaultParagraphFont"/>
    <w:link w:val="Header"/>
    <w:uiPriority w:val="99"/>
    <w:rsid w:val="000B3376"/>
  </w:style>
  <w:style w:type="paragraph" w:styleId="Footer">
    <w:name w:val="footer"/>
    <w:basedOn w:val="Normal"/>
    <w:link w:val="FooterChar"/>
    <w:uiPriority w:val="99"/>
    <w:semiHidden/>
    <w:unhideWhenUsed/>
    <w:rsid w:val="000B3376"/>
    <w:pPr>
      <w:tabs>
        <w:tab w:val="center" w:pos="4513"/>
        <w:tab w:val="right" w:pos="9026"/>
      </w:tabs>
    </w:pPr>
  </w:style>
  <w:style w:type="character" w:customStyle="1" w:styleId="FooterChar">
    <w:name w:val="Footer Char"/>
    <w:basedOn w:val="DefaultParagraphFont"/>
    <w:link w:val="Footer"/>
    <w:uiPriority w:val="99"/>
    <w:semiHidden/>
    <w:rsid w:val="000B3376"/>
  </w:style>
  <w:style w:type="character" w:styleId="Hyperlink">
    <w:name w:val="Hyperlink"/>
    <w:basedOn w:val="DefaultParagraphFont"/>
    <w:uiPriority w:val="99"/>
    <w:unhideWhenUsed/>
    <w:rsid w:val="00A73B97"/>
    <w:rPr>
      <w:color w:val="0000FF" w:themeColor="hyperlink"/>
      <w:u w:val="single"/>
    </w:rPr>
  </w:style>
  <w:style w:type="paragraph" w:styleId="BalloonText">
    <w:name w:val="Balloon Text"/>
    <w:basedOn w:val="Normal"/>
    <w:link w:val="BalloonTextChar"/>
    <w:uiPriority w:val="99"/>
    <w:semiHidden/>
    <w:unhideWhenUsed/>
    <w:rsid w:val="006B6C61"/>
    <w:rPr>
      <w:rFonts w:ascii="Tahoma" w:hAnsi="Tahoma" w:cs="Tahoma"/>
      <w:sz w:val="16"/>
      <w:szCs w:val="16"/>
    </w:rPr>
  </w:style>
  <w:style w:type="character" w:customStyle="1" w:styleId="BalloonTextChar">
    <w:name w:val="Balloon Text Char"/>
    <w:basedOn w:val="DefaultParagraphFont"/>
    <w:link w:val="BalloonText"/>
    <w:uiPriority w:val="99"/>
    <w:semiHidden/>
    <w:rsid w:val="006B6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BEDD1-EBEB-41F7-957B-BEFC4A06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7075</Words>
  <Characters>40334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systemtest</dc:creator>
  <cp:lastModifiedBy>Library &amp; Learning Technology</cp:lastModifiedBy>
  <cp:revision>2</cp:revision>
  <cp:lastPrinted>2015-02-16T10:41:00Z</cp:lastPrinted>
  <dcterms:created xsi:type="dcterms:W3CDTF">2016-06-21T16:00:00Z</dcterms:created>
  <dcterms:modified xsi:type="dcterms:W3CDTF">2016-06-21T16:00:00Z</dcterms:modified>
</cp:coreProperties>
</file>