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6" w:rsidRDefault="00825D56" w:rsidP="00825D56">
      <w:pPr>
        <w:autoSpaceDE w:val="0"/>
        <w:autoSpaceDN w:val="0"/>
        <w:adjustRightInd w:val="0"/>
        <w:spacing w:after="0" w:line="240" w:lineRule="auto"/>
        <w:rPr>
          <w:rFonts w:ascii="TimesLTStd-Bold" w:hAnsi="TimesLTStd-Bold" w:cs="TimesLTStd-Bold"/>
          <w:b/>
          <w:bCs/>
          <w:sz w:val="18"/>
          <w:szCs w:val="18"/>
        </w:rPr>
      </w:pPr>
      <w:r>
        <w:rPr>
          <w:rFonts w:ascii="TimesLTStd-Bold" w:hAnsi="TimesLTStd-Bold" w:cs="TimesLTStd-Bold"/>
          <w:b/>
          <w:bCs/>
          <w:sz w:val="18"/>
          <w:szCs w:val="18"/>
        </w:rPr>
        <w:t>Cognitive processes underlying anticipation in a context-oriented task</w:t>
      </w:r>
    </w:p>
    <w:p w:rsidR="00825D56" w:rsidRDefault="00825D56" w:rsidP="00825D56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r>
        <w:rPr>
          <w:rFonts w:ascii="TimesLTStd-Roman" w:hAnsi="TimesLTStd-Roman" w:cs="TimesLTStd-Roman"/>
          <w:sz w:val="18"/>
          <w:szCs w:val="18"/>
        </w:rPr>
        <w:t>Murphy, Colm P., Jackson, Robin C., Brunel University London; Roca, André, St Mary’s</w:t>
      </w:r>
      <w:r>
        <w:rPr>
          <w:rFonts w:ascii="TimesLTStd-Roman" w:hAnsi="TimesLTStd-Roman" w:cs="TimesLTStd-Roman"/>
          <w:sz w:val="18"/>
          <w:szCs w:val="18"/>
        </w:rPr>
        <w:t xml:space="preserve"> University; Williams, A. Mark, Brunel </w:t>
      </w:r>
      <w:r>
        <w:rPr>
          <w:rFonts w:ascii="TimesLTStd-Roman" w:hAnsi="TimesLTStd-Roman" w:cs="TimesLTStd-Roman"/>
          <w:sz w:val="18"/>
          <w:szCs w:val="18"/>
        </w:rPr>
        <w:t>University Lond</w:t>
      </w:r>
      <w:r>
        <w:rPr>
          <w:rFonts w:ascii="TimesLTStd-Roman" w:hAnsi="TimesLTStd-Roman" w:cs="TimesLTStd-Roman"/>
          <w:sz w:val="18"/>
          <w:szCs w:val="18"/>
        </w:rPr>
        <w:t xml:space="preserve">on </w:t>
      </w:r>
    </w:p>
    <w:p w:rsidR="0006302C" w:rsidRPr="00825D56" w:rsidRDefault="00825D56" w:rsidP="00825D56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r>
        <w:rPr>
          <w:rFonts w:ascii="TimesLTStd-Roman" w:hAnsi="TimesLTStd-Roman" w:cs="TimesLTStd-Roman"/>
          <w:sz w:val="18"/>
          <w:szCs w:val="18"/>
        </w:rPr>
        <w:t>While the way in which expert performers extract and process kinematic cues from an opponent’</w:t>
      </w:r>
      <w:r>
        <w:rPr>
          <w:rFonts w:ascii="TimesLTStd-Roman" w:hAnsi="TimesLTStd-Roman" w:cs="TimesLTStd-Roman"/>
          <w:sz w:val="18"/>
          <w:szCs w:val="18"/>
        </w:rPr>
        <w:t xml:space="preserve">s postural orientation is well </w:t>
      </w:r>
      <w:r>
        <w:rPr>
          <w:rFonts w:ascii="TimesLTStd-Roman" w:hAnsi="TimesLTStd-Roman" w:cs="TimesLTStd-Roman"/>
          <w:sz w:val="18"/>
          <w:szCs w:val="18"/>
        </w:rPr>
        <w:t xml:space="preserve">documented, we investigate the cognitive processes involved in anticipation based on contextual </w:t>
      </w:r>
      <w:r>
        <w:rPr>
          <w:rFonts w:ascii="TimesLTStd-Roman" w:hAnsi="TimesLTStd-Roman" w:cs="TimesLTStd-Roman"/>
          <w:sz w:val="18"/>
          <w:szCs w:val="18"/>
        </w:rPr>
        <w:t xml:space="preserve">information alone (i.e., in the </w:t>
      </w:r>
      <w:r>
        <w:rPr>
          <w:rFonts w:ascii="TimesLTStd-Roman" w:hAnsi="TimesLTStd-Roman" w:cs="TimesLTStd-Roman"/>
          <w:sz w:val="18"/>
          <w:szCs w:val="18"/>
        </w:rPr>
        <w:t xml:space="preserve">absence of kinematic cues). Long-term working memory theory (Ericsson and </w:t>
      </w:r>
      <w:proofErr w:type="spellStart"/>
      <w:r>
        <w:rPr>
          <w:rFonts w:ascii="TimesLTStd-Roman" w:hAnsi="TimesLTStd-Roman" w:cs="TimesLTStd-Roman"/>
          <w:sz w:val="18"/>
          <w:szCs w:val="18"/>
        </w:rPr>
        <w:t>Kintsch</w:t>
      </w:r>
      <w:proofErr w:type="spellEnd"/>
      <w:r>
        <w:rPr>
          <w:rFonts w:ascii="TimesLTStd-Roman" w:hAnsi="TimesLTStd-Roman" w:cs="TimesLTStd-Roman"/>
          <w:sz w:val="18"/>
          <w:szCs w:val="18"/>
        </w:rPr>
        <w:t>, 199</w:t>
      </w:r>
      <w:r>
        <w:rPr>
          <w:rFonts w:ascii="TimesLTStd-Roman" w:hAnsi="TimesLTStd-Roman" w:cs="TimesLTStd-Roman"/>
          <w:sz w:val="18"/>
          <w:szCs w:val="18"/>
        </w:rPr>
        <w:t xml:space="preserve">5) states that through extended </w:t>
      </w:r>
      <w:r>
        <w:rPr>
          <w:rFonts w:ascii="TimesLTStd-Roman" w:hAnsi="TimesLTStd-Roman" w:cs="TimesLTStd-Roman"/>
          <w:sz w:val="18"/>
          <w:szCs w:val="18"/>
        </w:rPr>
        <w:t>experience and practice, high-skilled performers can encode and retrieve information from a kno</w:t>
      </w:r>
      <w:r>
        <w:rPr>
          <w:rFonts w:ascii="TimesLTStd-Roman" w:hAnsi="TimesLTStd-Roman" w:cs="TimesLTStd-Roman"/>
          <w:sz w:val="18"/>
          <w:szCs w:val="18"/>
        </w:rPr>
        <w:t xml:space="preserve">wledge representation stored in </w:t>
      </w:r>
      <w:r>
        <w:rPr>
          <w:rFonts w:ascii="TimesLTStd-Roman" w:hAnsi="TimesLTStd-Roman" w:cs="TimesLTStd-Roman"/>
          <w:sz w:val="18"/>
          <w:szCs w:val="18"/>
        </w:rPr>
        <w:t>long-term memory. Research suggests that superior anticipation performance can be partially attrib</w:t>
      </w:r>
      <w:r>
        <w:rPr>
          <w:rFonts w:ascii="TimesLTStd-Roman" w:hAnsi="TimesLTStd-Roman" w:cs="TimesLTStd-Roman"/>
          <w:sz w:val="18"/>
          <w:szCs w:val="18"/>
        </w:rPr>
        <w:t xml:space="preserve">uted to this ability to rapidly </w:t>
      </w:r>
      <w:r>
        <w:rPr>
          <w:rFonts w:ascii="TimesLTStd-Roman" w:hAnsi="TimesLTStd-Roman" w:cs="TimesLTStd-Roman"/>
          <w:sz w:val="18"/>
          <w:szCs w:val="18"/>
        </w:rPr>
        <w:t>encode and retrieve domain-specific representations (e.g., Roca et al., 2011). High- (</w:t>
      </w:r>
      <w:r>
        <w:rPr>
          <w:rFonts w:ascii="TimesLTStd-Italic" w:hAnsi="TimesLTStd-Italic" w:cs="TimesLTStd-Italic"/>
          <w:i/>
          <w:iCs/>
          <w:sz w:val="18"/>
          <w:szCs w:val="18"/>
        </w:rPr>
        <w:t xml:space="preserve">n </w:t>
      </w:r>
      <w:r>
        <w:rPr>
          <w:rFonts w:ascii="TimesLTStd-Roman" w:hAnsi="TimesLTStd-Roman" w:cs="TimesLTStd-Roman"/>
          <w:sz w:val="18"/>
          <w:szCs w:val="18"/>
        </w:rPr>
        <w:t>= 10) and low-skilled (</w:t>
      </w:r>
      <w:r>
        <w:rPr>
          <w:rFonts w:ascii="TimesLTStd-Italic" w:hAnsi="TimesLTStd-Italic" w:cs="TimesLTStd-Italic"/>
          <w:i/>
          <w:iCs/>
          <w:sz w:val="18"/>
          <w:szCs w:val="18"/>
        </w:rPr>
        <w:t xml:space="preserve">n </w:t>
      </w:r>
      <w:r>
        <w:rPr>
          <w:rFonts w:ascii="TimesLTStd-Roman" w:hAnsi="TimesLTStd-Roman" w:cs="TimesLTStd-Roman"/>
          <w:sz w:val="18"/>
          <w:szCs w:val="18"/>
        </w:rPr>
        <w:t xml:space="preserve">= 10) tennis players </w:t>
      </w:r>
      <w:r>
        <w:rPr>
          <w:rFonts w:ascii="TimesLTStd-Roman" w:hAnsi="TimesLTStd-Roman" w:cs="TimesLTStd-Roman"/>
          <w:sz w:val="18"/>
          <w:szCs w:val="18"/>
        </w:rPr>
        <w:t>watched animated footage of rallies from matches occluded at the opponent’s racket-ball cont</w:t>
      </w:r>
      <w:r>
        <w:rPr>
          <w:rFonts w:ascii="TimesLTStd-Roman" w:hAnsi="TimesLTStd-Roman" w:cs="TimesLTStd-Roman"/>
          <w:sz w:val="18"/>
          <w:szCs w:val="18"/>
        </w:rPr>
        <w:t xml:space="preserve">act and anticipated ball bounce </w:t>
      </w:r>
      <w:r>
        <w:rPr>
          <w:rFonts w:ascii="TimesLTStd-Roman" w:hAnsi="TimesLTStd-Roman" w:cs="TimesLTStd-Roman"/>
          <w:sz w:val="18"/>
          <w:szCs w:val="18"/>
        </w:rPr>
        <w:t>location (depth and direction). Animated footage, which was generated using player movement an</w:t>
      </w:r>
      <w:r>
        <w:rPr>
          <w:rFonts w:ascii="TimesLTStd-Roman" w:hAnsi="TimesLTStd-Roman" w:cs="TimesLTStd-Roman"/>
          <w:sz w:val="18"/>
          <w:szCs w:val="18"/>
        </w:rPr>
        <w:t xml:space="preserve">d ball trajectory data, omitted </w:t>
      </w:r>
      <w:r>
        <w:rPr>
          <w:rFonts w:ascii="TimesLTStd-Roman" w:hAnsi="TimesLTStd-Roman" w:cs="TimesLTStd-Roman"/>
          <w:sz w:val="18"/>
          <w:szCs w:val="18"/>
        </w:rPr>
        <w:t>player kinematics so that only contextual information was available. Retrospective verbal r</w:t>
      </w:r>
      <w:r>
        <w:rPr>
          <w:rFonts w:ascii="TimesLTStd-Roman" w:hAnsi="TimesLTStd-Roman" w:cs="TimesLTStd-Roman"/>
          <w:sz w:val="18"/>
          <w:szCs w:val="18"/>
        </w:rPr>
        <w:t xml:space="preserve">eports were collected and coded </w:t>
      </w:r>
      <w:r>
        <w:rPr>
          <w:rFonts w:ascii="TimesLTStd-Roman" w:hAnsi="TimesLTStd-Roman" w:cs="TimesLTStd-Roman"/>
          <w:sz w:val="18"/>
          <w:szCs w:val="18"/>
        </w:rPr>
        <w:t>using Ericsson and Simon’s (1993) protocol analysis technique. High-skilled participants’ resp</w:t>
      </w:r>
      <w:r>
        <w:rPr>
          <w:rFonts w:ascii="TimesLTStd-Roman" w:hAnsi="TimesLTStd-Roman" w:cs="TimesLTStd-Roman"/>
          <w:sz w:val="18"/>
          <w:szCs w:val="18"/>
        </w:rPr>
        <w:t xml:space="preserve">onse accuracy scores (depth and </w:t>
      </w:r>
      <w:r>
        <w:rPr>
          <w:rFonts w:ascii="TimesLTStd-Roman" w:hAnsi="TimesLTStd-Roman" w:cs="TimesLTStd-Roman"/>
          <w:sz w:val="18"/>
          <w:szCs w:val="18"/>
        </w:rPr>
        <w:t>direction combined) were significantly higher (</w:t>
      </w:r>
      <w:r>
        <w:rPr>
          <w:rFonts w:ascii="TimesLTStd-Italic" w:hAnsi="TimesLTStd-Italic" w:cs="TimesLTStd-Italic"/>
          <w:i/>
          <w:iCs/>
          <w:sz w:val="18"/>
          <w:szCs w:val="18"/>
        </w:rPr>
        <w:t xml:space="preserve">p </w:t>
      </w:r>
      <w:r>
        <w:rPr>
          <w:rFonts w:ascii="TimesLTStd-Roman" w:hAnsi="TimesLTStd-Roman" w:cs="TimesLTStd-Roman"/>
          <w:sz w:val="18"/>
          <w:szCs w:val="18"/>
        </w:rPr>
        <w:t>&lt; .05) than less-skilled participants (</w:t>
      </w:r>
      <w:r>
        <w:rPr>
          <w:rFonts w:ascii="TimesLTStd-Italic" w:hAnsi="TimesLTStd-Italic" w:cs="TimesLTStd-Italic"/>
          <w:i/>
          <w:iCs/>
          <w:sz w:val="18"/>
          <w:szCs w:val="18"/>
        </w:rPr>
        <w:t xml:space="preserve">M </w:t>
      </w:r>
      <w:r>
        <w:rPr>
          <w:rFonts w:ascii="TimesLTStd-Roman" w:hAnsi="TimesLTStd-Roman" w:cs="TimesLTStd-Roman"/>
          <w:sz w:val="18"/>
          <w:szCs w:val="18"/>
        </w:rPr>
        <w:t xml:space="preserve">= 71.5%, </w:t>
      </w:r>
      <w:r>
        <w:rPr>
          <w:rFonts w:ascii="TimesLTStd-Italic" w:hAnsi="TimesLTStd-Italic" w:cs="TimesLTStd-Italic"/>
          <w:i/>
          <w:iCs/>
          <w:sz w:val="18"/>
          <w:szCs w:val="18"/>
        </w:rPr>
        <w:t xml:space="preserve">SD </w:t>
      </w:r>
      <w:r>
        <w:rPr>
          <w:rFonts w:ascii="TimesLTStd-Roman" w:hAnsi="TimesLTStd-Roman" w:cs="TimesLTStd-Roman"/>
          <w:sz w:val="18"/>
          <w:szCs w:val="18"/>
        </w:rPr>
        <w:t xml:space="preserve">= 10.6% vs. </w:t>
      </w:r>
      <w:r>
        <w:rPr>
          <w:rFonts w:ascii="TimesLTStd-Italic" w:hAnsi="TimesLTStd-Italic" w:cs="TimesLTStd-Italic"/>
          <w:i/>
          <w:iCs/>
          <w:sz w:val="18"/>
          <w:szCs w:val="18"/>
        </w:rPr>
        <w:t xml:space="preserve">M </w:t>
      </w:r>
      <w:r>
        <w:rPr>
          <w:rFonts w:ascii="TimesLTStd-Roman" w:hAnsi="TimesLTStd-Roman" w:cs="TimesLTStd-Roman"/>
          <w:sz w:val="18"/>
          <w:szCs w:val="18"/>
        </w:rPr>
        <w:t xml:space="preserve">= 50%, </w:t>
      </w:r>
      <w:r>
        <w:rPr>
          <w:rFonts w:ascii="TimesLTStd-Italic" w:hAnsi="TimesLTStd-Italic" w:cs="TimesLTStd-Italic"/>
          <w:i/>
          <w:iCs/>
          <w:sz w:val="18"/>
          <w:szCs w:val="18"/>
        </w:rPr>
        <w:t>SD</w:t>
      </w:r>
      <w:r>
        <w:rPr>
          <w:rFonts w:ascii="TimesLTStd-Roman" w:hAnsi="TimesLTStd-Roman" w:cs="TimesLTStd-Roman"/>
          <w:sz w:val="18"/>
          <w:szCs w:val="18"/>
        </w:rPr>
        <w:t>= 12.5%). Both groups performed significantly better than chance (</w:t>
      </w:r>
      <w:r>
        <w:rPr>
          <w:rFonts w:ascii="TimesLTStd-Italic" w:hAnsi="TimesLTStd-Italic" w:cs="TimesLTStd-Italic"/>
          <w:i/>
          <w:iCs/>
          <w:sz w:val="18"/>
          <w:szCs w:val="18"/>
        </w:rPr>
        <w:t xml:space="preserve">p </w:t>
      </w:r>
      <w:r>
        <w:rPr>
          <w:rFonts w:ascii="TimesLTStd-Roman" w:hAnsi="TimesLTStd-Roman" w:cs="TimesLTStd-Roman"/>
          <w:sz w:val="18"/>
          <w:szCs w:val="18"/>
        </w:rPr>
        <w:t>&lt; .05), indicating the impor</w:t>
      </w:r>
      <w:r>
        <w:rPr>
          <w:rFonts w:ascii="TimesLTStd-Roman" w:hAnsi="TimesLTStd-Roman" w:cs="TimesLTStd-Roman"/>
          <w:sz w:val="18"/>
          <w:szCs w:val="18"/>
        </w:rPr>
        <w:t xml:space="preserve">tance of contextual information </w:t>
      </w:r>
      <w:r>
        <w:rPr>
          <w:rFonts w:ascii="TimesLTStd-Roman" w:hAnsi="TimesLTStd-Roman" w:cs="TimesLTStd-Roman"/>
          <w:sz w:val="18"/>
          <w:szCs w:val="18"/>
        </w:rPr>
        <w:t xml:space="preserve">when makings such judgements. In support of Ericsson and </w:t>
      </w:r>
      <w:proofErr w:type="spellStart"/>
      <w:r>
        <w:rPr>
          <w:rFonts w:ascii="TimesLTStd-Roman" w:hAnsi="TimesLTStd-Roman" w:cs="TimesLTStd-Roman"/>
          <w:sz w:val="18"/>
          <w:szCs w:val="18"/>
        </w:rPr>
        <w:t>Kintsch’s</w:t>
      </w:r>
      <w:proofErr w:type="spellEnd"/>
      <w:r>
        <w:rPr>
          <w:rFonts w:ascii="TimesLTStd-Roman" w:hAnsi="TimesLTStd-Roman" w:cs="TimesLTStd-Roman"/>
          <w:sz w:val="18"/>
          <w:szCs w:val="18"/>
        </w:rPr>
        <w:t xml:space="preserve"> (1995) long-term work</w:t>
      </w:r>
      <w:r>
        <w:rPr>
          <w:rFonts w:ascii="TimesLTStd-Roman" w:hAnsi="TimesLTStd-Roman" w:cs="TimesLTStd-Roman"/>
          <w:sz w:val="18"/>
          <w:szCs w:val="18"/>
        </w:rPr>
        <w:t xml:space="preserve">ing memory theory, high-skilled </w:t>
      </w:r>
      <w:r>
        <w:rPr>
          <w:rFonts w:ascii="TimesLTStd-Roman" w:hAnsi="TimesLTStd-Roman" w:cs="TimesLTStd-Roman"/>
          <w:sz w:val="18"/>
          <w:szCs w:val="18"/>
        </w:rPr>
        <w:t>participants made</w:t>
      </w:r>
      <w:r>
        <w:rPr>
          <w:rFonts w:ascii="TimesLTStd-Roman" w:hAnsi="TimesLTStd-Roman" w:cs="TimesLTStd-Roman"/>
          <w:sz w:val="18"/>
          <w:szCs w:val="18"/>
        </w:rPr>
        <w:t xml:space="preserve"> more evaluation and prediction </w:t>
      </w:r>
      <w:r>
        <w:rPr>
          <w:rFonts w:ascii="TimesLTStd-Roman" w:hAnsi="TimesLTStd-Roman" w:cs="TimesLTStd-Roman"/>
          <w:sz w:val="18"/>
          <w:szCs w:val="18"/>
        </w:rPr>
        <w:t>statements than less-skilled participants. Moreover, these high-skilled athletes’</w:t>
      </w:r>
      <w:r>
        <w:rPr>
          <w:rFonts w:ascii="TimesLTStd-Roman" w:hAnsi="TimesLTStd-Roman" w:cs="TimesLTStd-Roman"/>
          <w:sz w:val="18"/>
          <w:szCs w:val="18"/>
        </w:rPr>
        <w:t xml:space="preserve"> </w:t>
      </w:r>
      <w:r>
        <w:rPr>
          <w:rFonts w:ascii="TimesLTStd-Roman" w:hAnsi="TimesLTStd-Roman" w:cs="TimesLTStd-Roman"/>
          <w:sz w:val="18"/>
          <w:szCs w:val="18"/>
        </w:rPr>
        <w:t>verbal reports were more detailed. These findings suggest that high-skilled performers empl</w:t>
      </w:r>
      <w:r>
        <w:rPr>
          <w:rFonts w:ascii="TimesLTStd-Roman" w:hAnsi="TimesLTStd-Roman" w:cs="TimesLTStd-Roman"/>
          <w:sz w:val="18"/>
          <w:szCs w:val="18"/>
        </w:rPr>
        <w:t xml:space="preserve">oy more complex domain-specific </w:t>
      </w:r>
      <w:r>
        <w:rPr>
          <w:rFonts w:ascii="TimesLTStd-Roman" w:hAnsi="TimesLTStd-Roman" w:cs="TimesLTStd-Roman"/>
          <w:sz w:val="18"/>
          <w:szCs w:val="18"/>
        </w:rPr>
        <w:t xml:space="preserve">memory representations than less-skilled performers when anticipating in the absence of kinematic </w:t>
      </w:r>
      <w:r>
        <w:rPr>
          <w:rFonts w:ascii="TimesLTStd-Roman" w:hAnsi="TimesLTStd-Roman" w:cs="TimesLTStd-Roman"/>
          <w:sz w:val="18"/>
          <w:szCs w:val="18"/>
        </w:rPr>
        <w:t xml:space="preserve">cues. Results have implications </w:t>
      </w:r>
      <w:bookmarkStart w:id="0" w:name="_GoBack"/>
      <w:bookmarkEnd w:id="0"/>
      <w:r>
        <w:rPr>
          <w:rFonts w:ascii="TimesLTStd-Roman" w:hAnsi="TimesLTStd-Roman" w:cs="TimesLTStd-Roman"/>
          <w:sz w:val="18"/>
          <w:szCs w:val="18"/>
        </w:rPr>
        <w:t xml:space="preserve">for the testing and training of anticipation in sport and other temporally constrained domains. </w:t>
      </w:r>
      <w:r>
        <w:rPr>
          <w:rFonts w:ascii="TimesLTStd-Italic" w:hAnsi="TimesLTStd-Italic" w:cs="TimesLTStd-Italic"/>
          <w:i/>
          <w:iCs/>
          <w:sz w:val="18"/>
          <w:szCs w:val="18"/>
        </w:rPr>
        <w:t>Self-funded</w:t>
      </w:r>
    </w:p>
    <w:sectPr w:rsidR="0006302C" w:rsidRPr="00825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6"/>
    <w:rsid w:val="00825D56"/>
    <w:rsid w:val="008F6E98"/>
    <w:rsid w:val="00A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2D099-BDC5-4CD2-8A21-11BF8CD5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Sanders</dc:creator>
  <cp:keywords/>
  <dc:description/>
  <cp:lastModifiedBy>Kevin Sanders</cp:lastModifiedBy>
  <cp:revision>1</cp:revision>
  <dcterms:created xsi:type="dcterms:W3CDTF">2016-08-05T11:37:00Z</dcterms:created>
  <dcterms:modified xsi:type="dcterms:W3CDTF">2016-08-05T11:39:00Z</dcterms:modified>
</cp:coreProperties>
</file>