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28DB2" w14:textId="11B5C155" w:rsidR="009560FC" w:rsidRDefault="006138FD">
      <w:pPr>
        <w:rPr>
          <w:rFonts w:ascii="Times New Roman" w:hAnsi="Times New Roman" w:cs="Times New Roman"/>
          <w:b/>
          <w:sz w:val="28"/>
          <w:szCs w:val="28"/>
        </w:rPr>
      </w:pPr>
      <w:r>
        <w:rPr>
          <w:rFonts w:ascii="Times New Roman" w:hAnsi="Times New Roman" w:cs="Times New Roman"/>
          <w:b/>
          <w:noProof/>
          <w:sz w:val="28"/>
          <w:szCs w:val="28"/>
          <w:lang w:eastAsia="en-GB"/>
        </w:rPr>
        <mc:AlternateContent>
          <mc:Choice Requires="wps">
            <w:drawing>
              <wp:anchor distT="0" distB="0" distL="114300" distR="114300" simplePos="0" relativeHeight="251660288" behindDoc="0" locked="0" layoutInCell="1" allowOverlap="1" wp14:anchorId="38B8D305" wp14:editId="4930EAD2">
                <wp:simplePos x="0" y="0"/>
                <wp:positionH relativeFrom="column">
                  <wp:posOffset>-885825</wp:posOffset>
                </wp:positionH>
                <wp:positionV relativeFrom="paragraph">
                  <wp:posOffset>-1190625</wp:posOffset>
                </wp:positionV>
                <wp:extent cx="7715250" cy="10201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715250" cy="1020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6F1B6" w14:textId="624E2553" w:rsidR="00710E11" w:rsidRDefault="00710E11" w:rsidP="006138FD">
                            <w:pPr>
                              <w:rPr>
                                <w:rFonts w:ascii="Arial Nova Light" w:hAnsi="Arial Nova Light"/>
                                <w:b/>
                                <w:color w:val="FFFFFF" w:themeColor="background1"/>
                                <w:sz w:val="52"/>
                                <w:szCs w:val="160"/>
                              </w:rPr>
                            </w:pPr>
                            <w:r>
                              <w:rPr>
                                <w:rFonts w:ascii="Arial Nova Light" w:hAnsi="Arial Nova Light"/>
                                <w:b/>
                                <w:color w:val="FFFFFF" w:themeColor="background1"/>
                                <w:sz w:val="52"/>
                                <w:szCs w:val="160"/>
                              </w:rPr>
                              <w:t xml:space="preserve">                   </w:t>
                            </w:r>
                          </w:p>
                          <w:p w14:paraId="5982B0A3" w14:textId="2AD25686" w:rsidR="00710E11" w:rsidRPr="006138FD" w:rsidRDefault="00710E11" w:rsidP="006138FD">
                            <w:pPr>
                              <w:jc w:val="right"/>
                              <w:rPr>
                                <w:rFonts w:ascii="Arial Nova Light" w:hAnsi="Arial Nova Light"/>
                                <w:b/>
                                <w:color w:val="FFFFFF" w:themeColor="background1"/>
                                <w:sz w:val="32"/>
                                <w:szCs w:val="160"/>
                              </w:rPr>
                            </w:pPr>
                            <w:r w:rsidRPr="006138FD">
                              <w:rPr>
                                <w:rFonts w:ascii="Arial Nova Light" w:hAnsi="Arial Nova Light"/>
                                <w:b/>
                                <w:color w:val="FFFFFF" w:themeColor="background1"/>
                                <w:sz w:val="32"/>
                                <w:szCs w:val="160"/>
                              </w:rPr>
                              <w:t xml:space="preserve">                      ISSN 2398-5461</w:t>
                            </w:r>
                          </w:p>
                          <w:p w14:paraId="74AD5B51" w14:textId="77777777" w:rsidR="00710E11" w:rsidRDefault="00710E11" w:rsidP="006138FD">
                            <w:pPr>
                              <w:jc w:val="center"/>
                              <w:rPr>
                                <w:rFonts w:ascii="Arial Nova Light" w:hAnsi="Arial Nova Light"/>
                                <w:b/>
                                <w:color w:val="FFFFFF" w:themeColor="background1"/>
                                <w:sz w:val="144"/>
                                <w:szCs w:val="160"/>
                              </w:rPr>
                            </w:pPr>
                          </w:p>
                          <w:p w14:paraId="3C86A430" w14:textId="423EB29C" w:rsidR="00710E11" w:rsidRPr="006138FD" w:rsidRDefault="00710E11" w:rsidP="006138FD">
                            <w:pPr>
                              <w:jc w:val="center"/>
                              <w:rPr>
                                <w:rFonts w:ascii="Arial Nova Light" w:hAnsi="Arial Nova Light"/>
                                <w:b/>
                                <w:color w:val="FFFFFF" w:themeColor="background1"/>
                                <w:sz w:val="144"/>
                                <w:szCs w:val="160"/>
                              </w:rPr>
                            </w:pPr>
                            <w:r w:rsidRPr="006138FD">
                              <w:rPr>
                                <w:rFonts w:ascii="Arial Nova Light" w:hAnsi="Arial Nova Light"/>
                                <w:b/>
                                <w:color w:val="FFFFFF" w:themeColor="background1"/>
                                <w:sz w:val="144"/>
                                <w:szCs w:val="160"/>
                              </w:rPr>
                              <w:t>The First Women Lawyers in Great Britain and the Empire Record</w:t>
                            </w:r>
                          </w:p>
                          <w:p w14:paraId="12F8300B" w14:textId="77777777" w:rsidR="00710E11" w:rsidRDefault="00710E11" w:rsidP="006138FD">
                            <w:pPr>
                              <w:rPr>
                                <w:color w:val="FFFFFF" w:themeColor="background1"/>
                                <w:sz w:val="56"/>
                                <w:szCs w:val="96"/>
                              </w:rPr>
                            </w:pPr>
                          </w:p>
                          <w:p w14:paraId="53967CE2" w14:textId="77777777" w:rsidR="00710E11" w:rsidRDefault="00710E11" w:rsidP="006138FD">
                            <w:pPr>
                              <w:rPr>
                                <w:color w:val="FFFFFF" w:themeColor="background1"/>
                                <w:sz w:val="56"/>
                                <w:szCs w:val="96"/>
                              </w:rPr>
                            </w:pPr>
                          </w:p>
                          <w:p w14:paraId="4F41D9E5" w14:textId="77777777" w:rsidR="00710E11" w:rsidRDefault="00710E11" w:rsidP="006138FD">
                            <w:pPr>
                              <w:jc w:val="center"/>
                              <w:rPr>
                                <w:color w:val="FFFFFF" w:themeColor="background1"/>
                                <w:sz w:val="56"/>
                                <w:szCs w:val="96"/>
                              </w:rPr>
                            </w:pPr>
                          </w:p>
                          <w:p w14:paraId="2C511756" w14:textId="77777777" w:rsidR="00710E11" w:rsidRDefault="00710E11" w:rsidP="006138FD">
                            <w:pPr>
                              <w:jc w:val="center"/>
                              <w:rPr>
                                <w:color w:val="FFFFFF" w:themeColor="background1"/>
                                <w:sz w:val="56"/>
                                <w:szCs w:val="96"/>
                              </w:rPr>
                            </w:pPr>
                          </w:p>
                          <w:p w14:paraId="007746EC" w14:textId="568467C0" w:rsidR="00710E11" w:rsidRPr="006138FD" w:rsidRDefault="00710E11" w:rsidP="006138FD">
                            <w:pPr>
                              <w:jc w:val="center"/>
                              <w:rPr>
                                <w:color w:val="FFFFFF" w:themeColor="background1"/>
                                <w:sz w:val="56"/>
                                <w:szCs w:val="96"/>
                              </w:rPr>
                            </w:pPr>
                            <w:r w:rsidRPr="006138FD">
                              <w:rPr>
                                <w:color w:val="FFFFFF" w:themeColor="background1"/>
                                <w:sz w:val="56"/>
                                <w:szCs w:val="96"/>
                              </w:rPr>
                              <w:t>Volume 1, 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8D305" id="_x0000_t202" coordsize="21600,21600" o:spt="202" path="m,l,21600r21600,l21600,xe">
                <v:stroke joinstyle="miter"/>
                <v:path gradientshapeok="t" o:connecttype="rect"/>
              </v:shapetype>
              <v:shape id="Text Box 5" o:spid="_x0000_s1026" type="#_x0000_t202" style="position:absolute;margin-left:-69.75pt;margin-top:-93.75pt;width:607.5pt;height:80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2bfAIAAGQFAAAOAAAAZHJzL2Uyb0RvYy54bWysVEtvEzEQviPxHyzf6SahaSDqpgqtipCq&#10;tqJFPTteu1nh9RjbSTb8ej57Nw8KlyIuu+OZb96P84u2MWytfKjJlnx4MuBMWUlVbZ9L/u3x+t0H&#10;zkIUthKGrCr5VgV+MXv75nzjpmpESzKV8gxGbJhuXMmXMbppUQS5VI0IJ+SUhVCTb0TE0z8XlRcb&#10;WG9MMRoMzooN+cp5kioEcK86IZ9l+1orGe+0DioyU3LEFvPX5+8ifYvZuZg+e+GWtezDEP8QRSNq&#10;C6d7U1ciCrby9R+mmlp6CqTjiaSmIK1rqXIOyGY4eJHNw1I4lXNBcYLblyn8P7Pydn3vWV2VfMyZ&#10;FQ1a9KjayD5Ry8apOhsXpgA9OMBiCza6vOMHMFPSrfZN+iMdBjnqvN3XNhmTYE4mw/FoDJGEbDhA&#10;tqNJdlAc9J0P8bOihiWi5B7dy0UV65sQEQugO0hyZ+m6NiZ30Fi2KfnZezj4TQINYxNH5VnozaSc&#10;utgzFbdGJYyxX5VGLXIKiZGnUF0az9YC8yOkVDbm7LNdoBNKI4jXKPb4Q1SvUe7y2HkmG/fKTW3J&#10;5+xfhF1934WsOzwKeZR3ImO7aPteL6jaotWeulUJTl7X6MaNCPFeeOwGWoh9j3f4aEOoOvUUZ0vy&#10;P//GT3iMLKScbbBrJQ8/VsIrzswXi2H+ODw9TcuZH6fjyQgPfyxZHEvsqrkktGOIy+JkJhM+mh2p&#10;PTVPOAvz5BUiYSV8lzzuyMvYXQCcFanm8wzCOjoRb+yDk8l06k6atcf2SXjXD2TEMN/SbivF9MVc&#10;dtikaWm+iqTrPLSpwF1V+8JjlfMs92cn3Yrjd0YdjuPsFwAAAP//AwBQSwMEFAAGAAgAAAAhAEou&#10;D4vjAAAADwEAAA8AAABkcnMvZG93bnJldi54bWxMj8FOwzAMhu9IvENkJG5b0kFZV5pOU6UJCbHD&#10;xi7c0sZrK5qkNNlWeHrcE9w+y79+f87Wo+nYBQffOishmgtgaCunW1tLOL5vZwkwH5TVqnMWJXyj&#10;h3V+e5OpVLur3ePlEGpGJdanSkITQp9y7qsGjfJz16Ol3ckNRgUah5rrQV2p3HR8IcQTN6q1dKFR&#10;PRYNVp+Hs5HwWmx3al8uTPLTFS9vp03/dfyIpby/GzfPwAKO4S8Mkz6pQ05OpTtb7VknYRY9rGLK&#10;TpQsiaaMWMZEJdFjtBLA84z//yP/BQAA//8DAFBLAQItABQABgAIAAAAIQC2gziS/gAAAOEBAAAT&#10;AAAAAAAAAAAAAAAAAAAAAABbQ29udGVudF9UeXBlc10ueG1sUEsBAi0AFAAGAAgAAAAhADj9If/W&#10;AAAAlAEAAAsAAAAAAAAAAAAAAAAALwEAAF9yZWxzLy5yZWxzUEsBAi0AFAAGAAgAAAAhAFVkLZt8&#10;AgAAZAUAAA4AAAAAAAAAAAAAAAAALgIAAGRycy9lMm9Eb2MueG1sUEsBAi0AFAAGAAgAAAAhAEou&#10;D4vjAAAADwEAAA8AAAAAAAAAAAAAAAAA1gQAAGRycy9kb3ducmV2LnhtbFBLBQYAAAAABAAEAPMA&#10;AADmBQAAAAA=&#10;" filled="f" stroked="f" strokeweight=".5pt">
                <v:textbox>
                  <w:txbxContent>
                    <w:p w14:paraId="45A6F1B6" w14:textId="624E2553" w:rsidR="00710E11" w:rsidRDefault="00710E11" w:rsidP="006138FD">
                      <w:pPr>
                        <w:rPr>
                          <w:rFonts w:ascii="Arial Nova Light" w:hAnsi="Arial Nova Light"/>
                          <w:b/>
                          <w:color w:val="FFFFFF" w:themeColor="background1"/>
                          <w:sz w:val="52"/>
                          <w:szCs w:val="160"/>
                        </w:rPr>
                      </w:pPr>
                      <w:r>
                        <w:rPr>
                          <w:rFonts w:ascii="Arial Nova Light" w:hAnsi="Arial Nova Light"/>
                          <w:b/>
                          <w:color w:val="FFFFFF" w:themeColor="background1"/>
                          <w:sz w:val="52"/>
                          <w:szCs w:val="160"/>
                        </w:rPr>
                        <w:t xml:space="preserve">                   </w:t>
                      </w:r>
                    </w:p>
                    <w:p w14:paraId="5982B0A3" w14:textId="2AD25686" w:rsidR="00710E11" w:rsidRPr="006138FD" w:rsidRDefault="00710E11" w:rsidP="006138FD">
                      <w:pPr>
                        <w:jc w:val="right"/>
                        <w:rPr>
                          <w:rFonts w:ascii="Arial Nova Light" w:hAnsi="Arial Nova Light"/>
                          <w:b/>
                          <w:color w:val="FFFFFF" w:themeColor="background1"/>
                          <w:sz w:val="32"/>
                          <w:szCs w:val="160"/>
                        </w:rPr>
                      </w:pPr>
                      <w:r w:rsidRPr="006138FD">
                        <w:rPr>
                          <w:rFonts w:ascii="Arial Nova Light" w:hAnsi="Arial Nova Light"/>
                          <w:b/>
                          <w:color w:val="FFFFFF" w:themeColor="background1"/>
                          <w:sz w:val="32"/>
                          <w:szCs w:val="160"/>
                        </w:rPr>
                        <w:t xml:space="preserve">                      ISSN 2398-5461</w:t>
                      </w:r>
                    </w:p>
                    <w:p w14:paraId="74AD5B51" w14:textId="77777777" w:rsidR="00710E11" w:rsidRDefault="00710E11" w:rsidP="006138FD">
                      <w:pPr>
                        <w:jc w:val="center"/>
                        <w:rPr>
                          <w:rFonts w:ascii="Arial Nova Light" w:hAnsi="Arial Nova Light"/>
                          <w:b/>
                          <w:color w:val="FFFFFF" w:themeColor="background1"/>
                          <w:sz w:val="144"/>
                          <w:szCs w:val="160"/>
                        </w:rPr>
                      </w:pPr>
                    </w:p>
                    <w:p w14:paraId="3C86A430" w14:textId="423EB29C" w:rsidR="00710E11" w:rsidRPr="006138FD" w:rsidRDefault="00710E11" w:rsidP="006138FD">
                      <w:pPr>
                        <w:jc w:val="center"/>
                        <w:rPr>
                          <w:rFonts w:ascii="Arial Nova Light" w:hAnsi="Arial Nova Light"/>
                          <w:b/>
                          <w:color w:val="FFFFFF" w:themeColor="background1"/>
                          <w:sz w:val="144"/>
                          <w:szCs w:val="160"/>
                        </w:rPr>
                      </w:pPr>
                      <w:r w:rsidRPr="006138FD">
                        <w:rPr>
                          <w:rFonts w:ascii="Arial Nova Light" w:hAnsi="Arial Nova Light"/>
                          <w:b/>
                          <w:color w:val="FFFFFF" w:themeColor="background1"/>
                          <w:sz w:val="144"/>
                          <w:szCs w:val="160"/>
                        </w:rPr>
                        <w:t>The First Women Lawyers in Great Britain and the Empire Record</w:t>
                      </w:r>
                    </w:p>
                    <w:p w14:paraId="12F8300B" w14:textId="77777777" w:rsidR="00710E11" w:rsidRDefault="00710E11" w:rsidP="006138FD">
                      <w:pPr>
                        <w:rPr>
                          <w:color w:val="FFFFFF" w:themeColor="background1"/>
                          <w:sz w:val="56"/>
                          <w:szCs w:val="96"/>
                        </w:rPr>
                      </w:pPr>
                    </w:p>
                    <w:p w14:paraId="53967CE2" w14:textId="77777777" w:rsidR="00710E11" w:rsidRDefault="00710E11" w:rsidP="006138FD">
                      <w:pPr>
                        <w:rPr>
                          <w:color w:val="FFFFFF" w:themeColor="background1"/>
                          <w:sz w:val="56"/>
                          <w:szCs w:val="96"/>
                        </w:rPr>
                      </w:pPr>
                    </w:p>
                    <w:p w14:paraId="4F41D9E5" w14:textId="77777777" w:rsidR="00710E11" w:rsidRDefault="00710E11" w:rsidP="006138FD">
                      <w:pPr>
                        <w:jc w:val="center"/>
                        <w:rPr>
                          <w:color w:val="FFFFFF" w:themeColor="background1"/>
                          <w:sz w:val="56"/>
                          <w:szCs w:val="96"/>
                        </w:rPr>
                      </w:pPr>
                    </w:p>
                    <w:p w14:paraId="2C511756" w14:textId="77777777" w:rsidR="00710E11" w:rsidRDefault="00710E11" w:rsidP="006138FD">
                      <w:pPr>
                        <w:jc w:val="center"/>
                        <w:rPr>
                          <w:color w:val="FFFFFF" w:themeColor="background1"/>
                          <w:sz w:val="56"/>
                          <w:szCs w:val="96"/>
                        </w:rPr>
                      </w:pPr>
                    </w:p>
                    <w:p w14:paraId="007746EC" w14:textId="568467C0" w:rsidR="00710E11" w:rsidRPr="006138FD" w:rsidRDefault="00710E11" w:rsidP="006138FD">
                      <w:pPr>
                        <w:jc w:val="center"/>
                        <w:rPr>
                          <w:color w:val="FFFFFF" w:themeColor="background1"/>
                          <w:sz w:val="56"/>
                          <w:szCs w:val="96"/>
                        </w:rPr>
                      </w:pPr>
                      <w:r w:rsidRPr="006138FD">
                        <w:rPr>
                          <w:color w:val="FFFFFF" w:themeColor="background1"/>
                          <w:sz w:val="56"/>
                          <w:szCs w:val="96"/>
                        </w:rPr>
                        <w:t>Volume 1, June 2016</w:t>
                      </w:r>
                    </w:p>
                  </w:txbxContent>
                </v:textbox>
              </v:shape>
            </w:pict>
          </mc:Fallback>
        </mc:AlternateContent>
      </w:r>
      <w:r w:rsidRPr="009560FC">
        <w:rPr>
          <w:rFonts w:ascii="Times New Roman" w:hAnsi="Times New Roman" w:cs="Times New Roman"/>
          <w:b/>
          <w:noProof/>
          <w:sz w:val="28"/>
          <w:szCs w:val="28"/>
          <w:lang w:eastAsia="en-GB"/>
        </w:rPr>
        <w:drawing>
          <wp:anchor distT="0" distB="0" distL="114300" distR="114300" simplePos="0" relativeHeight="251659264" behindDoc="1" locked="0" layoutInCell="1" allowOverlap="1" wp14:anchorId="21AC806F" wp14:editId="04C698D3">
            <wp:simplePos x="0" y="0"/>
            <wp:positionH relativeFrom="column">
              <wp:posOffset>-1295126</wp:posOffset>
            </wp:positionH>
            <wp:positionV relativeFrom="paragraph">
              <wp:posOffset>-2571750</wp:posOffset>
            </wp:positionV>
            <wp:extent cx="8124825" cy="12000636"/>
            <wp:effectExtent l="228600" t="228600" r="219075" b="2298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4825" cy="12000636"/>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9560FC">
        <w:rPr>
          <w:rFonts w:ascii="Times New Roman" w:hAnsi="Times New Roman" w:cs="Times New Roman"/>
          <w:b/>
          <w:sz w:val="28"/>
          <w:szCs w:val="28"/>
        </w:rPr>
        <w:br w:type="page"/>
      </w:r>
    </w:p>
    <w:p w14:paraId="3368F457" w14:textId="1D8FB8FC" w:rsidR="00753245" w:rsidRDefault="00753245">
      <w:pPr>
        <w:rPr>
          <w:rFonts w:ascii="Times New Roman" w:hAnsi="Times New Roman" w:cs="Times New Roman"/>
          <w:sz w:val="28"/>
          <w:szCs w:val="28"/>
        </w:rPr>
      </w:pPr>
    </w:p>
    <w:p w14:paraId="14EE9BCD" w14:textId="2C37A491" w:rsidR="00753245" w:rsidRDefault="00753245" w:rsidP="00753245">
      <w:pPr>
        <w:jc w:val="right"/>
        <w:rPr>
          <w:rFonts w:ascii="Times New Roman" w:hAnsi="Times New Roman" w:cs="Times New Roman"/>
          <w:sz w:val="28"/>
          <w:szCs w:val="28"/>
        </w:rPr>
      </w:pPr>
      <w:r>
        <w:rPr>
          <w:rFonts w:ascii="Times New Roman" w:hAnsi="Times New Roman" w:cs="Times New Roman"/>
          <w:sz w:val="28"/>
          <w:szCs w:val="28"/>
        </w:rPr>
        <w:t>ISSN 2398-5461</w:t>
      </w:r>
    </w:p>
    <w:p w14:paraId="20DBD2ED" w14:textId="77777777" w:rsidR="00753245" w:rsidRPr="00753245" w:rsidRDefault="00753245" w:rsidP="00753245">
      <w:pPr>
        <w:jc w:val="right"/>
        <w:rPr>
          <w:rFonts w:ascii="Times New Roman" w:hAnsi="Times New Roman" w:cs="Times New Roman"/>
          <w:sz w:val="28"/>
          <w:szCs w:val="28"/>
        </w:rPr>
      </w:pPr>
    </w:p>
    <w:p w14:paraId="4C223E79" w14:textId="77777777" w:rsidR="00871AC3" w:rsidRDefault="00871AC3">
      <w:pPr>
        <w:rPr>
          <w:rFonts w:ascii="Times New Roman" w:hAnsi="Times New Roman" w:cs="Times New Roman"/>
          <w:i/>
          <w:sz w:val="28"/>
          <w:szCs w:val="28"/>
        </w:rPr>
      </w:pPr>
    </w:p>
    <w:p w14:paraId="2DB8705E" w14:textId="5E1CE0F2" w:rsidR="00753245" w:rsidRDefault="00753245">
      <w:pPr>
        <w:rPr>
          <w:rFonts w:ascii="Times New Roman" w:hAnsi="Times New Roman" w:cs="Times New Roman"/>
          <w:i/>
          <w:sz w:val="28"/>
          <w:szCs w:val="28"/>
        </w:rPr>
      </w:pPr>
      <w:r>
        <w:rPr>
          <w:rFonts w:ascii="Times New Roman" w:hAnsi="Times New Roman" w:cs="Times New Roman"/>
          <w:i/>
          <w:sz w:val="28"/>
          <w:szCs w:val="28"/>
        </w:rPr>
        <w:t>First Women Lawyers in Great Britain and the Empire Record</w:t>
      </w:r>
    </w:p>
    <w:p w14:paraId="075CEB68" w14:textId="53D9D03E" w:rsidR="00753245" w:rsidRDefault="00753245">
      <w:pPr>
        <w:rPr>
          <w:rFonts w:ascii="Times New Roman" w:hAnsi="Times New Roman" w:cs="Times New Roman"/>
          <w:sz w:val="28"/>
          <w:szCs w:val="28"/>
        </w:rPr>
      </w:pPr>
      <w:r>
        <w:rPr>
          <w:rFonts w:ascii="Times New Roman" w:hAnsi="Times New Roman" w:cs="Times New Roman"/>
          <w:sz w:val="28"/>
          <w:szCs w:val="28"/>
        </w:rPr>
        <w:t>First Women Lawyers in Great Britain and the Empire Symposia</w:t>
      </w:r>
      <w:r w:rsidR="00871AC3">
        <w:rPr>
          <w:rFonts w:ascii="Times New Roman" w:hAnsi="Times New Roman" w:cs="Times New Roman"/>
          <w:sz w:val="28"/>
          <w:szCs w:val="28"/>
        </w:rPr>
        <w:t>.</w:t>
      </w:r>
      <w:r>
        <w:rPr>
          <w:rFonts w:ascii="Times New Roman" w:hAnsi="Times New Roman" w:cs="Times New Roman"/>
          <w:sz w:val="28"/>
          <w:szCs w:val="28"/>
        </w:rPr>
        <w:t xml:space="preserve"> </w:t>
      </w:r>
    </w:p>
    <w:p w14:paraId="5D929E8D" w14:textId="6616B915" w:rsidR="00753245" w:rsidRDefault="00753245">
      <w:pPr>
        <w:rPr>
          <w:rFonts w:ascii="Times New Roman" w:hAnsi="Times New Roman" w:cs="Times New Roman"/>
          <w:sz w:val="28"/>
          <w:szCs w:val="28"/>
        </w:rPr>
      </w:pPr>
      <w:r>
        <w:rPr>
          <w:rFonts w:ascii="Times New Roman" w:hAnsi="Times New Roman" w:cs="Times New Roman"/>
          <w:sz w:val="28"/>
          <w:szCs w:val="28"/>
        </w:rPr>
        <w:t>Published June 2016</w:t>
      </w:r>
      <w:r w:rsidR="00871AC3">
        <w:rPr>
          <w:rFonts w:ascii="Times New Roman" w:hAnsi="Times New Roman" w:cs="Times New Roman"/>
          <w:sz w:val="28"/>
          <w:szCs w:val="28"/>
        </w:rPr>
        <w:t>.</w:t>
      </w:r>
    </w:p>
    <w:p w14:paraId="2E6AA5B4" w14:textId="10C73D50" w:rsidR="00871AC3" w:rsidRDefault="00753245">
      <w:pPr>
        <w:rPr>
          <w:rFonts w:ascii="Times New Roman" w:hAnsi="Times New Roman" w:cs="Times New Roman"/>
          <w:sz w:val="28"/>
          <w:szCs w:val="28"/>
        </w:rPr>
      </w:pPr>
      <w:r>
        <w:rPr>
          <w:rFonts w:ascii="Times New Roman" w:hAnsi="Times New Roman" w:cs="Times New Roman"/>
          <w:sz w:val="28"/>
          <w:szCs w:val="28"/>
        </w:rPr>
        <w:t>Text Copyright © Judith Bourne 2016</w:t>
      </w:r>
      <w:r w:rsidR="00871AC3">
        <w:rPr>
          <w:rFonts w:ascii="Times New Roman" w:hAnsi="Times New Roman" w:cs="Times New Roman"/>
          <w:sz w:val="28"/>
          <w:szCs w:val="28"/>
        </w:rPr>
        <w:t>.</w:t>
      </w:r>
    </w:p>
    <w:p w14:paraId="52BB47D8" w14:textId="233F743A" w:rsidR="00871AC3" w:rsidRDefault="00871AC3">
      <w:pPr>
        <w:rPr>
          <w:rFonts w:ascii="Times New Roman" w:hAnsi="Times New Roman" w:cs="Times New Roman"/>
          <w:sz w:val="28"/>
          <w:szCs w:val="28"/>
        </w:rPr>
      </w:pPr>
      <w:r>
        <w:rPr>
          <w:rFonts w:ascii="Times New Roman" w:hAnsi="Times New Roman" w:cs="Times New Roman"/>
          <w:sz w:val="28"/>
          <w:szCs w:val="28"/>
        </w:rPr>
        <w:t xml:space="preserve">© </w:t>
      </w:r>
      <w:r w:rsidR="004E5FAC">
        <w:rPr>
          <w:rFonts w:ascii="Times New Roman" w:hAnsi="Times New Roman" w:cs="Times New Roman"/>
          <w:sz w:val="28"/>
          <w:szCs w:val="28"/>
        </w:rPr>
        <w:t>Judith Bourne</w:t>
      </w:r>
      <w:r>
        <w:rPr>
          <w:rFonts w:ascii="Times New Roman" w:hAnsi="Times New Roman" w:cs="Times New Roman"/>
          <w:sz w:val="28"/>
          <w:szCs w:val="28"/>
        </w:rPr>
        <w:t>.</w:t>
      </w:r>
    </w:p>
    <w:p w14:paraId="2F23F9DF" w14:textId="77777777" w:rsidR="00871AC3" w:rsidRDefault="00871AC3">
      <w:pPr>
        <w:rPr>
          <w:rFonts w:ascii="Times New Roman" w:hAnsi="Times New Roman" w:cs="Times New Roman"/>
          <w:sz w:val="28"/>
          <w:szCs w:val="28"/>
        </w:rPr>
      </w:pPr>
      <w:r>
        <w:rPr>
          <w:rFonts w:ascii="Times New Roman" w:hAnsi="Times New Roman" w:cs="Times New Roman"/>
          <w:sz w:val="28"/>
          <w:szCs w:val="28"/>
        </w:rPr>
        <w:t>All rights reserved.</w:t>
      </w:r>
    </w:p>
    <w:p w14:paraId="5B73CC22" w14:textId="5BBE9488" w:rsidR="00871AC3" w:rsidRDefault="00871AC3" w:rsidP="00871AC3">
      <w:pPr>
        <w:rPr>
          <w:rFonts w:ascii="Times New Roman" w:hAnsi="Times New Roman" w:cs="Times New Roman"/>
          <w:sz w:val="28"/>
          <w:szCs w:val="28"/>
        </w:rPr>
      </w:pPr>
      <w:bookmarkStart w:id="0" w:name="_GoBack"/>
      <w:r>
        <w:rPr>
          <w:rFonts w:ascii="Times New Roman" w:hAnsi="Times New Roman" w:cs="Times New Roman"/>
          <w:sz w:val="28"/>
          <w:szCs w:val="28"/>
        </w:rPr>
        <w:t xml:space="preserve">No part of this publication may be reproduced, stored in a retrieval system, or transmitted in any form or by any other means, electronic, mechanical, photocopying, recording or otherwise, without prior permission, in writing, of </w:t>
      </w:r>
      <w:r w:rsidR="004E5FAC">
        <w:rPr>
          <w:rFonts w:ascii="Times New Roman" w:hAnsi="Times New Roman" w:cs="Times New Roman"/>
          <w:sz w:val="28"/>
          <w:szCs w:val="28"/>
        </w:rPr>
        <w:t>Judith Bourne</w:t>
      </w:r>
      <w:r>
        <w:rPr>
          <w:rFonts w:ascii="Times New Roman" w:hAnsi="Times New Roman" w:cs="Times New Roman"/>
          <w:sz w:val="28"/>
          <w:szCs w:val="28"/>
        </w:rPr>
        <w:t xml:space="preserve">. </w:t>
      </w:r>
    </w:p>
    <w:bookmarkEnd w:id="0"/>
    <w:p w14:paraId="4D2645E5" w14:textId="4583DAAE" w:rsidR="00871AC3" w:rsidRDefault="00871AC3" w:rsidP="00871AC3">
      <w:pPr>
        <w:rPr>
          <w:rFonts w:ascii="Times New Roman" w:hAnsi="Times New Roman" w:cs="Times New Roman"/>
          <w:sz w:val="28"/>
          <w:szCs w:val="28"/>
        </w:rPr>
      </w:pPr>
      <w:r>
        <w:rPr>
          <w:rFonts w:ascii="Times New Roman" w:hAnsi="Times New Roman" w:cs="Times New Roman"/>
          <w:sz w:val="28"/>
          <w:szCs w:val="28"/>
        </w:rPr>
        <w:t>Published annually</w:t>
      </w:r>
      <w:r w:rsidR="00C21F9D">
        <w:rPr>
          <w:rFonts w:ascii="Times New Roman" w:hAnsi="Times New Roman" w:cs="Times New Roman"/>
          <w:sz w:val="28"/>
          <w:szCs w:val="28"/>
        </w:rPr>
        <w:t xml:space="preserve"> by </w:t>
      </w:r>
      <w:r w:rsidR="004D59ED">
        <w:rPr>
          <w:rFonts w:ascii="Times New Roman" w:hAnsi="Times New Roman" w:cs="Times New Roman"/>
          <w:sz w:val="28"/>
          <w:szCs w:val="28"/>
        </w:rPr>
        <w:t xml:space="preserve">Judith Bourne. </w:t>
      </w:r>
    </w:p>
    <w:p w14:paraId="049B6A09" w14:textId="741DC088" w:rsidR="00C21F9D" w:rsidRDefault="00C21F9D" w:rsidP="00871AC3">
      <w:pPr>
        <w:rPr>
          <w:rFonts w:ascii="Times New Roman" w:hAnsi="Times New Roman" w:cs="Times New Roman"/>
          <w:sz w:val="28"/>
          <w:szCs w:val="28"/>
        </w:rPr>
      </w:pPr>
      <w:r>
        <w:rPr>
          <w:rFonts w:ascii="Times New Roman" w:hAnsi="Times New Roman" w:cs="Times New Roman"/>
          <w:sz w:val="28"/>
          <w:szCs w:val="28"/>
        </w:rPr>
        <w:t>To contact the symposium please write to:</w:t>
      </w:r>
    </w:p>
    <w:p w14:paraId="593F7FFC" w14:textId="4DA38563" w:rsidR="00C21F9D" w:rsidRDefault="00C21F9D" w:rsidP="00871AC3">
      <w:pPr>
        <w:rPr>
          <w:rFonts w:ascii="Times New Roman" w:hAnsi="Times New Roman" w:cs="Times New Roman"/>
          <w:sz w:val="28"/>
          <w:szCs w:val="28"/>
        </w:rPr>
      </w:pPr>
      <w:r>
        <w:rPr>
          <w:rFonts w:ascii="Times New Roman" w:hAnsi="Times New Roman" w:cs="Times New Roman"/>
          <w:sz w:val="28"/>
          <w:szCs w:val="28"/>
        </w:rPr>
        <w:t>Dr Judith Bourne</w:t>
      </w:r>
    </w:p>
    <w:p w14:paraId="39550384" w14:textId="0D74BE31" w:rsidR="004E5FAC" w:rsidRDefault="004E5FAC" w:rsidP="00871AC3">
      <w:pPr>
        <w:rPr>
          <w:rFonts w:ascii="Times New Roman" w:hAnsi="Times New Roman" w:cs="Times New Roman"/>
          <w:sz w:val="28"/>
          <w:szCs w:val="28"/>
        </w:rPr>
      </w:pPr>
      <w:r>
        <w:rPr>
          <w:rFonts w:ascii="Times New Roman" w:hAnsi="Times New Roman" w:cs="Times New Roman"/>
          <w:sz w:val="28"/>
          <w:szCs w:val="28"/>
        </w:rPr>
        <w:t>Editor</w:t>
      </w:r>
    </w:p>
    <w:p w14:paraId="4BF3C56F" w14:textId="77777777" w:rsidR="0023641F" w:rsidRDefault="00C21F9D" w:rsidP="00871AC3">
      <w:pPr>
        <w:rPr>
          <w:rFonts w:ascii="Times New Roman" w:hAnsi="Times New Roman" w:cs="Times New Roman"/>
          <w:sz w:val="28"/>
          <w:szCs w:val="28"/>
        </w:rPr>
      </w:pPr>
      <w:r>
        <w:rPr>
          <w:rFonts w:ascii="Times New Roman" w:hAnsi="Times New Roman" w:cs="Times New Roman"/>
          <w:sz w:val="28"/>
          <w:szCs w:val="28"/>
        </w:rPr>
        <w:t xml:space="preserve">C/O St. Mary’s University, Waldegrave Road, Strawberry Hill, Twickenham, TW1 4SX, </w:t>
      </w:r>
    </w:p>
    <w:p w14:paraId="34702761" w14:textId="0D0CD248" w:rsidR="00C21F9D" w:rsidRDefault="00C21F9D" w:rsidP="00871AC3">
      <w:pPr>
        <w:rPr>
          <w:rFonts w:ascii="Times New Roman" w:hAnsi="Times New Roman" w:cs="Times New Roman"/>
          <w:sz w:val="28"/>
          <w:szCs w:val="28"/>
        </w:rPr>
      </w:pPr>
      <w:r>
        <w:rPr>
          <w:rFonts w:ascii="Times New Roman" w:hAnsi="Times New Roman" w:cs="Times New Roman"/>
          <w:sz w:val="28"/>
          <w:szCs w:val="28"/>
        </w:rPr>
        <w:t xml:space="preserve">or by email: </w:t>
      </w:r>
      <w:hyperlink r:id="rId9" w:history="1">
        <w:r w:rsidR="00710E11" w:rsidRPr="00E73B40">
          <w:rPr>
            <w:rStyle w:val="Hyperlink"/>
            <w:rFonts w:ascii="Times New Roman" w:hAnsi="Times New Roman" w:cs="Times New Roman"/>
            <w:sz w:val="28"/>
            <w:szCs w:val="28"/>
          </w:rPr>
          <w:t>Judith.bourne@stmarys.ac.uk</w:t>
        </w:r>
      </w:hyperlink>
      <w:r>
        <w:rPr>
          <w:rFonts w:ascii="Times New Roman" w:hAnsi="Times New Roman" w:cs="Times New Roman"/>
          <w:sz w:val="28"/>
          <w:szCs w:val="28"/>
        </w:rPr>
        <w:t>.</w:t>
      </w:r>
    </w:p>
    <w:p w14:paraId="44764A0D" w14:textId="0903B6F5" w:rsidR="00F24707" w:rsidRDefault="00F24707" w:rsidP="00F24707">
      <w:pPr>
        <w:rPr>
          <w:rFonts w:ascii="Times New Roman" w:hAnsi="Times New Roman" w:cs="Times New Roman"/>
          <w:sz w:val="28"/>
          <w:szCs w:val="28"/>
        </w:rPr>
      </w:pPr>
      <w:r>
        <w:rPr>
          <w:rFonts w:ascii="Times New Roman" w:hAnsi="Times New Roman" w:cs="Times New Roman"/>
          <w:sz w:val="28"/>
          <w:szCs w:val="28"/>
        </w:rPr>
        <w:t>ISSN 2398-5461(print)</w:t>
      </w:r>
    </w:p>
    <w:p w14:paraId="51D22767" w14:textId="77777777" w:rsidR="00F24707" w:rsidRDefault="00F24707" w:rsidP="00871AC3">
      <w:pPr>
        <w:rPr>
          <w:rFonts w:ascii="Times New Roman" w:hAnsi="Times New Roman" w:cs="Times New Roman"/>
          <w:sz w:val="28"/>
          <w:szCs w:val="28"/>
        </w:rPr>
      </w:pPr>
    </w:p>
    <w:p w14:paraId="5F9F9A1A" w14:textId="3FEBCDB4" w:rsidR="00710E11" w:rsidRDefault="00710E11">
      <w:pPr>
        <w:rPr>
          <w:rFonts w:ascii="Times New Roman" w:hAnsi="Times New Roman" w:cs="Times New Roman"/>
          <w:sz w:val="28"/>
          <w:szCs w:val="28"/>
        </w:rPr>
      </w:pPr>
      <w:r>
        <w:rPr>
          <w:rFonts w:ascii="Times New Roman" w:hAnsi="Times New Roman" w:cs="Times New Roman"/>
          <w:sz w:val="28"/>
          <w:szCs w:val="28"/>
        </w:rPr>
        <w:br w:type="page"/>
      </w:r>
    </w:p>
    <w:p w14:paraId="09BD0DD7" w14:textId="77777777" w:rsidR="00710E11" w:rsidRDefault="00710E11" w:rsidP="00710E11">
      <w:pPr>
        <w:spacing w:line="360" w:lineRule="auto"/>
        <w:ind w:left="720"/>
      </w:pPr>
      <w:r w:rsidRPr="00710E11">
        <w:rPr>
          <w:rFonts w:ascii="Calibri Light" w:hAnsi="Calibri Light"/>
          <w:i/>
        </w:rPr>
        <w:lastRenderedPageBreak/>
        <w:t>‘[T]he professional and personal challenges that confront women lawyers today did not have their origins in the 1960s, as many have suggested.  Rather, they reach back… to the pioneer generation of women lawyers who were the first to articulate and grapple the challenges facing women in the legal profession.’</w:t>
      </w:r>
      <w:r>
        <w:rPr>
          <w:rStyle w:val="FootnoteReference"/>
          <w:rFonts w:ascii="Calibri Light" w:hAnsi="Calibri Light"/>
        </w:rPr>
        <w:footnoteReference w:id="1"/>
      </w:r>
      <w:r w:rsidRPr="00710E11">
        <w:rPr>
          <w:rFonts w:ascii="Calibri Light" w:hAnsi="Calibri Light"/>
        </w:rPr>
        <w:t xml:space="preserve"> </w:t>
      </w:r>
    </w:p>
    <w:p w14:paraId="3D30A326" w14:textId="77777777" w:rsidR="00AF6C9C" w:rsidRDefault="00AF6C9C" w:rsidP="00710E11">
      <w:pPr>
        <w:spacing w:line="360" w:lineRule="auto"/>
        <w:rPr>
          <w:rFonts w:ascii="Calibri Light" w:hAnsi="Calibri Light"/>
        </w:rPr>
      </w:pPr>
    </w:p>
    <w:p w14:paraId="6B60D243" w14:textId="0DAF95DA" w:rsidR="00710E11" w:rsidRDefault="00710E11" w:rsidP="00710E11">
      <w:pPr>
        <w:spacing w:line="360" w:lineRule="auto"/>
        <w:rPr>
          <w:rFonts w:ascii="Calibri Light" w:hAnsi="Calibri Light"/>
        </w:rPr>
      </w:pPr>
      <w:r>
        <w:rPr>
          <w:rFonts w:ascii="Calibri Light" w:hAnsi="Calibri Light"/>
        </w:rPr>
        <w:t>The purpose of the “First Women Lawyers in Great Britain and the Empire Symposia” is</w:t>
      </w:r>
      <w:r w:rsidR="00AF6C9C">
        <w:rPr>
          <w:rFonts w:ascii="Calibri Light" w:hAnsi="Calibri Light"/>
        </w:rPr>
        <w:t xml:space="preserve"> to record the struggle of </w:t>
      </w:r>
      <w:r w:rsidRPr="00710E11">
        <w:rPr>
          <w:rFonts w:ascii="Calibri Light" w:hAnsi="Calibri Light"/>
        </w:rPr>
        <w:t xml:space="preserve">women </w:t>
      </w:r>
      <w:r w:rsidR="00AF6C9C">
        <w:rPr>
          <w:rFonts w:ascii="Calibri Light" w:hAnsi="Calibri Light"/>
        </w:rPr>
        <w:t xml:space="preserve">who attempted the join the legal profession </w:t>
      </w:r>
      <w:r w:rsidR="00F24707">
        <w:rPr>
          <w:rFonts w:ascii="Calibri Light" w:hAnsi="Calibri Light"/>
        </w:rPr>
        <w:t xml:space="preserve">pre-1919 </w:t>
      </w:r>
      <w:r w:rsidR="00AF6C9C">
        <w:rPr>
          <w:rFonts w:ascii="Calibri Light" w:hAnsi="Calibri Light"/>
        </w:rPr>
        <w:t xml:space="preserve">and those who subsequently went on to practice law after 1919.  </w:t>
      </w:r>
      <w:r>
        <w:rPr>
          <w:rFonts w:ascii="Calibri Light" w:hAnsi="Calibri Light"/>
        </w:rPr>
        <w:t>Th</w:t>
      </w:r>
      <w:r w:rsidR="00AF6C9C">
        <w:rPr>
          <w:rFonts w:ascii="Calibri Light" w:hAnsi="Calibri Light"/>
        </w:rPr>
        <w:t xml:space="preserve">eir </w:t>
      </w:r>
      <w:r>
        <w:rPr>
          <w:rFonts w:ascii="Calibri Light" w:hAnsi="Calibri Light"/>
        </w:rPr>
        <w:t>str</w:t>
      </w:r>
      <w:r w:rsidR="00AF6C9C">
        <w:rPr>
          <w:rFonts w:ascii="Calibri Light" w:hAnsi="Calibri Light"/>
        </w:rPr>
        <w:t xml:space="preserve">uggle demands recording as those women </w:t>
      </w:r>
      <w:r w:rsidRPr="00710E11">
        <w:rPr>
          <w:rFonts w:ascii="Calibri Light" w:hAnsi="Calibri Light"/>
        </w:rPr>
        <w:t>influenced the course of history</w:t>
      </w:r>
      <w:r>
        <w:rPr>
          <w:rFonts w:ascii="Calibri Light" w:hAnsi="Calibri Light"/>
        </w:rPr>
        <w:t>.  They are an essential part of wome</w:t>
      </w:r>
      <w:r w:rsidR="00AF6C9C">
        <w:rPr>
          <w:rFonts w:ascii="Calibri Light" w:hAnsi="Calibri Light"/>
        </w:rPr>
        <w:t>n’s legal struggle for equality (an on-going struggle).</w:t>
      </w:r>
      <w:r>
        <w:rPr>
          <w:rFonts w:ascii="Calibri Light" w:hAnsi="Calibri Light"/>
        </w:rPr>
        <w:t xml:space="preserve">  Women’s current position is inexplicable </w:t>
      </w:r>
      <w:r w:rsidR="00AF6C9C">
        <w:rPr>
          <w:rFonts w:ascii="Calibri Light" w:hAnsi="Calibri Light"/>
        </w:rPr>
        <w:t xml:space="preserve">without an understanding of where they </w:t>
      </w:r>
      <w:r>
        <w:rPr>
          <w:rFonts w:ascii="Calibri Light" w:hAnsi="Calibri Light"/>
        </w:rPr>
        <w:t>have come</w:t>
      </w:r>
      <w:r w:rsidR="00F24707">
        <w:rPr>
          <w:rFonts w:ascii="Calibri Light" w:hAnsi="Calibri Light"/>
        </w:rPr>
        <w:t xml:space="preserve"> from</w:t>
      </w:r>
      <w:r>
        <w:rPr>
          <w:rFonts w:ascii="Calibri Light" w:hAnsi="Calibri Light"/>
        </w:rPr>
        <w:t xml:space="preserve">.  Prejudice and discrimination need to be </w:t>
      </w:r>
      <w:r w:rsidR="00AF6C9C">
        <w:rPr>
          <w:rFonts w:ascii="Calibri Light" w:hAnsi="Calibri Light"/>
        </w:rPr>
        <w:t xml:space="preserve">fully </w:t>
      </w:r>
      <w:r>
        <w:rPr>
          <w:rFonts w:ascii="Calibri Light" w:hAnsi="Calibri Light"/>
        </w:rPr>
        <w:t xml:space="preserve">understood in order to </w:t>
      </w:r>
      <w:r w:rsidR="00AF6C9C">
        <w:rPr>
          <w:rFonts w:ascii="Calibri Light" w:hAnsi="Calibri Light"/>
        </w:rPr>
        <w:t xml:space="preserve">be successfully overcome, and this </w:t>
      </w:r>
      <w:r w:rsidR="00F24707">
        <w:rPr>
          <w:rFonts w:ascii="Calibri Light" w:hAnsi="Calibri Light"/>
        </w:rPr>
        <w:t xml:space="preserve">can </w:t>
      </w:r>
      <w:r w:rsidR="00AF6C9C">
        <w:rPr>
          <w:rFonts w:ascii="Calibri Light" w:hAnsi="Calibri Light"/>
        </w:rPr>
        <w:t>only be done through an appreciation of history.</w:t>
      </w:r>
    </w:p>
    <w:p w14:paraId="41FCB4F3" w14:textId="77777777" w:rsidR="00F24707" w:rsidRDefault="00F24707">
      <w:pPr>
        <w:rPr>
          <w:rFonts w:ascii="Times New Roman" w:hAnsi="Times New Roman" w:cs="Times New Roman"/>
          <w:sz w:val="28"/>
          <w:szCs w:val="28"/>
        </w:rPr>
      </w:pPr>
      <w:r>
        <w:rPr>
          <w:rFonts w:ascii="Times New Roman" w:hAnsi="Times New Roman" w:cs="Times New Roman"/>
          <w:sz w:val="28"/>
          <w:szCs w:val="28"/>
        </w:rPr>
        <w:br w:type="page"/>
      </w:r>
    </w:p>
    <w:p w14:paraId="16B6A1AD" w14:textId="77777777" w:rsidR="00F24707" w:rsidRPr="009B7AE9" w:rsidRDefault="00F24707" w:rsidP="00F24707">
      <w:pPr>
        <w:jc w:val="center"/>
        <w:rPr>
          <w:rFonts w:ascii="Times New Roman" w:hAnsi="Times New Roman" w:cs="Times New Roman"/>
          <w:b/>
          <w:sz w:val="28"/>
          <w:szCs w:val="28"/>
        </w:rPr>
      </w:pPr>
      <w:r w:rsidRPr="009B7AE9">
        <w:rPr>
          <w:rFonts w:ascii="Times New Roman" w:hAnsi="Times New Roman" w:cs="Times New Roman"/>
          <w:b/>
          <w:sz w:val="28"/>
          <w:szCs w:val="28"/>
        </w:rPr>
        <w:lastRenderedPageBreak/>
        <w:t>Contents:</w:t>
      </w:r>
    </w:p>
    <w:p w14:paraId="7E171FD4" w14:textId="77777777" w:rsidR="00F24707" w:rsidRDefault="00F24707" w:rsidP="00F24707">
      <w:pPr>
        <w:rPr>
          <w:rFonts w:ascii="Times New Roman" w:hAnsi="Times New Roman" w:cs="Times New Roman"/>
          <w:sz w:val="28"/>
          <w:szCs w:val="28"/>
        </w:rPr>
      </w:pPr>
    </w:p>
    <w:p w14:paraId="3A971AD8" w14:textId="77777777" w:rsidR="00F24707" w:rsidRPr="00F24707" w:rsidRDefault="00F24707" w:rsidP="009B7AE9">
      <w:pPr>
        <w:spacing w:line="480" w:lineRule="auto"/>
        <w:rPr>
          <w:rFonts w:ascii="Times New Roman" w:hAnsi="Times New Roman" w:cs="Times New Roman"/>
        </w:rPr>
      </w:pPr>
      <w:r w:rsidRPr="00F24707">
        <w:rPr>
          <w:rFonts w:ascii="Times New Roman" w:hAnsi="Times New Roman" w:cs="Times New Roman"/>
        </w:rPr>
        <w:t>Reflections on Researching the First Women Lawyers</w:t>
      </w:r>
    </w:p>
    <w:p w14:paraId="51EDA836" w14:textId="72654C7D" w:rsidR="00F24707" w:rsidRPr="00F24707" w:rsidRDefault="00F24707" w:rsidP="009B7AE9">
      <w:pPr>
        <w:spacing w:line="480" w:lineRule="auto"/>
        <w:jc w:val="both"/>
        <w:rPr>
          <w:rFonts w:ascii="Times New Roman" w:hAnsi="Times New Roman" w:cs="Times New Roman"/>
        </w:rPr>
      </w:pPr>
      <w:r w:rsidRPr="00F24707">
        <w:rPr>
          <w:rFonts w:ascii="Times New Roman" w:hAnsi="Times New Roman" w:cs="Times New Roman"/>
        </w:rPr>
        <w:t xml:space="preserve">Professor Mary Jane Mossman, Osgoode Hall Law </w:t>
      </w:r>
      <w:r>
        <w:rPr>
          <w:rFonts w:ascii="Times New Roman" w:hAnsi="Times New Roman" w:cs="Times New Roman"/>
        </w:rPr>
        <w:t>School, York University, Canada</w:t>
      </w:r>
      <w:r>
        <w:rPr>
          <w:rFonts w:ascii="Times New Roman" w:hAnsi="Times New Roman" w:cs="Times New Roman"/>
        </w:rPr>
        <w:tab/>
      </w:r>
      <w:r>
        <w:rPr>
          <w:rFonts w:ascii="Times New Roman" w:hAnsi="Times New Roman" w:cs="Times New Roman"/>
        </w:rPr>
        <w:tab/>
      </w:r>
      <w:r w:rsidR="00AF3F5C">
        <w:rPr>
          <w:rFonts w:ascii="Times New Roman" w:hAnsi="Times New Roman" w:cs="Times New Roman"/>
        </w:rPr>
        <w:t>5</w:t>
      </w:r>
    </w:p>
    <w:p w14:paraId="1E944E93" w14:textId="77777777" w:rsidR="00F24707" w:rsidRDefault="00F24707" w:rsidP="009B7AE9">
      <w:pPr>
        <w:spacing w:line="480" w:lineRule="auto"/>
        <w:rPr>
          <w:rFonts w:ascii="Times New Roman" w:hAnsi="Times New Roman" w:cs="Times New Roman"/>
          <w:sz w:val="28"/>
          <w:szCs w:val="28"/>
        </w:rPr>
      </w:pPr>
    </w:p>
    <w:p w14:paraId="6D5BDFDB" w14:textId="77777777" w:rsidR="00AF3F5C" w:rsidRPr="00AF3F5C" w:rsidRDefault="00AF3F5C" w:rsidP="009B7AE9">
      <w:pPr>
        <w:spacing w:line="480" w:lineRule="auto"/>
        <w:rPr>
          <w:rFonts w:ascii="Times New Roman" w:hAnsi="Times New Roman" w:cs="Times New Roman"/>
        </w:rPr>
      </w:pPr>
      <w:r w:rsidRPr="00AF3F5C">
        <w:rPr>
          <w:rFonts w:ascii="Times New Roman" w:hAnsi="Times New Roman" w:cs="Times New Roman"/>
        </w:rPr>
        <w:t>Women and the Professions in Early Twentieth Century Britain</w:t>
      </w:r>
    </w:p>
    <w:p w14:paraId="78A7C732" w14:textId="4499B203" w:rsidR="00AF3F5C" w:rsidRDefault="00AF3F5C" w:rsidP="009B7AE9">
      <w:pPr>
        <w:spacing w:line="480" w:lineRule="auto"/>
        <w:rPr>
          <w:rFonts w:ascii="Times New Roman" w:hAnsi="Times New Roman" w:cs="Times New Roman"/>
        </w:rPr>
      </w:pPr>
      <w:r w:rsidRPr="00AF3F5C">
        <w:rPr>
          <w:rFonts w:ascii="Times New Roman" w:hAnsi="Times New Roman" w:cs="Times New Roman"/>
        </w:rPr>
        <w:t>Professor Pat Thane, Institute of Contemporary British History, King’s College London</w:t>
      </w:r>
      <w:r>
        <w:rPr>
          <w:rFonts w:ascii="Times New Roman" w:hAnsi="Times New Roman" w:cs="Times New Roman"/>
        </w:rPr>
        <w:tab/>
      </w:r>
      <w:r>
        <w:rPr>
          <w:rFonts w:ascii="Times New Roman" w:hAnsi="Times New Roman" w:cs="Times New Roman"/>
        </w:rPr>
        <w:tab/>
        <w:t>21</w:t>
      </w:r>
    </w:p>
    <w:p w14:paraId="5E382AD8" w14:textId="77777777" w:rsidR="009B7AE9" w:rsidRDefault="009B7AE9" w:rsidP="009B7AE9">
      <w:pPr>
        <w:spacing w:line="480" w:lineRule="auto"/>
        <w:rPr>
          <w:rFonts w:ascii="Times New Roman" w:hAnsi="Times New Roman" w:cs="Times New Roman"/>
        </w:rPr>
      </w:pPr>
    </w:p>
    <w:p w14:paraId="07A07B9B" w14:textId="77777777" w:rsidR="00AF3F5C" w:rsidRPr="00AF3F5C" w:rsidRDefault="00AF3F5C" w:rsidP="009B7AE9">
      <w:pPr>
        <w:spacing w:line="480" w:lineRule="auto"/>
        <w:rPr>
          <w:rFonts w:ascii="Times New Roman" w:hAnsi="Times New Roman" w:cs="Times New Roman"/>
        </w:rPr>
      </w:pPr>
      <w:r w:rsidRPr="00AF3F5C">
        <w:rPr>
          <w:rFonts w:ascii="Times New Roman" w:hAnsi="Times New Roman" w:cs="Times New Roman"/>
        </w:rPr>
        <w:t>Establishing the Known: the Parliamentary passage of the Sex Disqualification (Removal) Act 1919</w:t>
      </w:r>
    </w:p>
    <w:p w14:paraId="32B2A5DA" w14:textId="48A126A3" w:rsidR="00AF3F5C" w:rsidRDefault="00AF3F5C" w:rsidP="009B7AE9">
      <w:pPr>
        <w:spacing w:line="480" w:lineRule="auto"/>
        <w:rPr>
          <w:rFonts w:ascii="Times New Roman" w:hAnsi="Times New Roman" w:cs="Times New Roman"/>
        </w:rPr>
      </w:pPr>
      <w:r w:rsidRPr="00AF3F5C">
        <w:rPr>
          <w:rFonts w:ascii="Times New Roman" w:hAnsi="Times New Roman" w:cs="Times New Roman"/>
        </w:rPr>
        <w:t>Dr. Mari Takayanagi, Historian and Senior Archivist at the Parliamentary Archives</w:t>
      </w:r>
      <w:r w:rsidR="009B7AE9">
        <w:rPr>
          <w:rFonts w:ascii="Times New Roman" w:hAnsi="Times New Roman" w:cs="Times New Roman"/>
        </w:rPr>
        <w:tab/>
      </w:r>
      <w:r w:rsidR="009B7AE9">
        <w:rPr>
          <w:rFonts w:ascii="Times New Roman" w:hAnsi="Times New Roman" w:cs="Times New Roman"/>
        </w:rPr>
        <w:tab/>
        <w:t>34</w:t>
      </w:r>
    </w:p>
    <w:p w14:paraId="69540B29" w14:textId="77777777" w:rsidR="009B7AE9" w:rsidRDefault="009B7AE9" w:rsidP="009B7AE9">
      <w:pPr>
        <w:spacing w:after="0" w:line="480" w:lineRule="auto"/>
        <w:rPr>
          <w:rFonts w:ascii="Times New Roman" w:hAnsi="Times New Roman" w:cs="Times New Roman"/>
        </w:rPr>
      </w:pPr>
    </w:p>
    <w:p w14:paraId="3CF52CA0" w14:textId="77777777" w:rsidR="00AF3F5C" w:rsidRPr="00AF3F5C" w:rsidRDefault="00AF3F5C" w:rsidP="009B7AE9">
      <w:pPr>
        <w:spacing w:after="0" w:line="480" w:lineRule="auto"/>
        <w:rPr>
          <w:rFonts w:ascii="Times New Roman" w:hAnsi="Times New Roman" w:cs="Times New Roman"/>
        </w:rPr>
      </w:pPr>
      <w:r w:rsidRPr="00AF3F5C">
        <w:rPr>
          <w:rFonts w:ascii="Times New Roman" w:hAnsi="Times New Roman" w:cs="Times New Roman"/>
        </w:rPr>
        <w:t>Calling Time at the Bar: Helena Normanton</w:t>
      </w:r>
    </w:p>
    <w:p w14:paraId="24BDC8C6" w14:textId="33BD7F25" w:rsidR="00AF3F5C" w:rsidRDefault="00AF3F5C" w:rsidP="009B7AE9">
      <w:pPr>
        <w:spacing w:after="0" w:line="480" w:lineRule="auto"/>
        <w:rPr>
          <w:rFonts w:ascii="Times New Roman" w:hAnsi="Times New Roman" w:cs="Times New Roman"/>
        </w:rPr>
      </w:pPr>
      <w:r w:rsidRPr="00AF3F5C">
        <w:rPr>
          <w:rFonts w:ascii="Times New Roman" w:hAnsi="Times New Roman" w:cs="Times New Roman"/>
        </w:rPr>
        <w:t>Dr. Judith Bourne, Barrister (non-practi</w:t>
      </w:r>
      <w:r w:rsidR="009B7AE9">
        <w:rPr>
          <w:rFonts w:ascii="Times New Roman" w:hAnsi="Times New Roman" w:cs="Times New Roman"/>
        </w:rPr>
        <w:t xml:space="preserve">sing), </w:t>
      </w:r>
      <w:r w:rsidRPr="00AF3F5C">
        <w:rPr>
          <w:rFonts w:ascii="Times New Roman" w:hAnsi="Times New Roman" w:cs="Times New Roman"/>
        </w:rPr>
        <w:t>Lecturer St</w:t>
      </w:r>
      <w:r>
        <w:rPr>
          <w:rFonts w:ascii="Times New Roman" w:hAnsi="Times New Roman" w:cs="Times New Roman"/>
        </w:rPr>
        <w:t>. Mary’s University, Twickenham</w:t>
      </w:r>
      <w:r w:rsidR="009B7AE9">
        <w:rPr>
          <w:rFonts w:ascii="Times New Roman" w:hAnsi="Times New Roman" w:cs="Times New Roman"/>
        </w:rPr>
        <w:tab/>
        <w:t>47</w:t>
      </w:r>
      <w:r w:rsidR="009B7AE9">
        <w:rPr>
          <w:rFonts w:ascii="Times New Roman" w:hAnsi="Times New Roman" w:cs="Times New Roman"/>
        </w:rPr>
        <w:tab/>
      </w:r>
      <w:r w:rsidR="009B7AE9">
        <w:rPr>
          <w:rFonts w:ascii="Times New Roman" w:hAnsi="Times New Roman" w:cs="Times New Roman"/>
        </w:rPr>
        <w:tab/>
      </w:r>
      <w:r w:rsidR="009B7AE9">
        <w:rPr>
          <w:rFonts w:ascii="Times New Roman" w:hAnsi="Times New Roman" w:cs="Times New Roman"/>
        </w:rPr>
        <w:tab/>
      </w:r>
      <w:r w:rsidR="009B7AE9">
        <w:rPr>
          <w:rFonts w:ascii="Times New Roman" w:hAnsi="Times New Roman" w:cs="Times New Roman"/>
        </w:rPr>
        <w:tab/>
      </w:r>
      <w:r w:rsidR="009B7AE9">
        <w:rPr>
          <w:rFonts w:ascii="Times New Roman" w:hAnsi="Times New Roman" w:cs="Times New Roman"/>
        </w:rPr>
        <w:tab/>
      </w:r>
    </w:p>
    <w:p w14:paraId="45596128" w14:textId="72B1EAF0" w:rsidR="00AF3F5C" w:rsidRPr="00AF3F5C" w:rsidRDefault="00AF3F5C" w:rsidP="009B7AE9">
      <w:pPr>
        <w:pStyle w:val="NormalWeb"/>
        <w:spacing w:before="0" w:beforeAutospacing="0" w:after="0" w:afterAutospacing="0" w:line="480" w:lineRule="auto"/>
        <w:rPr>
          <w:sz w:val="22"/>
          <w:szCs w:val="22"/>
          <w:lang w:val="en-GB"/>
        </w:rPr>
      </w:pPr>
      <w:r w:rsidRPr="00AF3F5C">
        <w:rPr>
          <w:sz w:val="22"/>
          <w:szCs w:val="22"/>
          <w:lang w:val="en-GB"/>
        </w:rPr>
        <w:t>Establishing New Traditions for Legal Profession:</w:t>
      </w:r>
      <w:r w:rsidR="009B7AE9">
        <w:rPr>
          <w:sz w:val="22"/>
          <w:szCs w:val="22"/>
          <w:lang w:val="en-GB"/>
        </w:rPr>
        <w:t xml:space="preserve"> </w:t>
      </w:r>
      <w:r w:rsidRPr="00AF3F5C">
        <w:rPr>
          <w:sz w:val="22"/>
          <w:szCs w:val="22"/>
          <w:lang w:val="en-GB"/>
        </w:rPr>
        <w:t>First Women Law Students in University of Tartu</w:t>
      </w:r>
    </w:p>
    <w:p w14:paraId="10F10723" w14:textId="1CD1BEBC" w:rsidR="00AF3F5C" w:rsidRDefault="00FE5799" w:rsidP="009B7AE9">
      <w:pPr>
        <w:pStyle w:val="NormalWeb"/>
        <w:spacing w:before="0" w:beforeAutospacing="0" w:after="0" w:afterAutospacing="0" w:line="480" w:lineRule="auto"/>
        <w:rPr>
          <w:sz w:val="22"/>
          <w:szCs w:val="22"/>
          <w:lang w:val="en-GB"/>
        </w:rPr>
      </w:pPr>
      <w:r>
        <w:rPr>
          <w:sz w:val="22"/>
          <w:szCs w:val="22"/>
          <w:lang w:val="en-GB"/>
        </w:rPr>
        <w:t>Dr. Merike</w:t>
      </w:r>
      <w:r w:rsidR="00AF3F5C" w:rsidRPr="00AF3F5C">
        <w:rPr>
          <w:sz w:val="22"/>
          <w:szCs w:val="22"/>
          <w:lang w:val="en-GB"/>
        </w:rPr>
        <w:t xml:space="preserve"> Ristikivi, Ph.D. Associate Professor, University of Tartu (Estonia)</w:t>
      </w:r>
      <w:r w:rsidR="009B7AE9">
        <w:rPr>
          <w:sz w:val="22"/>
          <w:szCs w:val="22"/>
          <w:lang w:val="en-GB"/>
        </w:rPr>
        <w:tab/>
      </w:r>
      <w:r w:rsidR="009B7AE9">
        <w:rPr>
          <w:sz w:val="22"/>
          <w:szCs w:val="22"/>
          <w:lang w:val="en-GB"/>
        </w:rPr>
        <w:tab/>
      </w:r>
      <w:r w:rsidR="009B7AE9">
        <w:rPr>
          <w:sz w:val="22"/>
          <w:szCs w:val="22"/>
          <w:lang w:val="en-GB"/>
        </w:rPr>
        <w:tab/>
        <w:t>65</w:t>
      </w:r>
    </w:p>
    <w:p w14:paraId="08988EC9" w14:textId="77777777" w:rsidR="009B7AE9" w:rsidRDefault="009B7AE9" w:rsidP="009B7AE9">
      <w:pPr>
        <w:spacing w:line="480" w:lineRule="auto"/>
        <w:rPr>
          <w:rFonts w:ascii="Times New Roman" w:hAnsi="Times New Roman" w:cs="Times New Roman"/>
        </w:rPr>
      </w:pPr>
    </w:p>
    <w:p w14:paraId="56D4EB9E" w14:textId="3C24572F" w:rsidR="00AF3F5C" w:rsidRPr="00AF3F5C" w:rsidRDefault="00AF3F5C" w:rsidP="009B7AE9">
      <w:pPr>
        <w:spacing w:line="480" w:lineRule="auto"/>
        <w:rPr>
          <w:rFonts w:ascii="Times New Roman" w:hAnsi="Times New Roman" w:cs="Times New Roman"/>
        </w:rPr>
      </w:pPr>
      <w:r w:rsidRPr="00AF3F5C">
        <w:rPr>
          <w:rFonts w:ascii="Times New Roman" w:hAnsi="Times New Roman" w:cs="Times New Roman"/>
        </w:rPr>
        <w:t>“Follow the Money”</w:t>
      </w:r>
      <w:r w:rsidR="009B7AE9">
        <w:rPr>
          <w:rFonts w:ascii="Times New Roman" w:hAnsi="Times New Roman" w:cs="Times New Roman"/>
        </w:rPr>
        <w:t xml:space="preserve">: </w:t>
      </w:r>
      <w:r w:rsidRPr="00AF3F5C">
        <w:rPr>
          <w:rFonts w:ascii="Times New Roman" w:hAnsi="Times New Roman" w:cs="Times New Roman"/>
        </w:rPr>
        <w:t>The First Women Who Qualified as Solicitors 1922 -1930</w:t>
      </w:r>
    </w:p>
    <w:p w14:paraId="415FDE12" w14:textId="3891AD27" w:rsidR="00AF3F5C" w:rsidRPr="00AF3F5C" w:rsidRDefault="00AF3F5C" w:rsidP="009B7AE9">
      <w:pPr>
        <w:spacing w:line="480" w:lineRule="auto"/>
        <w:rPr>
          <w:rFonts w:ascii="Times New Roman" w:hAnsi="Times New Roman" w:cs="Times New Roman"/>
        </w:rPr>
      </w:pPr>
      <w:r w:rsidRPr="00AF3F5C">
        <w:rPr>
          <w:rFonts w:ascii="Times New Roman" w:hAnsi="Times New Roman" w:cs="Times New Roman"/>
        </w:rPr>
        <w:t>Elizabeth Cruickshank, Solicitor, Historian and Independent Researcher</w:t>
      </w:r>
      <w:r w:rsidR="009B7AE9">
        <w:rPr>
          <w:rFonts w:ascii="Times New Roman" w:hAnsi="Times New Roman" w:cs="Times New Roman"/>
        </w:rPr>
        <w:tab/>
      </w:r>
      <w:r w:rsidR="009B7AE9">
        <w:rPr>
          <w:rFonts w:ascii="Times New Roman" w:hAnsi="Times New Roman" w:cs="Times New Roman"/>
        </w:rPr>
        <w:tab/>
      </w:r>
      <w:r w:rsidR="009B7AE9">
        <w:rPr>
          <w:rFonts w:ascii="Times New Roman" w:hAnsi="Times New Roman" w:cs="Times New Roman"/>
        </w:rPr>
        <w:tab/>
      </w:r>
      <w:r w:rsidR="009B7AE9">
        <w:rPr>
          <w:rFonts w:ascii="Times New Roman" w:hAnsi="Times New Roman" w:cs="Times New Roman"/>
        </w:rPr>
        <w:tab/>
        <w:t>76</w:t>
      </w:r>
    </w:p>
    <w:p w14:paraId="4CC02226" w14:textId="77777777" w:rsidR="00AF3F5C" w:rsidRPr="00AF3F5C" w:rsidRDefault="00AF3F5C" w:rsidP="009B7AE9">
      <w:pPr>
        <w:pStyle w:val="NormalWeb"/>
        <w:spacing w:before="0" w:beforeAutospacing="0" w:after="0" w:afterAutospacing="0" w:line="480" w:lineRule="auto"/>
        <w:rPr>
          <w:rStyle w:val="Strong"/>
          <w:bCs w:val="0"/>
          <w:sz w:val="22"/>
          <w:szCs w:val="22"/>
        </w:rPr>
      </w:pPr>
    </w:p>
    <w:p w14:paraId="554E9D0C" w14:textId="77777777" w:rsidR="00AF3F5C" w:rsidRPr="00AF3F5C" w:rsidRDefault="00AF3F5C" w:rsidP="00AF3F5C">
      <w:pPr>
        <w:spacing w:after="0" w:line="480" w:lineRule="auto"/>
        <w:rPr>
          <w:rFonts w:ascii="Times New Roman" w:hAnsi="Times New Roman" w:cs="Times New Roman"/>
        </w:rPr>
      </w:pPr>
    </w:p>
    <w:p w14:paraId="12E43C10" w14:textId="77777777" w:rsidR="00AF3F5C" w:rsidRPr="00AF3F5C" w:rsidRDefault="00AF3F5C" w:rsidP="00AF3F5C">
      <w:pPr>
        <w:spacing w:line="480" w:lineRule="auto"/>
        <w:rPr>
          <w:rFonts w:ascii="Times New Roman" w:hAnsi="Times New Roman" w:cs="Times New Roman"/>
        </w:rPr>
      </w:pPr>
    </w:p>
    <w:p w14:paraId="7A4A1A6F" w14:textId="67FACAFA" w:rsidR="00E81C01" w:rsidRPr="00F20CED" w:rsidRDefault="00E81C01" w:rsidP="009B7AE9">
      <w:pPr>
        <w:jc w:val="center"/>
        <w:rPr>
          <w:rFonts w:ascii="Times New Roman" w:hAnsi="Times New Roman" w:cs="Times New Roman"/>
          <w:b/>
          <w:sz w:val="28"/>
          <w:szCs w:val="28"/>
        </w:rPr>
      </w:pPr>
      <w:r w:rsidRPr="00F20CED">
        <w:rPr>
          <w:rFonts w:ascii="Times New Roman" w:hAnsi="Times New Roman" w:cs="Times New Roman"/>
          <w:b/>
          <w:sz w:val="28"/>
          <w:szCs w:val="28"/>
        </w:rPr>
        <w:lastRenderedPageBreak/>
        <w:t>Reflections on Researching the First Women Lawyers</w:t>
      </w:r>
    </w:p>
    <w:p w14:paraId="07E5053F" w14:textId="2308F252" w:rsidR="00E81C01" w:rsidRPr="00AB69B5" w:rsidRDefault="00AB69B5" w:rsidP="00AB69B5">
      <w:pPr>
        <w:spacing w:line="480" w:lineRule="auto"/>
        <w:jc w:val="both"/>
        <w:rPr>
          <w:rFonts w:ascii="Times New Roman" w:hAnsi="Times New Roman" w:cs="Times New Roman"/>
          <w:b/>
        </w:rPr>
      </w:pPr>
      <w:r>
        <w:rPr>
          <w:rFonts w:ascii="Times New Roman" w:hAnsi="Times New Roman" w:cs="Times New Roman"/>
          <w:b/>
        </w:rPr>
        <w:t xml:space="preserve">Professor </w:t>
      </w:r>
      <w:r w:rsidR="00E81C01" w:rsidRPr="00AB69B5">
        <w:rPr>
          <w:rFonts w:ascii="Times New Roman" w:hAnsi="Times New Roman" w:cs="Times New Roman"/>
          <w:b/>
        </w:rPr>
        <w:t>Mary Jane Mossman</w:t>
      </w:r>
      <w:r w:rsidR="0008318F">
        <w:rPr>
          <w:rFonts w:ascii="Times New Roman" w:hAnsi="Times New Roman" w:cs="Times New Roman"/>
          <w:b/>
        </w:rPr>
        <w:t>,</w:t>
      </w:r>
      <w:r w:rsidR="00610ECA" w:rsidRPr="00AB69B5">
        <w:rPr>
          <w:rStyle w:val="FootnoteReference"/>
          <w:rFonts w:ascii="Times New Roman" w:hAnsi="Times New Roman" w:cs="Times New Roman"/>
          <w:b/>
        </w:rPr>
        <w:footnoteReference w:id="2"/>
      </w:r>
      <w:r w:rsidR="0008318F">
        <w:rPr>
          <w:rFonts w:ascii="Times New Roman" w:hAnsi="Times New Roman" w:cs="Times New Roman"/>
          <w:b/>
        </w:rPr>
        <w:t xml:space="preserve"> Osgoode Hall Law School, York University, Canada.</w:t>
      </w:r>
    </w:p>
    <w:p w14:paraId="7806EB2B" w14:textId="77777777" w:rsidR="00671D22" w:rsidRPr="00AB69B5" w:rsidRDefault="00671D22" w:rsidP="00AB69B5">
      <w:pPr>
        <w:spacing w:line="480" w:lineRule="auto"/>
        <w:jc w:val="both"/>
        <w:rPr>
          <w:rFonts w:ascii="Times New Roman" w:hAnsi="Times New Roman" w:cs="Times New Roman"/>
          <w:b/>
        </w:rPr>
      </w:pPr>
    </w:p>
    <w:p w14:paraId="3C78D40C" w14:textId="77777777" w:rsidR="00E81C01" w:rsidRPr="00AB69B5" w:rsidRDefault="00671D22" w:rsidP="00AB69B5">
      <w:pPr>
        <w:spacing w:line="480" w:lineRule="auto"/>
        <w:jc w:val="both"/>
        <w:rPr>
          <w:rFonts w:ascii="Times New Roman" w:hAnsi="Times New Roman" w:cs="Times New Roman"/>
          <w:b/>
        </w:rPr>
      </w:pPr>
      <w:r w:rsidRPr="00AB69B5">
        <w:rPr>
          <w:rFonts w:ascii="Times New Roman" w:hAnsi="Times New Roman" w:cs="Times New Roman"/>
          <w:b/>
          <w:u w:val="single"/>
        </w:rPr>
        <w:t>Introduction</w:t>
      </w:r>
      <w:r w:rsidR="00927FAE" w:rsidRPr="00AB69B5">
        <w:rPr>
          <w:rFonts w:ascii="Times New Roman" w:hAnsi="Times New Roman" w:cs="Times New Roman"/>
          <w:b/>
          <w:u w:val="single"/>
        </w:rPr>
        <w:t>: Precedents, Patterns and Puzzles</w:t>
      </w:r>
    </w:p>
    <w:p w14:paraId="026B9AEB" w14:textId="5DBA0C79" w:rsidR="00E81C01" w:rsidRPr="00AB69B5" w:rsidRDefault="00E81C01" w:rsidP="00AB69B5">
      <w:pPr>
        <w:spacing w:after="0" w:line="480" w:lineRule="auto"/>
        <w:ind w:left="720"/>
        <w:jc w:val="both"/>
        <w:rPr>
          <w:rFonts w:ascii="Times New Roman" w:hAnsi="Times New Roman" w:cs="Times New Roman"/>
        </w:rPr>
      </w:pPr>
      <w:r w:rsidRPr="00AB69B5">
        <w:rPr>
          <w:rFonts w:ascii="Times New Roman" w:hAnsi="Times New Roman" w:cs="Times New Roman"/>
        </w:rPr>
        <w:t>In trying to sort out the reasons for professional women’s successes or failures, it is far too facile to say that there were prejudices against women that they had to overcome. The ways in which the prejudice manifested itself were extremely complex and insidious…. As determined, aspiring professionals, women were not easily deterred. They found a variety of ways to respond to the discrimination they faced….</w:t>
      </w:r>
      <w:r w:rsidR="00AD1DDF" w:rsidRPr="00AB69B5">
        <w:rPr>
          <w:rStyle w:val="FootnoteReference"/>
          <w:rFonts w:ascii="Times New Roman" w:hAnsi="Times New Roman" w:cs="Times New Roman"/>
        </w:rPr>
        <w:footnoteReference w:id="3"/>
      </w:r>
    </w:p>
    <w:p w14:paraId="53F57439" w14:textId="77777777" w:rsidR="00671D22" w:rsidRPr="00AB69B5" w:rsidRDefault="00671D22" w:rsidP="00AB69B5">
      <w:pPr>
        <w:spacing w:line="480" w:lineRule="auto"/>
        <w:ind w:left="2160"/>
        <w:jc w:val="both"/>
        <w:rPr>
          <w:rFonts w:ascii="Times New Roman" w:hAnsi="Times New Roman" w:cs="Times New Roman"/>
        </w:rPr>
      </w:pPr>
    </w:p>
    <w:p w14:paraId="3E9EF266" w14:textId="77777777" w:rsidR="00AD1DDF" w:rsidRPr="00AB69B5" w:rsidRDefault="00671D22" w:rsidP="00AB69B5">
      <w:pPr>
        <w:spacing w:line="480" w:lineRule="auto"/>
        <w:jc w:val="both"/>
        <w:rPr>
          <w:rFonts w:ascii="Times New Roman" w:hAnsi="Times New Roman" w:cs="Times New Roman"/>
        </w:rPr>
      </w:pPr>
      <w:r w:rsidRPr="00AB69B5">
        <w:rPr>
          <w:rFonts w:ascii="Times New Roman" w:hAnsi="Times New Roman" w:cs="Times New Roman"/>
        </w:rPr>
        <w:t>In this p</w:t>
      </w:r>
      <w:r w:rsidR="00AD1DDF" w:rsidRPr="00AB69B5">
        <w:rPr>
          <w:rFonts w:ascii="Times New Roman" w:hAnsi="Times New Roman" w:cs="Times New Roman"/>
        </w:rPr>
        <w:t xml:space="preserve">aper, </w:t>
      </w:r>
      <w:r w:rsidRPr="00AB69B5">
        <w:rPr>
          <w:rFonts w:ascii="Times New Roman" w:hAnsi="Times New Roman" w:cs="Times New Roman"/>
        </w:rPr>
        <w:t xml:space="preserve">I </w:t>
      </w:r>
      <w:r w:rsidR="00AD1DDF" w:rsidRPr="00AB69B5">
        <w:rPr>
          <w:rFonts w:ascii="Times New Roman" w:hAnsi="Times New Roman" w:cs="Times New Roman"/>
        </w:rPr>
        <w:t xml:space="preserve">explore the lives of early </w:t>
      </w:r>
      <w:r w:rsidRPr="00AB69B5">
        <w:rPr>
          <w:rFonts w:ascii="Times New Roman" w:hAnsi="Times New Roman" w:cs="Times New Roman"/>
        </w:rPr>
        <w:t xml:space="preserve">women lawyers as ‘determined, aspiring professionals’ </w:t>
      </w:r>
      <w:r w:rsidR="00AD1DDF" w:rsidRPr="00AB69B5">
        <w:rPr>
          <w:rFonts w:ascii="Times New Roman" w:hAnsi="Times New Roman" w:cs="Times New Roman"/>
        </w:rPr>
        <w:t>and</w:t>
      </w:r>
      <w:r w:rsidR="00927FAE" w:rsidRPr="00AB69B5">
        <w:rPr>
          <w:rFonts w:ascii="Times New Roman" w:hAnsi="Times New Roman" w:cs="Times New Roman"/>
        </w:rPr>
        <w:t xml:space="preserve"> </w:t>
      </w:r>
      <w:r w:rsidRPr="00AB69B5">
        <w:rPr>
          <w:rFonts w:ascii="Times New Roman" w:hAnsi="Times New Roman" w:cs="Times New Roman"/>
        </w:rPr>
        <w:t xml:space="preserve">the ‘variety of ways’ in which they responded to their </w:t>
      </w:r>
      <w:r w:rsidR="0042761E" w:rsidRPr="00AB69B5">
        <w:rPr>
          <w:rFonts w:ascii="Times New Roman" w:hAnsi="Times New Roman" w:cs="Times New Roman"/>
        </w:rPr>
        <w:t xml:space="preserve">experiences </w:t>
      </w:r>
      <w:r w:rsidR="00452D9C" w:rsidRPr="00AB69B5">
        <w:rPr>
          <w:rFonts w:ascii="Times New Roman" w:hAnsi="Times New Roman" w:cs="Times New Roman"/>
        </w:rPr>
        <w:t>as members of th</w:t>
      </w:r>
      <w:r w:rsidRPr="00AB69B5">
        <w:rPr>
          <w:rFonts w:ascii="Times New Roman" w:hAnsi="Times New Roman" w:cs="Times New Roman"/>
        </w:rPr>
        <w:t xml:space="preserve">e legal professions. </w:t>
      </w:r>
      <w:r w:rsidR="00AD1DDF" w:rsidRPr="00AB69B5">
        <w:rPr>
          <w:rFonts w:ascii="Times New Roman" w:hAnsi="Times New Roman" w:cs="Times New Roman"/>
        </w:rPr>
        <w:t xml:space="preserve">The paper begins </w:t>
      </w:r>
      <w:r w:rsidR="009E2959" w:rsidRPr="00AB69B5">
        <w:rPr>
          <w:rFonts w:ascii="Times New Roman" w:hAnsi="Times New Roman" w:cs="Times New Roman"/>
        </w:rPr>
        <w:t xml:space="preserve">with a brief discussion about </w:t>
      </w:r>
      <w:r w:rsidR="00AD1DDF" w:rsidRPr="00AB69B5">
        <w:rPr>
          <w:rFonts w:ascii="Times New Roman" w:hAnsi="Times New Roman" w:cs="Times New Roman"/>
        </w:rPr>
        <w:t xml:space="preserve">their legal </w:t>
      </w:r>
      <w:r w:rsidR="009E2959" w:rsidRPr="00AB69B5">
        <w:rPr>
          <w:rFonts w:ascii="Times New Roman" w:hAnsi="Times New Roman" w:cs="Times New Roman"/>
        </w:rPr>
        <w:t xml:space="preserve">precedents and </w:t>
      </w:r>
      <w:r w:rsidR="00AD1DDF" w:rsidRPr="00AB69B5">
        <w:rPr>
          <w:rFonts w:ascii="Times New Roman" w:hAnsi="Times New Roman" w:cs="Times New Roman"/>
        </w:rPr>
        <w:t xml:space="preserve">some of the </w:t>
      </w:r>
      <w:r w:rsidR="009E2959" w:rsidRPr="00AB69B5">
        <w:rPr>
          <w:rFonts w:ascii="Times New Roman" w:hAnsi="Times New Roman" w:cs="Times New Roman"/>
        </w:rPr>
        <w:t>patterns</w:t>
      </w:r>
      <w:r w:rsidR="00AD1DDF" w:rsidRPr="00AB69B5">
        <w:rPr>
          <w:rFonts w:ascii="Times New Roman" w:hAnsi="Times New Roman" w:cs="Times New Roman"/>
        </w:rPr>
        <w:t xml:space="preserve"> in their experiences as women in law. However</w:t>
      </w:r>
      <w:r w:rsidR="009E2959" w:rsidRPr="00AB69B5">
        <w:rPr>
          <w:rFonts w:ascii="Times New Roman" w:hAnsi="Times New Roman" w:cs="Times New Roman"/>
        </w:rPr>
        <w:t xml:space="preserve">, </w:t>
      </w:r>
      <w:r w:rsidR="00AD1DDF" w:rsidRPr="00AB69B5">
        <w:rPr>
          <w:rFonts w:ascii="Times New Roman" w:hAnsi="Times New Roman" w:cs="Times New Roman"/>
        </w:rPr>
        <w:t>the main focus of this paper is the puzzles that have continued to intrigue me about these early women lawyers.</w:t>
      </w:r>
    </w:p>
    <w:p w14:paraId="531A25F7" w14:textId="31359EE2" w:rsidR="00B06A23" w:rsidRPr="00AB69B5" w:rsidRDefault="00AD1DDF" w:rsidP="00AB69B5">
      <w:pPr>
        <w:spacing w:line="480" w:lineRule="auto"/>
        <w:ind w:firstLine="720"/>
        <w:jc w:val="both"/>
        <w:rPr>
          <w:rFonts w:ascii="Times New Roman" w:hAnsi="Times New Roman" w:cs="Times New Roman"/>
        </w:rPr>
      </w:pPr>
      <w:r w:rsidRPr="00AB69B5">
        <w:rPr>
          <w:rFonts w:ascii="Times New Roman" w:hAnsi="Times New Roman" w:cs="Times New Roman"/>
        </w:rPr>
        <w:t>In an earlier study,</w:t>
      </w:r>
      <w:r w:rsidR="00447A03" w:rsidRPr="00AB69B5">
        <w:rPr>
          <w:rStyle w:val="FootnoteReference"/>
          <w:rFonts w:ascii="Times New Roman" w:hAnsi="Times New Roman" w:cs="Times New Roman"/>
        </w:rPr>
        <w:footnoteReference w:id="4"/>
      </w:r>
      <w:r w:rsidR="00447A03" w:rsidRPr="00AB69B5">
        <w:rPr>
          <w:rFonts w:ascii="Times New Roman" w:hAnsi="Times New Roman" w:cs="Times New Roman"/>
        </w:rPr>
        <w:t xml:space="preserve"> </w:t>
      </w:r>
      <w:r w:rsidR="0042761E" w:rsidRPr="00AB69B5">
        <w:rPr>
          <w:rFonts w:ascii="Times New Roman" w:hAnsi="Times New Roman" w:cs="Times New Roman"/>
        </w:rPr>
        <w:t xml:space="preserve">I focused on exploring the larger </w:t>
      </w:r>
      <w:r w:rsidR="00563925" w:rsidRPr="00AB69B5">
        <w:rPr>
          <w:rFonts w:ascii="Times New Roman" w:hAnsi="Times New Roman" w:cs="Times New Roman"/>
        </w:rPr>
        <w:t>historical</w:t>
      </w:r>
      <w:r w:rsidR="0042761E" w:rsidRPr="00AB69B5">
        <w:rPr>
          <w:rFonts w:ascii="Times New Roman" w:hAnsi="Times New Roman" w:cs="Times New Roman"/>
        </w:rPr>
        <w:t xml:space="preserve"> context in which women began to challenge the legal profession’s male exclusivity</w:t>
      </w:r>
      <w:r w:rsidRPr="00AB69B5">
        <w:rPr>
          <w:rFonts w:ascii="Times New Roman" w:hAnsi="Times New Roman" w:cs="Times New Roman"/>
        </w:rPr>
        <w:t xml:space="preserve">. For example, how was </w:t>
      </w:r>
      <w:r w:rsidR="004520F6" w:rsidRPr="00AB69B5">
        <w:rPr>
          <w:rFonts w:ascii="Times New Roman" w:hAnsi="Times New Roman" w:cs="Times New Roman"/>
        </w:rPr>
        <w:t>admission</w:t>
      </w:r>
      <w:r w:rsidRPr="00AB69B5">
        <w:rPr>
          <w:rFonts w:ascii="Times New Roman" w:hAnsi="Times New Roman" w:cs="Times New Roman"/>
        </w:rPr>
        <w:t xml:space="preserve"> to the legal profession enhance</w:t>
      </w:r>
      <w:r w:rsidR="004520F6" w:rsidRPr="00AB69B5">
        <w:rPr>
          <w:rFonts w:ascii="Times New Roman" w:hAnsi="Times New Roman" w:cs="Times New Roman"/>
        </w:rPr>
        <w:t>d</w:t>
      </w:r>
      <w:r w:rsidRPr="00AB69B5">
        <w:rPr>
          <w:rFonts w:ascii="Times New Roman" w:hAnsi="Times New Roman" w:cs="Times New Roman"/>
        </w:rPr>
        <w:t xml:space="preserve"> by</w:t>
      </w:r>
      <w:r w:rsidR="0042761E" w:rsidRPr="00AB69B5">
        <w:rPr>
          <w:rFonts w:ascii="Times New Roman" w:hAnsi="Times New Roman" w:cs="Times New Roman"/>
        </w:rPr>
        <w:t xml:space="preserve"> women’s increasing access to higher education, reforms in family law</w:t>
      </w:r>
      <w:r w:rsidR="004520F6" w:rsidRPr="00AB69B5">
        <w:rPr>
          <w:rFonts w:ascii="Times New Roman" w:hAnsi="Times New Roman" w:cs="Times New Roman"/>
        </w:rPr>
        <w:t>, or</w:t>
      </w:r>
      <w:r w:rsidR="0042761E" w:rsidRPr="00AB69B5">
        <w:rPr>
          <w:rFonts w:ascii="Times New Roman" w:hAnsi="Times New Roman" w:cs="Times New Roman"/>
        </w:rPr>
        <w:t xml:space="preserve"> the need for some women to </w:t>
      </w:r>
      <w:r w:rsidRPr="00AB69B5">
        <w:rPr>
          <w:rFonts w:ascii="Times New Roman" w:hAnsi="Times New Roman" w:cs="Times New Roman"/>
        </w:rPr>
        <w:t>pursue</w:t>
      </w:r>
      <w:r w:rsidR="0042761E" w:rsidRPr="00AB69B5">
        <w:rPr>
          <w:rFonts w:ascii="Times New Roman" w:hAnsi="Times New Roman" w:cs="Times New Roman"/>
        </w:rPr>
        <w:t xml:space="preserve"> economic self-sufficiency </w:t>
      </w:r>
      <w:r w:rsidR="00563925" w:rsidRPr="00AB69B5">
        <w:rPr>
          <w:rFonts w:ascii="Times New Roman" w:hAnsi="Times New Roman" w:cs="Times New Roman"/>
        </w:rPr>
        <w:t>rather than marriage</w:t>
      </w:r>
      <w:r w:rsidRPr="00AB69B5">
        <w:rPr>
          <w:rFonts w:ascii="Times New Roman" w:hAnsi="Times New Roman" w:cs="Times New Roman"/>
        </w:rPr>
        <w:t xml:space="preserve">? In addition, how significant was the </w:t>
      </w:r>
      <w:r w:rsidRPr="00AB69B5">
        <w:rPr>
          <w:rFonts w:ascii="Times New Roman" w:hAnsi="Times New Roman" w:cs="Times New Roman"/>
        </w:rPr>
        <w:lastRenderedPageBreak/>
        <w:t xml:space="preserve">women’s movement, and particularly suffrage campaigns, in encouraging women to seek admission to legal professions? </w:t>
      </w:r>
      <w:r w:rsidR="004520F6" w:rsidRPr="00AB69B5">
        <w:rPr>
          <w:rFonts w:ascii="Times New Roman" w:hAnsi="Times New Roman" w:cs="Times New Roman"/>
        </w:rPr>
        <w:t xml:space="preserve">These and other developments in the larger historical context appear to have contributed to women’s decisions – at </w:t>
      </w:r>
      <w:r w:rsidR="00563925" w:rsidRPr="00AB69B5">
        <w:rPr>
          <w:rFonts w:ascii="Times New Roman" w:hAnsi="Times New Roman" w:cs="Times New Roman"/>
        </w:rPr>
        <w:t xml:space="preserve">different historical moments </w:t>
      </w:r>
      <w:r w:rsidR="004520F6" w:rsidRPr="00AB69B5">
        <w:rPr>
          <w:rFonts w:ascii="Times New Roman" w:hAnsi="Times New Roman" w:cs="Times New Roman"/>
        </w:rPr>
        <w:t>and in</w:t>
      </w:r>
      <w:r w:rsidR="00B06A23" w:rsidRPr="00AB69B5">
        <w:rPr>
          <w:rFonts w:ascii="Times New Roman" w:hAnsi="Times New Roman" w:cs="Times New Roman"/>
        </w:rPr>
        <w:t xml:space="preserve"> differing jurisdictions </w:t>
      </w:r>
      <w:r w:rsidR="004520F6" w:rsidRPr="00AB69B5">
        <w:rPr>
          <w:rFonts w:ascii="Times New Roman" w:hAnsi="Times New Roman" w:cs="Times New Roman"/>
        </w:rPr>
        <w:t xml:space="preserve">– to </w:t>
      </w:r>
      <w:r w:rsidR="00B06A23" w:rsidRPr="00AB69B5">
        <w:rPr>
          <w:rFonts w:ascii="Times New Roman" w:hAnsi="Times New Roman" w:cs="Times New Roman"/>
        </w:rPr>
        <w:t xml:space="preserve">establish historical </w:t>
      </w:r>
      <w:r w:rsidR="00B06A23" w:rsidRPr="00AB69B5">
        <w:rPr>
          <w:rFonts w:ascii="Times New Roman" w:hAnsi="Times New Roman" w:cs="Times New Roman"/>
          <w:i/>
        </w:rPr>
        <w:t>precedents</w:t>
      </w:r>
      <w:r w:rsidR="00B06A23" w:rsidRPr="00AB69B5">
        <w:rPr>
          <w:rFonts w:ascii="Times New Roman" w:hAnsi="Times New Roman" w:cs="Times New Roman"/>
        </w:rPr>
        <w:t xml:space="preserve"> by seeking </w:t>
      </w:r>
      <w:r w:rsidR="00563925" w:rsidRPr="00AB69B5">
        <w:rPr>
          <w:rFonts w:ascii="Times New Roman" w:hAnsi="Times New Roman" w:cs="Times New Roman"/>
        </w:rPr>
        <w:t>to become lawyers</w:t>
      </w:r>
      <w:r w:rsidR="00447A03" w:rsidRPr="00AB69B5">
        <w:rPr>
          <w:rFonts w:ascii="Times New Roman" w:hAnsi="Times New Roman" w:cs="Times New Roman"/>
        </w:rPr>
        <w:t xml:space="preserve">. </w:t>
      </w:r>
      <w:r w:rsidR="00563925" w:rsidRPr="00AB69B5">
        <w:rPr>
          <w:rFonts w:ascii="Times New Roman" w:hAnsi="Times New Roman" w:cs="Times New Roman"/>
        </w:rPr>
        <w:t xml:space="preserve">In addition, </w:t>
      </w:r>
      <w:r w:rsidR="00B06A23" w:rsidRPr="00AB69B5">
        <w:rPr>
          <w:rFonts w:ascii="Times New Roman" w:hAnsi="Times New Roman" w:cs="Times New Roman"/>
        </w:rPr>
        <w:t xml:space="preserve">however, </w:t>
      </w:r>
      <w:r w:rsidR="00563925" w:rsidRPr="00AB69B5">
        <w:rPr>
          <w:rFonts w:ascii="Times New Roman" w:hAnsi="Times New Roman" w:cs="Times New Roman"/>
        </w:rPr>
        <w:t xml:space="preserve">my earlier study </w:t>
      </w:r>
      <w:r w:rsidR="00B06A23" w:rsidRPr="00AB69B5">
        <w:rPr>
          <w:rFonts w:ascii="Times New Roman" w:hAnsi="Times New Roman" w:cs="Times New Roman"/>
        </w:rPr>
        <w:t xml:space="preserve">tried </w:t>
      </w:r>
      <w:r w:rsidR="00563925" w:rsidRPr="00AB69B5">
        <w:rPr>
          <w:rFonts w:ascii="Times New Roman" w:hAnsi="Times New Roman" w:cs="Times New Roman"/>
        </w:rPr>
        <w:t xml:space="preserve">to identify the </w:t>
      </w:r>
      <w:r w:rsidR="006143C9" w:rsidRPr="00AB69B5">
        <w:rPr>
          <w:rFonts w:ascii="Times New Roman" w:hAnsi="Times New Roman" w:cs="Times New Roman"/>
        </w:rPr>
        <w:t>individual</w:t>
      </w:r>
      <w:r w:rsidR="00563925" w:rsidRPr="00AB69B5">
        <w:rPr>
          <w:rFonts w:ascii="Times New Roman" w:hAnsi="Times New Roman" w:cs="Times New Roman"/>
        </w:rPr>
        <w:t xml:space="preserve"> </w:t>
      </w:r>
      <w:r w:rsidR="00563925" w:rsidRPr="00AB69B5">
        <w:rPr>
          <w:rFonts w:ascii="Times New Roman" w:hAnsi="Times New Roman" w:cs="Times New Roman"/>
          <w:i/>
        </w:rPr>
        <w:t>biographical</w:t>
      </w:r>
      <w:r w:rsidR="00563925" w:rsidRPr="00AB69B5">
        <w:rPr>
          <w:rFonts w:ascii="Times New Roman" w:hAnsi="Times New Roman" w:cs="Times New Roman"/>
        </w:rPr>
        <w:t xml:space="preserve"> contexts of the first women lawyers, including their family backgrounds (which were often, but not exclusively, middle class) and their families’ support for women’s higher education. Moreover, in addition to having fathers who may have supported their aspirations</w:t>
      </w:r>
      <w:r w:rsidR="00B06A23" w:rsidRPr="00AB69B5">
        <w:rPr>
          <w:rFonts w:ascii="Times New Roman" w:hAnsi="Times New Roman" w:cs="Times New Roman"/>
        </w:rPr>
        <w:t xml:space="preserve"> </w:t>
      </w:r>
      <w:r w:rsidR="006B1A15" w:rsidRPr="00AB69B5">
        <w:rPr>
          <w:rFonts w:ascii="Times New Roman" w:hAnsi="Times New Roman" w:cs="Times New Roman"/>
        </w:rPr>
        <w:t>(</w:t>
      </w:r>
      <w:r w:rsidR="00B06A23" w:rsidRPr="00AB69B5">
        <w:rPr>
          <w:rFonts w:ascii="Times New Roman" w:hAnsi="Times New Roman" w:cs="Times New Roman"/>
        </w:rPr>
        <w:t>perhaps financially</w:t>
      </w:r>
      <w:r w:rsidR="006B1A15" w:rsidRPr="00AB69B5">
        <w:rPr>
          <w:rFonts w:ascii="Times New Roman" w:hAnsi="Times New Roman" w:cs="Times New Roman"/>
        </w:rPr>
        <w:t>)</w:t>
      </w:r>
      <w:r w:rsidR="00B06A23" w:rsidRPr="00AB69B5">
        <w:rPr>
          <w:rFonts w:ascii="Times New Roman" w:hAnsi="Times New Roman" w:cs="Times New Roman"/>
        </w:rPr>
        <w:t>,</w:t>
      </w:r>
      <w:r w:rsidR="00563925" w:rsidRPr="00AB69B5">
        <w:rPr>
          <w:rFonts w:ascii="Times New Roman" w:hAnsi="Times New Roman" w:cs="Times New Roman"/>
        </w:rPr>
        <w:t xml:space="preserve"> biographies of the first women lawyers frequently </w:t>
      </w:r>
      <w:r w:rsidR="00927FAE" w:rsidRPr="00AB69B5">
        <w:rPr>
          <w:rFonts w:ascii="Times New Roman" w:hAnsi="Times New Roman" w:cs="Times New Roman"/>
        </w:rPr>
        <w:t>identify</w:t>
      </w:r>
      <w:r w:rsidR="00563925" w:rsidRPr="00AB69B5">
        <w:rPr>
          <w:rFonts w:ascii="Times New Roman" w:hAnsi="Times New Roman" w:cs="Times New Roman"/>
        </w:rPr>
        <w:t xml:space="preserve"> significant support </w:t>
      </w:r>
      <w:r w:rsidR="00B06A23" w:rsidRPr="00AB69B5">
        <w:rPr>
          <w:rFonts w:ascii="Times New Roman" w:hAnsi="Times New Roman" w:cs="Times New Roman"/>
        </w:rPr>
        <w:t>on the part of some</w:t>
      </w:r>
      <w:r w:rsidR="00563925" w:rsidRPr="00AB69B5">
        <w:rPr>
          <w:rFonts w:ascii="Times New Roman" w:hAnsi="Times New Roman" w:cs="Times New Roman"/>
        </w:rPr>
        <w:t xml:space="preserve"> male lawyers, </w:t>
      </w:r>
      <w:r w:rsidR="00927FAE" w:rsidRPr="00AB69B5">
        <w:rPr>
          <w:rFonts w:ascii="Times New Roman" w:hAnsi="Times New Roman" w:cs="Times New Roman"/>
        </w:rPr>
        <w:t xml:space="preserve">as well as male </w:t>
      </w:r>
      <w:r w:rsidR="00563925" w:rsidRPr="00AB69B5">
        <w:rPr>
          <w:rFonts w:ascii="Times New Roman" w:hAnsi="Times New Roman" w:cs="Times New Roman"/>
        </w:rPr>
        <w:t>judges and legislators</w:t>
      </w:r>
      <w:r w:rsidR="00927FAE" w:rsidRPr="00AB69B5">
        <w:rPr>
          <w:rFonts w:ascii="Times New Roman" w:hAnsi="Times New Roman" w:cs="Times New Roman"/>
        </w:rPr>
        <w:t>. T</w:t>
      </w:r>
      <w:r w:rsidR="00B06A23" w:rsidRPr="00AB69B5">
        <w:rPr>
          <w:rFonts w:ascii="Times New Roman" w:hAnsi="Times New Roman" w:cs="Times New Roman"/>
        </w:rPr>
        <w:t xml:space="preserve">hat is, </w:t>
      </w:r>
      <w:r w:rsidR="006143C9" w:rsidRPr="00AB69B5">
        <w:rPr>
          <w:rFonts w:ascii="Times New Roman" w:hAnsi="Times New Roman" w:cs="Times New Roman"/>
        </w:rPr>
        <w:t xml:space="preserve">while </w:t>
      </w:r>
      <w:r w:rsidR="00B06A23" w:rsidRPr="00AB69B5">
        <w:rPr>
          <w:rFonts w:ascii="Times New Roman" w:hAnsi="Times New Roman" w:cs="Times New Roman"/>
        </w:rPr>
        <w:t xml:space="preserve">the biographies of </w:t>
      </w:r>
      <w:r w:rsidR="006143C9" w:rsidRPr="00AB69B5">
        <w:rPr>
          <w:rFonts w:ascii="Times New Roman" w:hAnsi="Times New Roman" w:cs="Times New Roman"/>
        </w:rPr>
        <w:t>some</w:t>
      </w:r>
      <w:r w:rsidR="00B06A23" w:rsidRPr="00AB69B5">
        <w:rPr>
          <w:rFonts w:ascii="Times New Roman" w:hAnsi="Times New Roman" w:cs="Times New Roman"/>
        </w:rPr>
        <w:t xml:space="preserve"> first women lawyers reveal </w:t>
      </w:r>
      <w:r w:rsidR="006143C9" w:rsidRPr="00AB69B5">
        <w:rPr>
          <w:rFonts w:ascii="Times New Roman" w:hAnsi="Times New Roman" w:cs="Times New Roman"/>
        </w:rPr>
        <w:t>how</w:t>
      </w:r>
      <w:r w:rsidR="00B06A23" w:rsidRPr="00AB69B5">
        <w:rPr>
          <w:rFonts w:ascii="Times New Roman" w:hAnsi="Times New Roman" w:cs="Times New Roman"/>
        </w:rPr>
        <w:t xml:space="preserve"> they </w:t>
      </w:r>
      <w:r w:rsidR="009E2959" w:rsidRPr="00AB69B5">
        <w:rPr>
          <w:rFonts w:ascii="Times New Roman" w:hAnsi="Times New Roman" w:cs="Times New Roman"/>
        </w:rPr>
        <w:t>sometimes</w:t>
      </w:r>
      <w:r w:rsidR="00B06A23" w:rsidRPr="00AB69B5">
        <w:rPr>
          <w:rFonts w:ascii="Times New Roman" w:hAnsi="Times New Roman" w:cs="Times New Roman"/>
        </w:rPr>
        <w:t xml:space="preserve"> faced virulent male opposition, they also received warm and timely help from some men</w:t>
      </w:r>
      <w:r w:rsidR="00563925" w:rsidRPr="00AB69B5">
        <w:rPr>
          <w:rFonts w:ascii="Times New Roman" w:hAnsi="Times New Roman" w:cs="Times New Roman"/>
        </w:rPr>
        <w:t>.</w:t>
      </w:r>
      <w:r w:rsidR="004520F6" w:rsidRPr="00AB69B5">
        <w:rPr>
          <w:rStyle w:val="FootnoteReference"/>
          <w:rFonts w:ascii="Times New Roman" w:hAnsi="Times New Roman" w:cs="Times New Roman"/>
        </w:rPr>
        <w:footnoteReference w:id="5"/>
      </w:r>
      <w:r w:rsidR="00563925" w:rsidRPr="00AB69B5">
        <w:rPr>
          <w:rFonts w:ascii="Times New Roman" w:hAnsi="Times New Roman" w:cs="Times New Roman"/>
        </w:rPr>
        <w:t xml:space="preserve"> </w:t>
      </w:r>
      <w:r w:rsidR="00B06A23" w:rsidRPr="00AB69B5">
        <w:rPr>
          <w:rFonts w:ascii="Times New Roman" w:hAnsi="Times New Roman" w:cs="Times New Roman"/>
        </w:rPr>
        <w:t xml:space="preserve">Overall, the earlier study focused on insights from both history and biography, </w:t>
      </w:r>
      <w:r w:rsidR="00E836F4" w:rsidRPr="00AB69B5">
        <w:rPr>
          <w:rFonts w:ascii="Times New Roman" w:hAnsi="Times New Roman" w:cs="Times New Roman"/>
        </w:rPr>
        <w:t>telling</w:t>
      </w:r>
      <w:r w:rsidR="00B06A23" w:rsidRPr="00AB69B5">
        <w:rPr>
          <w:rFonts w:ascii="Times New Roman" w:hAnsi="Times New Roman" w:cs="Times New Roman"/>
        </w:rPr>
        <w:t xml:space="preserve"> stories about the experiences of the first women lawyers to explain the</w:t>
      </w:r>
      <w:r w:rsidR="00E836F4" w:rsidRPr="00AB69B5">
        <w:rPr>
          <w:rFonts w:ascii="Times New Roman" w:hAnsi="Times New Roman" w:cs="Times New Roman"/>
        </w:rPr>
        <w:t xml:space="preserve"> contexts for their</w:t>
      </w:r>
      <w:r w:rsidR="00B06A23" w:rsidRPr="00AB69B5">
        <w:rPr>
          <w:rFonts w:ascii="Times New Roman" w:hAnsi="Times New Roman" w:cs="Times New Roman"/>
        </w:rPr>
        <w:t xml:space="preserve"> historical precedents a</w:t>
      </w:r>
      <w:r w:rsidR="006143C9" w:rsidRPr="00AB69B5">
        <w:rPr>
          <w:rFonts w:ascii="Times New Roman" w:hAnsi="Times New Roman" w:cs="Times New Roman"/>
        </w:rPr>
        <w:t>s well as</w:t>
      </w:r>
      <w:r w:rsidR="00E836F4" w:rsidRPr="00AB69B5">
        <w:rPr>
          <w:rFonts w:ascii="Times New Roman" w:hAnsi="Times New Roman" w:cs="Times New Roman"/>
        </w:rPr>
        <w:t xml:space="preserve"> </w:t>
      </w:r>
      <w:r w:rsidR="00B06A23" w:rsidRPr="00AB69B5">
        <w:rPr>
          <w:rFonts w:ascii="Times New Roman" w:hAnsi="Times New Roman" w:cs="Times New Roman"/>
        </w:rPr>
        <w:t xml:space="preserve">the biographical </w:t>
      </w:r>
      <w:r w:rsidR="00E836F4" w:rsidRPr="00AB69B5">
        <w:rPr>
          <w:rFonts w:ascii="Times New Roman" w:hAnsi="Times New Roman" w:cs="Times New Roman"/>
        </w:rPr>
        <w:t>patterns in their lives. That is, my earlier study focused on the historical factors that shaped women’s opportunities to enter the legal professions and on question</w:t>
      </w:r>
      <w:r w:rsidR="004520F6" w:rsidRPr="00AB69B5">
        <w:rPr>
          <w:rFonts w:ascii="Times New Roman" w:hAnsi="Times New Roman" w:cs="Times New Roman"/>
        </w:rPr>
        <w:t>s</w:t>
      </w:r>
      <w:r w:rsidR="00E836F4" w:rsidRPr="00AB69B5">
        <w:rPr>
          <w:rFonts w:ascii="Times New Roman" w:hAnsi="Times New Roman" w:cs="Times New Roman"/>
        </w:rPr>
        <w:t xml:space="preserve"> about why was it these women and not others who tried and often succeeded in doing so</w:t>
      </w:r>
      <w:r w:rsidR="006B1A15" w:rsidRPr="00AB69B5">
        <w:rPr>
          <w:rFonts w:ascii="Times New Roman" w:hAnsi="Times New Roman" w:cs="Times New Roman"/>
        </w:rPr>
        <w:t>.</w:t>
      </w:r>
      <w:r w:rsidR="00E836F4" w:rsidRPr="00AB69B5">
        <w:rPr>
          <w:rFonts w:ascii="Times New Roman" w:hAnsi="Times New Roman" w:cs="Times New Roman"/>
        </w:rPr>
        <w:t xml:space="preserve"> These </w:t>
      </w:r>
      <w:r w:rsidR="00E836F4" w:rsidRPr="00AB69B5">
        <w:rPr>
          <w:rFonts w:ascii="Times New Roman" w:hAnsi="Times New Roman" w:cs="Times New Roman"/>
          <w:i/>
        </w:rPr>
        <w:t>historical precedents</w:t>
      </w:r>
      <w:r w:rsidR="00E836F4" w:rsidRPr="00AB69B5">
        <w:rPr>
          <w:rFonts w:ascii="Times New Roman" w:hAnsi="Times New Roman" w:cs="Times New Roman"/>
        </w:rPr>
        <w:t xml:space="preserve"> and </w:t>
      </w:r>
      <w:r w:rsidR="00E836F4" w:rsidRPr="00AB69B5">
        <w:rPr>
          <w:rFonts w:ascii="Times New Roman" w:hAnsi="Times New Roman" w:cs="Times New Roman"/>
          <w:i/>
        </w:rPr>
        <w:t>biographical patterns</w:t>
      </w:r>
      <w:r w:rsidR="00E836F4" w:rsidRPr="00AB69B5">
        <w:rPr>
          <w:rFonts w:ascii="Times New Roman" w:hAnsi="Times New Roman" w:cs="Times New Roman"/>
        </w:rPr>
        <w:t xml:space="preserve"> are both significant, in my view.</w:t>
      </w:r>
    </w:p>
    <w:p w14:paraId="2D2F5A8F" w14:textId="4EEBE281" w:rsidR="00CF0A2C" w:rsidRPr="00AB69B5" w:rsidRDefault="00E836F4" w:rsidP="00AB69B5">
      <w:pPr>
        <w:spacing w:line="480" w:lineRule="auto"/>
        <w:ind w:firstLine="720"/>
        <w:jc w:val="both"/>
        <w:rPr>
          <w:rFonts w:ascii="Times New Roman" w:hAnsi="Times New Roman" w:cs="Times New Roman"/>
        </w:rPr>
      </w:pPr>
      <w:r w:rsidRPr="00AB69B5">
        <w:rPr>
          <w:rFonts w:ascii="Times New Roman" w:hAnsi="Times New Roman" w:cs="Times New Roman"/>
        </w:rPr>
        <w:t xml:space="preserve">However, in addition to precedents and patterns, there are puzzles. And it is these puzzles </w:t>
      </w:r>
      <w:r w:rsidR="006B1A15" w:rsidRPr="00AB69B5">
        <w:rPr>
          <w:rFonts w:ascii="Times New Roman" w:hAnsi="Times New Roman" w:cs="Times New Roman"/>
        </w:rPr>
        <w:t xml:space="preserve">(some of the unknowns) </w:t>
      </w:r>
      <w:r w:rsidRPr="00AB69B5">
        <w:rPr>
          <w:rFonts w:ascii="Times New Roman" w:hAnsi="Times New Roman" w:cs="Times New Roman"/>
        </w:rPr>
        <w:t xml:space="preserve">that </w:t>
      </w:r>
      <w:r w:rsidR="004520F6" w:rsidRPr="00AB69B5">
        <w:rPr>
          <w:rFonts w:ascii="Times New Roman" w:hAnsi="Times New Roman" w:cs="Times New Roman"/>
        </w:rPr>
        <w:t>are the focus of this paper.</w:t>
      </w:r>
      <w:r w:rsidRPr="00AB69B5">
        <w:rPr>
          <w:rFonts w:ascii="Times New Roman" w:hAnsi="Times New Roman" w:cs="Times New Roman"/>
        </w:rPr>
        <w:t xml:space="preserve"> In </w:t>
      </w:r>
      <w:r w:rsidR="004520F6" w:rsidRPr="00AB69B5">
        <w:rPr>
          <w:rFonts w:ascii="Times New Roman" w:hAnsi="Times New Roman" w:cs="Times New Roman"/>
        </w:rPr>
        <w:t xml:space="preserve">exploring these puzzles, </w:t>
      </w:r>
      <w:r w:rsidRPr="00AB69B5">
        <w:rPr>
          <w:rFonts w:ascii="Times New Roman" w:hAnsi="Times New Roman" w:cs="Times New Roman"/>
        </w:rPr>
        <w:t xml:space="preserve">I </w:t>
      </w:r>
      <w:r w:rsidR="004520F6" w:rsidRPr="00AB69B5">
        <w:rPr>
          <w:rFonts w:ascii="Times New Roman" w:hAnsi="Times New Roman" w:cs="Times New Roman"/>
        </w:rPr>
        <w:t xml:space="preserve">focus on two specific challenges: relationships between </w:t>
      </w:r>
      <w:r w:rsidRPr="00AB69B5">
        <w:rPr>
          <w:rFonts w:ascii="Times New Roman" w:hAnsi="Times New Roman" w:cs="Times New Roman"/>
        </w:rPr>
        <w:t>gender</w:t>
      </w:r>
      <w:r w:rsidR="004520F6" w:rsidRPr="00AB69B5">
        <w:rPr>
          <w:rFonts w:ascii="Times New Roman" w:hAnsi="Times New Roman" w:cs="Times New Roman"/>
        </w:rPr>
        <w:t xml:space="preserve">ed identities </w:t>
      </w:r>
      <w:r w:rsidRPr="00AB69B5">
        <w:rPr>
          <w:rFonts w:ascii="Times New Roman" w:hAnsi="Times New Roman" w:cs="Times New Roman"/>
        </w:rPr>
        <w:t xml:space="preserve">and </w:t>
      </w:r>
      <w:r w:rsidR="004520F6" w:rsidRPr="00AB69B5">
        <w:rPr>
          <w:rFonts w:ascii="Times New Roman" w:hAnsi="Times New Roman" w:cs="Times New Roman"/>
        </w:rPr>
        <w:t xml:space="preserve">ideas about </w:t>
      </w:r>
      <w:r w:rsidRPr="00AB69B5">
        <w:rPr>
          <w:rFonts w:ascii="Times New Roman" w:hAnsi="Times New Roman" w:cs="Times New Roman"/>
        </w:rPr>
        <w:t xml:space="preserve">professionalism; and </w:t>
      </w:r>
      <w:r w:rsidR="004520F6" w:rsidRPr="00AB69B5">
        <w:rPr>
          <w:rFonts w:ascii="Times New Roman" w:hAnsi="Times New Roman" w:cs="Times New Roman"/>
        </w:rPr>
        <w:t xml:space="preserve">then, how these ideas </w:t>
      </w:r>
      <w:r w:rsidR="00610ECA" w:rsidRPr="00AB69B5">
        <w:rPr>
          <w:rFonts w:ascii="Times New Roman" w:hAnsi="Times New Roman" w:cs="Times New Roman"/>
        </w:rPr>
        <w:t xml:space="preserve">were reflected in </w:t>
      </w:r>
      <w:r w:rsidR="009E2959" w:rsidRPr="00AB69B5">
        <w:rPr>
          <w:rFonts w:ascii="Times New Roman" w:hAnsi="Times New Roman" w:cs="Times New Roman"/>
        </w:rPr>
        <w:t xml:space="preserve">women lawyers’ </w:t>
      </w:r>
      <w:r w:rsidRPr="00AB69B5">
        <w:rPr>
          <w:rFonts w:ascii="Times New Roman" w:hAnsi="Times New Roman" w:cs="Times New Roman"/>
        </w:rPr>
        <w:t xml:space="preserve">public and private identities. </w:t>
      </w:r>
      <w:r w:rsidR="00610ECA" w:rsidRPr="00AB69B5">
        <w:rPr>
          <w:rFonts w:ascii="Times New Roman" w:hAnsi="Times New Roman" w:cs="Times New Roman"/>
        </w:rPr>
        <w:t xml:space="preserve">In this paper, I use </w:t>
      </w:r>
      <w:r w:rsidR="00447A03" w:rsidRPr="00AB69B5">
        <w:rPr>
          <w:rFonts w:ascii="Times New Roman" w:hAnsi="Times New Roman" w:cs="Times New Roman"/>
        </w:rPr>
        <w:t xml:space="preserve">examples of </w:t>
      </w:r>
      <w:r w:rsidR="00610ECA" w:rsidRPr="00AB69B5">
        <w:rPr>
          <w:rFonts w:ascii="Times New Roman" w:hAnsi="Times New Roman" w:cs="Times New Roman"/>
        </w:rPr>
        <w:t xml:space="preserve">early women lawyers in England and Canada, although their experiences are certainly reflected in the lives of women lawyers in other jurisdictions. Finally, I reflect briefly on </w:t>
      </w:r>
      <w:r w:rsidRPr="00AB69B5">
        <w:rPr>
          <w:rFonts w:ascii="Times New Roman" w:hAnsi="Times New Roman" w:cs="Times New Roman"/>
        </w:rPr>
        <w:t xml:space="preserve">why these puzzles </w:t>
      </w:r>
      <w:r w:rsidR="00927FAE" w:rsidRPr="00AB69B5">
        <w:rPr>
          <w:rFonts w:ascii="Times New Roman" w:hAnsi="Times New Roman" w:cs="Times New Roman"/>
        </w:rPr>
        <w:t>are</w:t>
      </w:r>
      <w:r w:rsidRPr="00AB69B5">
        <w:rPr>
          <w:rFonts w:ascii="Times New Roman" w:hAnsi="Times New Roman" w:cs="Times New Roman"/>
        </w:rPr>
        <w:t xml:space="preserve"> important for modern women </w:t>
      </w:r>
      <w:r w:rsidR="009E2959" w:rsidRPr="00AB69B5">
        <w:rPr>
          <w:rFonts w:ascii="Times New Roman" w:hAnsi="Times New Roman" w:cs="Times New Roman"/>
        </w:rPr>
        <w:t>lawyers, and on the significance of feminism.</w:t>
      </w:r>
    </w:p>
    <w:p w14:paraId="33345883" w14:textId="77777777" w:rsidR="009B7AE9" w:rsidRDefault="009B7AE9" w:rsidP="00AB69B5">
      <w:pPr>
        <w:spacing w:line="480" w:lineRule="auto"/>
        <w:ind w:left="720"/>
        <w:jc w:val="both"/>
        <w:rPr>
          <w:rFonts w:ascii="Times New Roman" w:hAnsi="Times New Roman" w:cs="Times New Roman"/>
          <w:b/>
          <w:u w:val="single"/>
        </w:rPr>
      </w:pPr>
    </w:p>
    <w:p w14:paraId="21EB3604" w14:textId="77777777" w:rsidR="00E836F4" w:rsidRPr="00AB69B5" w:rsidRDefault="00CF0A2C" w:rsidP="00AB69B5">
      <w:pPr>
        <w:spacing w:line="480" w:lineRule="auto"/>
        <w:ind w:left="720"/>
        <w:jc w:val="both"/>
        <w:rPr>
          <w:rFonts w:ascii="Times New Roman" w:hAnsi="Times New Roman" w:cs="Times New Roman"/>
          <w:b/>
          <w:u w:val="single"/>
        </w:rPr>
      </w:pPr>
      <w:r w:rsidRPr="00AB69B5">
        <w:rPr>
          <w:rFonts w:ascii="Times New Roman" w:hAnsi="Times New Roman" w:cs="Times New Roman"/>
          <w:b/>
          <w:u w:val="single"/>
        </w:rPr>
        <w:lastRenderedPageBreak/>
        <w:t>Puzzles in the Stories of the First Women Lawyers</w:t>
      </w:r>
    </w:p>
    <w:p w14:paraId="5783F4E5" w14:textId="74AF4219" w:rsidR="00F03851" w:rsidRPr="00AB69B5" w:rsidRDefault="00F03851" w:rsidP="00AB69B5">
      <w:pPr>
        <w:spacing w:line="480" w:lineRule="auto"/>
        <w:jc w:val="both"/>
        <w:rPr>
          <w:rFonts w:ascii="Times New Roman" w:hAnsi="Times New Roman" w:cs="Times New Roman"/>
          <w:u w:val="single"/>
        </w:rPr>
      </w:pPr>
      <w:r w:rsidRPr="00AB69B5">
        <w:rPr>
          <w:rFonts w:ascii="Times New Roman" w:hAnsi="Times New Roman" w:cs="Times New Roman"/>
          <w:u w:val="single"/>
        </w:rPr>
        <w:t>Gender and Professionalism</w:t>
      </w:r>
      <w:r w:rsidR="009E2959" w:rsidRPr="00AB69B5">
        <w:rPr>
          <w:rFonts w:ascii="Times New Roman" w:hAnsi="Times New Roman" w:cs="Times New Roman"/>
          <w:u w:val="single"/>
        </w:rPr>
        <w:t>: A Historical Puzzle</w:t>
      </w:r>
    </w:p>
    <w:p w14:paraId="7C56CCEE" w14:textId="4CA1A78B" w:rsidR="00F03851" w:rsidRPr="00AB69B5" w:rsidRDefault="00F03851"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The realization of the radical potential of women’s history comes in the writing of histories that focus on women’s experiences </w:t>
      </w:r>
      <w:r w:rsidRPr="00AB69B5">
        <w:rPr>
          <w:rFonts w:ascii="Times New Roman" w:hAnsi="Times New Roman" w:cs="Times New Roman"/>
          <w:i/>
        </w:rPr>
        <w:t>and</w:t>
      </w:r>
      <w:r w:rsidRPr="00AB69B5">
        <w:rPr>
          <w:rFonts w:ascii="Times New Roman" w:hAnsi="Times New Roman" w:cs="Times New Roman"/>
        </w:rPr>
        <w:t xml:space="preserve"> analyze the ways in which politics construct gender and gender constructs politics. Feminist history then becomes not the recounting of great deeds performed by women but the exposure of often silent and hidden operations of gender that are nonetheless present and defining forces in the organization of most societies….</w:t>
      </w:r>
      <w:r w:rsidR="00610ECA" w:rsidRPr="00AB69B5">
        <w:rPr>
          <w:rStyle w:val="FootnoteReference"/>
          <w:rFonts w:ascii="Times New Roman" w:hAnsi="Times New Roman" w:cs="Times New Roman"/>
        </w:rPr>
        <w:footnoteReference w:id="6"/>
      </w:r>
    </w:p>
    <w:p w14:paraId="1C1A6D5E" w14:textId="77777777" w:rsidR="00F03851" w:rsidRPr="00AB69B5" w:rsidRDefault="00F03851" w:rsidP="00AB69B5">
      <w:pPr>
        <w:spacing w:after="0" w:line="480" w:lineRule="auto"/>
        <w:ind w:left="2880"/>
        <w:jc w:val="both"/>
        <w:rPr>
          <w:rFonts w:ascii="Times New Roman" w:hAnsi="Times New Roman" w:cs="Times New Roman"/>
        </w:rPr>
      </w:pPr>
    </w:p>
    <w:p w14:paraId="3CE280D2" w14:textId="711D1AA4" w:rsidR="0048507D" w:rsidRPr="00AB69B5" w:rsidRDefault="00F03851" w:rsidP="00AB69B5">
      <w:pPr>
        <w:spacing w:after="0" w:line="480" w:lineRule="auto"/>
        <w:jc w:val="both"/>
        <w:rPr>
          <w:rFonts w:ascii="Times New Roman" w:hAnsi="Times New Roman" w:cs="Times New Roman"/>
        </w:rPr>
      </w:pPr>
      <w:r w:rsidRPr="00AB69B5">
        <w:rPr>
          <w:rFonts w:ascii="Times New Roman" w:hAnsi="Times New Roman" w:cs="Times New Roman"/>
        </w:rPr>
        <w:t xml:space="preserve">When women in different jurisdictions first began to </w:t>
      </w:r>
      <w:r w:rsidR="009E2959" w:rsidRPr="00AB69B5">
        <w:rPr>
          <w:rFonts w:ascii="Times New Roman" w:hAnsi="Times New Roman" w:cs="Times New Roman"/>
        </w:rPr>
        <w:t>assert their</w:t>
      </w:r>
      <w:r w:rsidRPr="00AB69B5">
        <w:rPr>
          <w:rFonts w:ascii="Times New Roman" w:hAnsi="Times New Roman" w:cs="Times New Roman"/>
        </w:rPr>
        <w:t xml:space="preserve"> eligibility for admission to the bar, th</w:t>
      </w:r>
      <w:r w:rsidR="009D453C" w:rsidRPr="00AB69B5">
        <w:rPr>
          <w:rFonts w:ascii="Times New Roman" w:hAnsi="Times New Roman" w:cs="Times New Roman"/>
        </w:rPr>
        <w:t>eir claims challenged not just individual men who were members of the legal professions, but more significantly, the traditional ideology of law as a ‘gentleman’s profession.’ As two Canadian historians, Gidney and Millar, noted succinctly, maleness was an essential requirement of a profession in the 19</w:t>
      </w:r>
      <w:r w:rsidR="009D453C" w:rsidRPr="00AB69B5">
        <w:rPr>
          <w:rFonts w:ascii="Times New Roman" w:hAnsi="Times New Roman" w:cs="Times New Roman"/>
          <w:vertAlign w:val="superscript"/>
        </w:rPr>
        <w:t>th</w:t>
      </w:r>
      <w:r w:rsidR="009D453C" w:rsidRPr="00AB69B5">
        <w:rPr>
          <w:rFonts w:ascii="Times New Roman" w:hAnsi="Times New Roman" w:cs="Times New Roman"/>
        </w:rPr>
        <w:t xml:space="preserve"> century – indeed, an occupation could not be called a profession ‘if it was filled with women.’</w:t>
      </w:r>
      <w:r w:rsidR="00566CAE" w:rsidRPr="00AB69B5">
        <w:rPr>
          <w:rStyle w:val="FootnoteReference"/>
          <w:rFonts w:ascii="Times New Roman" w:hAnsi="Times New Roman" w:cs="Times New Roman"/>
        </w:rPr>
        <w:footnoteReference w:id="7"/>
      </w:r>
      <w:r w:rsidR="009D453C" w:rsidRPr="00AB69B5">
        <w:rPr>
          <w:rFonts w:ascii="Times New Roman" w:hAnsi="Times New Roman" w:cs="Times New Roman"/>
        </w:rPr>
        <w:t xml:space="preserve"> In such a context, the first women lawyers necessarily confronted a tension between their (female) gender and traditional concepts of (male) professionalism in law.</w:t>
      </w:r>
    </w:p>
    <w:p w14:paraId="5EA86A70" w14:textId="0493FDEB" w:rsidR="002B2306" w:rsidRPr="00AB69B5" w:rsidRDefault="00927FAE"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This tension was </w:t>
      </w:r>
      <w:r w:rsidR="009E2959" w:rsidRPr="00AB69B5">
        <w:rPr>
          <w:rFonts w:ascii="Times New Roman" w:hAnsi="Times New Roman" w:cs="Times New Roman"/>
        </w:rPr>
        <w:t xml:space="preserve">especially </w:t>
      </w:r>
      <w:r w:rsidRPr="00AB69B5">
        <w:rPr>
          <w:rFonts w:ascii="Times New Roman" w:hAnsi="Times New Roman" w:cs="Times New Roman"/>
        </w:rPr>
        <w:t xml:space="preserve">evident when courts </w:t>
      </w:r>
      <w:r w:rsidR="009E2959" w:rsidRPr="00AB69B5">
        <w:rPr>
          <w:rFonts w:ascii="Times New Roman" w:hAnsi="Times New Roman" w:cs="Times New Roman"/>
        </w:rPr>
        <w:t xml:space="preserve">firmly </w:t>
      </w:r>
      <w:r w:rsidRPr="00AB69B5">
        <w:rPr>
          <w:rFonts w:ascii="Times New Roman" w:hAnsi="Times New Roman" w:cs="Times New Roman"/>
        </w:rPr>
        <w:t xml:space="preserve">rejected </w:t>
      </w:r>
      <w:r w:rsidR="009D453C" w:rsidRPr="00AB69B5">
        <w:rPr>
          <w:rFonts w:ascii="Times New Roman" w:hAnsi="Times New Roman" w:cs="Times New Roman"/>
        </w:rPr>
        <w:t xml:space="preserve">women’s claims for admission to the bar in </w:t>
      </w:r>
      <w:r w:rsidR="006143C9" w:rsidRPr="00AB69B5">
        <w:rPr>
          <w:rFonts w:ascii="Times New Roman" w:hAnsi="Times New Roman" w:cs="Times New Roman"/>
        </w:rPr>
        <w:t>Canada</w:t>
      </w:r>
      <w:r w:rsidR="009D453C" w:rsidRPr="00AB69B5">
        <w:rPr>
          <w:rFonts w:ascii="Times New Roman" w:hAnsi="Times New Roman" w:cs="Times New Roman"/>
        </w:rPr>
        <w:t xml:space="preserve"> and elsewhere. For example, when Mabel Penery French applied for admission to the bar in New Brunswick in </w:t>
      </w:r>
      <w:r w:rsidR="002B2306" w:rsidRPr="00AB69B5">
        <w:rPr>
          <w:rFonts w:ascii="Times New Roman" w:hAnsi="Times New Roman" w:cs="Times New Roman"/>
        </w:rPr>
        <w:t xml:space="preserve">1905, </w:t>
      </w:r>
      <w:r w:rsidR="009D453C" w:rsidRPr="00AB69B5">
        <w:rPr>
          <w:rFonts w:ascii="Times New Roman" w:hAnsi="Times New Roman" w:cs="Times New Roman"/>
        </w:rPr>
        <w:t xml:space="preserve">Chief Justice Tuck </w:t>
      </w:r>
      <w:r w:rsidR="002B2306" w:rsidRPr="00AB69B5">
        <w:rPr>
          <w:rFonts w:ascii="Times New Roman" w:hAnsi="Times New Roman" w:cs="Times New Roman"/>
        </w:rPr>
        <w:t>cited at length the views of Justice Bradley in t</w:t>
      </w:r>
      <w:r w:rsidR="009D453C" w:rsidRPr="00AB69B5">
        <w:rPr>
          <w:rFonts w:ascii="Times New Roman" w:hAnsi="Times New Roman" w:cs="Times New Roman"/>
        </w:rPr>
        <w:t xml:space="preserve">he </w:t>
      </w:r>
      <w:r w:rsidR="009D453C" w:rsidRPr="00AB69B5">
        <w:rPr>
          <w:rFonts w:ascii="Times New Roman" w:hAnsi="Times New Roman" w:cs="Times New Roman"/>
          <w:i/>
        </w:rPr>
        <w:t>Bradwell</w:t>
      </w:r>
      <w:r w:rsidR="009D453C" w:rsidRPr="00AB69B5">
        <w:rPr>
          <w:rFonts w:ascii="Times New Roman" w:hAnsi="Times New Roman" w:cs="Times New Roman"/>
        </w:rPr>
        <w:t xml:space="preserve"> case in the U</w:t>
      </w:r>
      <w:r w:rsidR="00566CAE" w:rsidRPr="00AB69B5">
        <w:rPr>
          <w:rFonts w:ascii="Times New Roman" w:hAnsi="Times New Roman" w:cs="Times New Roman"/>
        </w:rPr>
        <w:t>nited States</w:t>
      </w:r>
      <w:r w:rsidR="009D453C" w:rsidRPr="00AB69B5">
        <w:rPr>
          <w:rFonts w:ascii="Times New Roman" w:hAnsi="Times New Roman" w:cs="Times New Roman"/>
        </w:rPr>
        <w:t xml:space="preserve"> Supreme Court </w:t>
      </w:r>
      <w:r w:rsidR="002B2306" w:rsidRPr="00AB69B5">
        <w:rPr>
          <w:rFonts w:ascii="Times New Roman" w:hAnsi="Times New Roman" w:cs="Times New Roman"/>
        </w:rPr>
        <w:t>in 1873. Justice Bradley had rejected Myra Bradwell’s application on the basis that</w:t>
      </w:r>
    </w:p>
    <w:p w14:paraId="7E083D06" w14:textId="5972D334" w:rsidR="00F03851" w:rsidRPr="00AB69B5" w:rsidRDefault="002B2306" w:rsidP="00AB69B5">
      <w:pPr>
        <w:spacing w:after="0" w:line="480" w:lineRule="auto"/>
        <w:ind w:left="720"/>
        <w:jc w:val="both"/>
        <w:rPr>
          <w:rFonts w:ascii="Times New Roman" w:hAnsi="Times New Roman" w:cs="Times New Roman"/>
        </w:rPr>
      </w:pPr>
      <w:r w:rsidRPr="00AB69B5">
        <w:rPr>
          <w:rFonts w:ascii="Times New Roman" w:hAnsi="Times New Roman" w:cs="Times New Roman"/>
        </w:rPr>
        <w:lastRenderedPageBreak/>
        <w:t>The civil law, as well as nature herself, has always recognized a wide difference in the respective spheres and destinies of man and woman…. The harmony [of family life] is repugnant to the idea of a woman adopting a distinct and independent career from that of her husband….</w:t>
      </w:r>
      <w:r w:rsidR="00566CAE" w:rsidRPr="00AB69B5">
        <w:rPr>
          <w:rStyle w:val="FootnoteReference"/>
          <w:rFonts w:ascii="Times New Roman" w:hAnsi="Times New Roman" w:cs="Times New Roman"/>
        </w:rPr>
        <w:footnoteReference w:id="8"/>
      </w:r>
    </w:p>
    <w:p w14:paraId="1D1A166D" w14:textId="77777777" w:rsidR="002B2306" w:rsidRPr="00AB69B5" w:rsidRDefault="002B2306" w:rsidP="00AB69B5">
      <w:pPr>
        <w:spacing w:after="0" w:line="480" w:lineRule="auto"/>
        <w:ind w:left="2160"/>
        <w:jc w:val="both"/>
        <w:rPr>
          <w:rFonts w:ascii="Times New Roman" w:hAnsi="Times New Roman" w:cs="Times New Roman"/>
        </w:rPr>
      </w:pPr>
    </w:p>
    <w:p w14:paraId="0CDB2832" w14:textId="6524CAAA" w:rsidR="00565903" w:rsidRPr="00AB69B5" w:rsidRDefault="002B2306" w:rsidP="00AB69B5">
      <w:pPr>
        <w:spacing w:after="0" w:line="480" w:lineRule="auto"/>
        <w:jc w:val="both"/>
        <w:rPr>
          <w:rFonts w:ascii="Times New Roman" w:hAnsi="Times New Roman" w:cs="Times New Roman"/>
        </w:rPr>
      </w:pPr>
      <w:r w:rsidRPr="00AB69B5">
        <w:rPr>
          <w:rFonts w:ascii="Times New Roman" w:hAnsi="Times New Roman" w:cs="Times New Roman"/>
        </w:rPr>
        <w:t xml:space="preserve">Clearly, the fact that </w:t>
      </w:r>
      <w:r w:rsidRPr="00AB69B5">
        <w:rPr>
          <w:rFonts w:ascii="Times New Roman" w:hAnsi="Times New Roman" w:cs="Times New Roman"/>
          <w:i/>
        </w:rPr>
        <w:t>Bradwell</w:t>
      </w:r>
      <w:r w:rsidRPr="00AB69B5">
        <w:rPr>
          <w:rFonts w:ascii="Times New Roman" w:hAnsi="Times New Roman" w:cs="Times New Roman"/>
        </w:rPr>
        <w:t xml:space="preserve"> was an American </w:t>
      </w:r>
      <w:r w:rsidR="00BF0BDC" w:rsidRPr="00AB69B5">
        <w:rPr>
          <w:rFonts w:ascii="Times New Roman" w:hAnsi="Times New Roman" w:cs="Times New Roman"/>
        </w:rPr>
        <w:t>precedent that</w:t>
      </w:r>
      <w:r w:rsidR="006143C9" w:rsidRPr="00AB69B5">
        <w:rPr>
          <w:rFonts w:ascii="Times New Roman" w:hAnsi="Times New Roman" w:cs="Times New Roman"/>
        </w:rPr>
        <w:t xml:space="preserve"> it was </w:t>
      </w:r>
      <w:r w:rsidRPr="00AB69B5">
        <w:rPr>
          <w:rFonts w:ascii="Times New Roman" w:hAnsi="Times New Roman" w:cs="Times New Roman"/>
        </w:rPr>
        <w:t>more than thirty years old</w:t>
      </w:r>
      <w:r w:rsidR="00566CAE" w:rsidRPr="00AB69B5">
        <w:rPr>
          <w:rFonts w:ascii="Times New Roman" w:hAnsi="Times New Roman" w:cs="Times New Roman"/>
        </w:rPr>
        <w:t xml:space="preserve"> – and that</w:t>
      </w:r>
      <w:r w:rsidRPr="00AB69B5">
        <w:rPr>
          <w:rFonts w:ascii="Times New Roman" w:hAnsi="Times New Roman" w:cs="Times New Roman"/>
        </w:rPr>
        <w:t xml:space="preserve"> French was unmarried </w:t>
      </w:r>
      <w:r w:rsidR="009E2959" w:rsidRPr="00AB69B5">
        <w:rPr>
          <w:rFonts w:ascii="Times New Roman" w:hAnsi="Times New Roman" w:cs="Times New Roman"/>
        </w:rPr>
        <w:t xml:space="preserve">– did </w:t>
      </w:r>
      <w:r w:rsidR="006143C9" w:rsidRPr="00AB69B5">
        <w:rPr>
          <w:rFonts w:ascii="Times New Roman" w:hAnsi="Times New Roman" w:cs="Times New Roman"/>
        </w:rPr>
        <w:t xml:space="preserve">not persuade the New Brunswick court to </w:t>
      </w:r>
      <w:r w:rsidR="0048507D" w:rsidRPr="00AB69B5">
        <w:rPr>
          <w:rFonts w:ascii="Times New Roman" w:hAnsi="Times New Roman" w:cs="Times New Roman"/>
        </w:rPr>
        <w:t>distinguish</w:t>
      </w:r>
      <w:r w:rsidR="006143C9" w:rsidRPr="00AB69B5">
        <w:rPr>
          <w:rFonts w:ascii="Times New Roman" w:hAnsi="Times New Roman" w:cs="Times New Roman"/>
        </w:rPr>
        <w:t xml:space="preserve"> this</w:t>
      </w:r>
      <w:r w:rsidR="0048507D" w:rsidRPr="00AB69B5">
        <w:rPr>
          <w:rFonts w:ascii="Times New Roman" w:hAnsi="Times New Roman" w:cs="Times New Roman"/>
        </w:rPr>
        <w:t xml:space="preserve"> US decision, </w:t>
      </w:r>
      <w:r w:rsidR="006143C9" w:rsidRPr="00AB69B5">
        <w:rPr>
          <w:rFonts w:ascii="Times New Roman" w:hAnsi="Times New Roman" w:cs="Times New Roman"/>
        </w:rPr>
        <w:t>issues</w:t>
      </w:r>
      <w:r w:rsidRPr="00AB69B5">
        <w:rPr>
          <w:rFonts w:ascii="Times New Roman" w:hAnsi="Times New Roman" w:cs="Times New Roman"/>
        </w:rPr>
        <w:t xml:space="preserve"> that </w:t>
      </w:r>
      <w:r w:rsidR="00927FAE" w:rsidRPr="00AB69B5">
        <w:rPr>
          <w:rFonts w:ascii="Times New Roman" w:hAnsi="Times New Roman" w:cs="Times New Roman"/>
        </w:rPr>
        <w:t xml:space="preserve">arguably </w:t>
      </w:r>
      <w:r w:rsidRPr="00AB69B5">
        <w:rPr>
          <w:rFonts w:ascii="Times New Roman" w:hAnsi="Times New Roman" w:cs="Times New Roman"/>
        </w:rPr>
        <w:t xml:space="preserve">reveal the ideology of </w:t>
      </w:r>
      <w:r w:rsidR="0048507D" w:rsidRPr="00AB69B5">
        <w:rPr>
          <w:rFonts w:ascii="Times New Roman" w:hAnsi="Times New Roman" w:cs="Times New Roman"/>
        </w:rPr>
        <w:t xml:space="preserve">(male) </w:t>
      </w:r>
      <w:r w:rsidRPr="00AB69B5">
        <w:rPr>
          <w:rFonts w:ascii="Times New Roman" w:hAnsi="Times New Roman" w:cs="Times New Roman"/>
        </w:rPr>
        <w:t xml:space="preserve">professionalism. Moreover, a decade later, Justice Saint-Pierre similarly rejected Annie Macdonald Langstaff’s application for admission to the bar in Quebec in 1915. Noting the </w:t>
      </w:r>
      <w:r w:rsidR="007C5C1B" w:rsidRPr="00AB69B5">
        <w:rPr>
          <w:rFonts w:ascii="Times New Roman" w:hAnsi="Times New Roman" w:cs="Times New Roman"/>
        </w:rPr>
        <w:t xml:space="preserve">exceptional </w:t>
      </w:r>
      <w:r w:rsidRPr="00AB69B5">
        <w:rPr>
          <w:rFonts w:ascii="Times New Roman" w:hAnsi="Times New Roman" w:cs="Times New Roman"/>
        </w:rPr>
        <w:t>contributions being made by women to World War I, he nonetheless suggested that to admit a woman to the bar</w:t>
      </w:r>
      <w:r w:rsidR="00565903" w:rsidRPr="00AB69B5">
        <w:rPr>
          <w:rFonts w:ascii="Times New Roman" w:hAnsi="Times New Roman" w:cs="Times New Roman"/>
        </w:rPr>
        <w:t>:</w:t>
      </w:r>
    </w:p>
    <w:p w14:paraId="4EA1BC69" w14:textId="22FB5CFF" w:rsidR="00E61034" w:rsidRPr="00AB69B5" w:rsidRDefault="006143C9"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 </w:t>
      </w:r>
      <w:r w:rsidR="002B2306" w:rsidRPr="00AB69B5">
        <w:rPr>
          <w:rFonts w:ascii="Times New Roman" w:hAnsi="Times New Roman" w:cs="Times New Roman"/>
        </w:rPr>
        <w:t xml:space="preserve">that is to say, as </w:t>
      </w:r>
      <w:r w:rsidR="002B2306" w:rsidRPr="00AB69B5">
        <w:rPr>
          <w:rFonts w:ascii="Times New Roman" w:hAnsi="Times New Roman" w:cs="Times New Roman"/>
          <w:i/>
        </w:rPr>
        <w:t>a person who pleads cases at the bar before judges or juries in open court and in the presence of the public</w:t>
      </w:r>
      <w:r w:rsidR="002B2306" w:rsidRPr="00AB69B5">
        <w:rPr>
          <w:rFonts w:ascii="Times New Roman" w:hAnsi="Times New Roman" w:cs="Times New Roman"/>
        </w:rPr>
        <w:t>, would be nothing short of a direct infringement upon public order and a manifest violation of the law of good morals and public decency.</w:t>
      </w:r>
      <w:r w:rsidR="00DA1865" w:rsidRPr="00AB69B5">
        <w:rPr>
          <w:rStyle w:val="FootnoteReference"/>
          <w:rFonts w:ascii="Times New Roman" w:hAnsi="Times New Roman" w:cs="Times New Roman"/>
        </w:rPr>
        <w:footnoteReference w:id="9"/>
      </w:r>
    </w:p>
    <w:p w14:paraId="3E80BCC8" w14:textId="77777777" w:rsidR="00DA1865" w:rsidRPr="00AB69B5" w:rsidRDefault="00DA1865" w:rsidP="00AB69B5">
      <w:pPr>
        <w:spacing w:after="0" w:line="480" w:lineRule="auto"/>
        <w:ind w:left="720"/>
        <w:jc w:val="both"/>
        <w:rPr>
          <w:rFonts w:ascii="Times New Roman" w:hAnsi="Times New Roman" w:cs="Times New Roman"/>
        </w:rPr>
      </w:pPr>
    </w:p>
    <w:p w14:paraId="1E66B099" w14:textId="77777777" w:rsidR="0048507D" w:rsidRPr="00AB69B5" w:rsidRDefault="0048507D"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Yet, </w:t>
      </w:r>
      <w:r w:rsidR="007C5C1B" w:rsidRPr="00AB69B5">
        <w:rPr>
          <w:rFonts w:ascii="Times New Roman" w:hAnsi="Times New Roman" w:cs="Times New Roman"/>
        </w:rPr>
        <w:t xml:space="preserve">in spite of this prevalent ideology about male professionalism, some women did succeed in gaining admission to the bar, </w:t>
      </w:r>
      <w:r w:rsidRPr="00AB69B5">
        <w:rPr>
          <w:rFonts w:ascii="Times New Roman" w:hAnsi="Times New Roman" w:cs="Times New Roman"/>
        </w:rPr>
        <w:t xml:space="preserve">often as a result of </w:t>
      </w:r>
      <w:r w:rsidR="007C5C1B" w:rsidRPr="00AB69B5">
        <w:rPr>
          <w:rFonts w:ascii="Times New Roman" w:hAnsi="Times New Roman" w:cs="Times New Roman"/>
        </w:rPr>
        <w:t>statutes enacted by male legislators</w:t>
      </w:r>
      <w:r w:rsidRPr="00AB69B5">
        <w:rPr>
          <w:rFonts w:ascii="Times New Roman" w:hAnsi="Times New Roman" w:cs="Times New Roman"/>
        </w:rPr>
        <w:t>. How did these first women lawyers respond to their admission</w:t>
      </w:r>
      <w:r w:rsidR="007C5C1B" w:rsidRPr="00AB69B5">
        <w:rPr>
          <w:rFonts w:ascii="Times New Roman" w:hAnsi="Times New Roman" w:cs="Times New Roman"/>
        </w:rPr>
        <w:t xml:space="preserve"> to the legal professions</w:t>
      </w:r>
      <w:r w:rsidRPr="00AB69B5">
        <w:rPr>
          <w:rFonts w:ascii="Times New Roman" w:hAnsi="Times New Roman" w:cs="Times New Roman"/>
        </w:rPr>
        <w:t>? One American response is particularly telling, in my view. In her letter to other women lawyers in the United States in 1887, Lelia Robinson (a member of the bar in Boston, Massachusetts) stated bluntly:</w:t>
      </w:r>
    </w:p>
    <w:p w14:paraId="6491934E" w14:textId="33B48299" w:rsidR="0048507D" w:rsidRPr="00AB69B5" w:rsidRDefault="0048507D" w:rsidP="00AB69B5">
      <w:pPr>
        <w:spacing w:after="0" w:line="480" w:lineRule="auto"/>
        <w:ind w:left="720"/>
        <w:jc w:val="both"/>
        <w:rPr>
          <w:rFonts w:ascii="Times New Roman" w:hAnsi="Times New Roman" w:cs="Times New Roman"/>
        </w:rPr>
      </w:pPr>
      <w:r w:rsidRPr="00AB69B5">
        <w:rPr>
          <w:rFonts w:ascii="Times New Roman" w:hAnsi="Times New Roman" w:cs="Times New Roman"/>
          <w:i/>
        </w:rPr>
        <w:t>Do not take sex</w:t>
      </w:r>
      <w:r w:rsidRPr="00AB69B5">
        <w:rPr>
          <w:rFonts w:ascii="Times New Roman" w:hAnsi="Times New Roman" w:cs="Times New Roman"/>
        </w:rPr>
        <w:t xml:space="preserve"> into the practice. Don’t be ‘lady lawyers.’ Simply be </w:t>
      </w:r>
      <w:r w:rsidRPr="00AB69B5">
        <w:rPr>
          <w:rFonts w:ascii="Times New Roman" w:hAnsi="Times New Roman" w:cs="Times New Roman"/>
          <w:i/>
        </w:rPr>
        <w:t>lawyer</w:t>
      </w:r>
      <w:r w:rsidR="00565903" w:rsidRPr="00AB69B5">
        <w:rPr>
          <w:rFonts w:ascii="Times New Roman" w:hAnsi="Times New Roman" w:cs="Times New Roman"/>
          <w:i/>
        </w:rPr>
        <w:t>s</w:t>
      </w:r>
      <w:r w:rsidRPr="00AB69B5">
        <w:rPr>
          <w:rFonts w:ascii="Times New Roman" w:hAnsi="Times New Roman" w:cs="Times New Roman"/>
        </w:rPr>
        <w:t>, and recognize no distinction – no existence of any distinction between yourselves and other members of the bar.</w:t>
      </w:r>
      <w:r w:rsidR="00DA1865" w:rsidRPr="00AB69B5">
        <w:rPr>
          <w:rStyle w:val="FootnoteReference"/>
          <w:rFonts w:ascii="Times New Roman" w:hAnsi="Times New Roman" w:cs="Times New Roman"/>
        </w:rPr>
        <w:footnoteReference w:id="10"/>
      </w:r>
    </w:p>
    <w:p w14:paraId="3FCCFA3E" w14:textId="77777777" w:rsidR="0048507D" w:rsidRPr="00AB69B5" w:rsidRDefault="0048507D" w:rsidP="00AB69B5">
      <w:pPr>
        <w:spacing w:after="0" w:line="480" w:lineRule="auto"/>
        <w:ind w:left="2160"/>
        <w:jc w:val="both"/>
        <w:rPr>
          <w:rFonts w:ascii="Times New Roman" w:hAnsi="Times New Roman" w:cs="Times New Roman"/>
        </w:rPr>
      </w:pPr>
    </w:p>
    <w:p w14:paraId="35A8ED5F" w14:textId="0E6E217B" w:rsidR="0048507D" w:rsidRPr="00AB69B5" w:rsidRDefault="0048507D" w:rsidP="00AB69B5">
      <w:pPr>
        <w:spacing w:after="0" w:line="480" w:lineRule="auto"/>
        <w:jc w:val="both"/>
        <w:rPr>
          <w:rFonts w:ascii="Times New Roman" w:hAnsi="Times New Roman" w:cs="Times New Roman"/>
        </w:rPr>
      </w:pPr>
      <w:r w:rsidRPr="00AB69B5">
        <w:rPr>
          <w:rFonts w:ascii="Times New Roman" w:hAnsi="Times New Roman" w:cs="Times New Roman"/>
        </w:rPr>
        <w:lastRenderedPageBreak/>
        <w:t xml:space="preserve">Such advice suggests that </w:t>
      </w:r>
      <w:r w:rsidR="009E2959" w:rsidRPr="00AB69B5">
        <w:rPr>
          <w:rFonts w:ascii="Times New Roman" w:hAnsi="Times New Roman" w:cs="Times New Roman"/>
        </w:rPr>
        <w:t xml:space="preserve">early women lawyers sought to blend in with the traditional ideology of law as a ‘gentleman’s profession,’ ignoring their female gender in the hope that they could achieve acceptance as equal members of the legal professions. </w:t>
      </w:r>
      <w:r w:rsidR="007C5C1B" w:rsidRPr="00AB69B5">
        <w:rPr>
          <w:rFonts w:ascii="Times New Roman" w:hAnsi="Times New Roman" w:cs="Times New Roman"/>
        </w:rPr>
        <w:t xml:space="preserve">This </w:t>
      </w:r>
      <w:r w:rsidR="009E2959" w:rsidRPr="00AB69B5">
        <w:rPr>
          <w:rFonts w:ascii="Times New Roman" w:hAnsi="Times New Roman" w:cs="Times New Roman"/>
        </w:rPr>
        <w:t xml:space="preserve">approach was often adopted by </w:t>
      </w:r>
      <w:r w:rsidR="00A32C14" w:rsidRPr="00AB69B5">
        <w:rPr>
          <w:rFonts w:ascii="Times New Roman" w:hAnsi="Times New Roman" w:cs="Times New Roman"/>
        </w:rPr>
        <w:t>early cohorts of women lawyers in Ontario. For example, Margaret Hyndman</w:t>
      </w:r>
      <w:r w:rsidR="007C5C1B" w:rsidRPr="00AB69B5">
        <w:rPr>
          <w:rFonts w:ascii="Times New Roman" w:hAnsi="Times New Roman" w:cs="Times New Roman"/>
        </w:rPr>
        <w:t>,</w:t>
      </w:r>
      <w:r w:rsidR="00A32C14" w:rsidRPr="00AB69B5">
        <w:rPr>
          <w:rFonts w:ascii="Times New Roman" w:hAnsi="Times New Roman" w:cs="Times New Roman"/>
        </w:rPr>
        <w:t xml:space="preserve"> who had been called to the </w:t>
      </w:r>
      <w:r w:rsidR="007C5C1B" w:rsidRPr="00AB69B5">
        <w:rPr>
          <w:rFonts w:ascii="Times New Roman" w:hAnsi="Times New Roman" w:cs="Times New Roman"/>
        </w:rPr>
        <w:t xml:space="preserve">Ontario </w:t>
      </w:r>
      <w:r w:rsidR="00A32C14" w:rsidRPr="00AB69B5">
        <w:rPr>
          <w:rFonts w:ascii="Times New Roman" w:hAnsi="Times New Roman" w:cs="Times New Roman"/>
        </w:rPr>
        <w:t>bar in 1926</w:t>
      </w:r>
      <w:r w:rsidR="007C5C1B" w:rsidRPr="00AB69B5">
        <w:rPr>
          <w:rFonts w:ascii="Times New Roman" w:hAnsi="Times New Roman" w:cs="Times New Roman"/>
        </w:rPr>
        <w:t xml:space="preserve">, </w:t>
      </w:r>
      <w:r w:rsidR="009E2959" w:rsidRPr="00AB69B5">
        <w:rPr>
          <w:rFonts w:ascii="Times New Roman" w:hAnsi="Times New Roman" w:cs="Times New Roman"/>
        </w:rPr>
        <w:t xml:space="preserve">became </w:t>
      </w:r>
      <w:r w:rsidR="007C5C1B" w:rsidRPr="00AB69B5">
        <w:rPr>
          <w:rFonts w:ascii="Times New Roman" w:hAnsi="Times New Roman" w:cs="Times New Roman"/>
        </w:rPr>
        <w:t xml:space="preserve">well-known and financially successful in later decades as a woman in law. However, </w:t>
      </w:r>
      <w:r w:rsidR="009E2959" w:rsidRPr="00AB69B5">
        <w:rPr>
          <w:rFonts w:ascii="Times New Roman" w:hAnsi="Times New Roman" w:cs="Times New Roman"/>
        </w:rPr>
        <w:t xml:space="preserve">as she stated in a press interview in 1949, </w:t>
      </w:r>
      <w:r w:rsidR="00A32C14" w:rsidRPr="00AB69B5">
        <w:rPr>
          <w:rFonts w:ascii="Times New Roman" w:hAnsi="Times New Roman" w:cs="Times New Roman"/>
        </w:rPr>
        <w:t>‘Only the fact that I am a lawyer matters. That I am a woman is of no consequence. I make a point of not knowing how many women lawyers there are in Canada.’</w:t>
      </w:r>
      <w:r w:rsidR="00DA1865" w:rsidRPr="00AB69B5">
        <w:rPr>
          <w:rStyle w:val="FootnoteReference"/>
          <w:rFonts w:ascii="Times New Roman" w:hAnsi="Times New Roman" w:cs="Times New Roman"/>
        </w:rPr>
        <w:footnoteReference w:id="11"/>
      </w:r>
    </w:p>
    <w:p w14:paraId="24C20204" w14:textId="7F1425BF" w:rsidR="00E67AA0" w:rsidRPr="00AB69B5" w:rsidRDefault="00E61034"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But here is the puzzle: In spite of such assertions </w:t>
      </w:r>
      <w:r w:rsidR="006143C9" w:rsidRPr="00AB69B5">
        <w:rPr>
          <w:rFonts w:ascii="Times New Roman" w:hAnsi="Times New Roman" w:cs="Times New Roman"/>
        </w:rPr>
        <w:t xml:space="preserve">of professional equality </w:t>
      </w:r>
      <w:r w:rsidR="00565903" w:rsidRPr="00AB69B5">
        <w:rPr>
          <w:rFonts w:ascii="Times New Roman" w:hAnsi="Times New Roman" w:cs="Times New Roman"/>
        </w:rPr>
        <w:t>by women lawyers,</w:t>
      </w:r>
      <w:r w:rsidRPr="00AB69B5">
        <w:rPr>
          <w:rFonts w:ascii="Times New Roman" w:hAnsi="Times New Roman" w:cs="Times New Roman"/>
        </w:rPr>
        <w:t xml:space="preserve"> there is considerable evidence of exclusionary practices on the part of both lawyers and judges</w:t>
      </w:r>
      <w:r w:rsidR="006143C9" w:rsidRPr="00AB69B5">
        <w:rPr>
          <w:rFonts w:ascii="Times New Roman" w:hAnsi="Times New Roman" w:cs="Times New Roman"/>
        </w:rPr>
        <w:t xml:space="preserve"> in </w:t>
      </w:r>
      <w:r w:rsidR="007C5C1B" w:rsidRPr="00AB69B5">
        <w:rPr>
          <w:rFonts w:ascii="Times New Roman" w:hAnsi="Times New Roman" w:cs="Times New Roman"/>
        </w:rPr>
        <w:t xml:space="preserve">a number of </w:t>
      </w:r>
      <w:r w:rsidR="006143C9" w:rsidRPr="00AB69B5">
        <w:rPr>
          <w:rFonts w:ascii="Times New Roman" w:hAnsi="Times New Roman" w:cs="Times New Roman"/>
        </w:rPr>
        <w:t>legal professions</w:t>
      </w:r>
      <w:r w:rsidRPr="00AB69B5">
        <w:rPr>
          <w:rFonts w:ascii="Times New Roman" w:hAnsi="Times New Roman" w:cs="Times New Roman"/>
        </w:rPr>
        <w:t xml:space="preserve">. Stories of women lawyers being </w:t>
      </w:r>
      <w:r w:rsidR="007C5C1B" w:rsidRPr="00AB69B5">
        <w:rPr>
          <w:rFonts w:ascii="Times New Roman" w:hAnsi="Times New Roman" w:cs="Times New Roman"/>
        </w:rPr>
        <w:t>excluded</w:t>
      </w:r>
      <w:r w:rsidRPr="00AB69B5">
        <w:rPr>
          <w:rFonts w:ascii="Times New Roman" w:hAnsi="Times New Roman" w:cs="Times New Roman"/>
        </w:rPr>
        <w:t xml:space="preserve"> from membership in bar associations, or from particular social occasions, are well-known in most jurisdictions well into the 20</w:t>
      </w:r>
      <w:r w:rsidRPr="00AB69B5">
        <w:rPr>
          <w:rFonts w:ascii="Times New Roman" w:hAnsi="Times New Roman" w:cs="Times New Roman"/>
          <w:vertAlign w:val="superscript"/>
        </w:rPr>
        <w:t>th</w:t>
      </w:r>
      <w:r w:rsidRPr="00AB69B5">
        <w:rPr>
          <w:rFonts w:ascii="Times New Roman" w:hAnsi="Times New Roman" w:cs="Times New Roman"/>
        </w:rPr>
        <w:t xml:space="preserve"> century.</w:t>
      </w:r>
      <w:r w:rsidR="00E73C34" w:rsidRPr="00AB69B5">
        <w:rPr>
          <w:rStyle w:val="FootnoteReference"/>
          <w:rFonts w:ascii="Times New Roman" w:hAnsi="Times New Roman" w:cs="Times New Roman"/>
        </w:rPr>
        <w:footnoteReference w:id="12"/>
      </w:r>
      <w:r w:rsidRPr="00AB69B5">
        <w:rPr>
          <w:rFonts w:ascii="Times New Roman" w:hAnsi="Times New Roman" w:cs="Times New Roman"/>
        </w:rPr>
        <w:t xml:space="preserve"> Even Rose Heilbron, one of the first two women appointed King’s Counsel in 1949, was excluded from the Bar Mess in the Northern Circuit until the late 1960s.</w:t>
      </w:r>
      <w:r w:rsidR="00E73C34" w:rsidRPr="00AB69B5">
        <w:rPr>
          <w:rStyle w:val="FootnoteReference"/>
          <w:rFonts w:ascii="Times New Roman" w:hAnsi="Times New Roman" w:cs="Times New Roman"/>
        </w:rPr>
        <w:footnoteReference w:id="13"/>
      </w:r>
      <w:r w:rsidRPr="00AB69B5">
        <w:rPr>
          <w:rFonts w:ascii="Times New Roman" w:hAnsi="Times New Roman" w:cs="Times New Roman"/>
        </w:rPr>
        <w:t xml:space="preserve"> Similarly, when </w:t>
      </w:r>
      <w:r w:rsidR="00F94D2E" w:rsidRPr="00AB69B5">
        <w:rPr>
          <w:rFonts w:ascii="Times New Roman" w:hAnsi="Times New Roman" w:cs="Times New Roman"/>
        </w:rPr>
        <w:t>Eileen Mitchell Thomas became the first woman elected to the Council of the Canadian Bar Association</w:t>
      </w:r>
      <w:r w:rsidR="00E67AA0" w:rsidRPr="00AB69B5">
        <w:rPr>
          <w:rFonts w:ascii="Times New Roman" w:hAnsi="Times New Roman" w:cs="Times New Roman"/>
        </w:rPr>
        <w:t xml:space="preserve"> in the early 1940s</w:t>
      </w:r>
      <w:r w:rsidR="00F94D2E" w:rsidRPr="00AB69B5">
        <w:rPr>
          <w:rFonts w:ascii="Times New Roman" w:hAnsi="Times New Roman" w:cs="Times New Roman"/>
        </w:rPr>
        <w:t xml:space="preserve">, she was </w:t>
      </w:r>
      <w:r w:rsidR="003407A1" w:rsidRPr="00AB69B5">
        <w:rPr>
          <w:rFonts w:ascii="Times New Roman" w:hAnsi="Times New Roman" w:cs="Times New Roman"/>
        </w:rPr>
        <w:t xml:space="preserve">politely but firmly </w:t>
      </w:r>
      <w:r w:rsidR="00F94D2E" w:rsidRPr="00AB69B5">
        <w:rPr>
          <w:rFonts w:ascii="Times New Roman" w:hAnsi="Times New Roman" w:cs="Times New Roman"/>
        </w:rPr>
        <w:t xml:space="preserve">asked </w:t>
      </w:r>
      <w:r w:rsidR="00447A03" w:rsidRPr="00AB69B5">
        <w:rPr>
          <w:rFonts w:ascii="Times New Roman" w:hAnsi="Times New Roman" w:cs="Times New Roman"/>
        </w:rPr>
        <w:t>to ‘</w:t>
      </w:r>
      <w:r w:rsidR="00F94D2E" w:rsidRPr="00AB69B5">
        <w:rPr>
          <w:rFonts w:ascii="Times New Roman" w:hAnsi="Times New Roman" w:cs="Times New Roman"/>
        </w:rPr>
        <w:t>sit out</w:t>
      </w:r>
      <w:r w:rsidR="00447A03" w:rsidRPr="00AB69B5">
        <w:rPr>
          <w:rFonts w:ascii="Times New Roman" w:hAnsi="Times New Roman" w:cs="Times New Roman"/>
        </w:rPr>
        <w:t>’</w:t>
      </w:r>
      <w:r w:rsidR="00F94D2E" w:rsidRPr="00AB69B5">
        <w:rPr>
          <w:rFonts w:ascii="Times New Roman" w:hAnsi="Times New Roman" w:cs="Times New Roman"/>
        </w:rPr>
        <w:t xml:space="preserve"> the Council’s dinner at an exclusive men’s club in Montreal</w:t>
      </w:r>
      <w:r w:rsidR="00E67AA0" w:rsidRPr="00AB69B5">
        <w:rPr>
          <w:rFonts w:ascii="Times New Roman" w:hAnsi="Times New Roman" w:cs="Times New Roman"/>
        </w:rPr>
        <w:t>.</w:t>
      </w:r>
      <w:r w:rsidR="00FF268A" w:rsidRPr="00AB69B5">
        <w:rPr>
          <w:rStyle w:val="FootnoteReference"/>
          <w:rFonts w:ascii="Times New Roman" w:hAnsi="Times New Roman" w:cs="Times New Roman"/>
        </w:rPr>
        <w:footnoteReference w:id="14"/>
      </w:r>
      <w:r w:rsidR="00E67AA0" w:rsidRPr="00AB69B5">
        <w:rPr>
          <w:rFonts w:ascii="Times New Roman" w:hAnsi="Times New Roman" w:cs="Times New Roman"/>
        </w:rPr>
        <w:t xml:space="preserve"> Moreover, there are many stories about the lack of proper robing rooms for women lawyers in Ontario: even in the 1960s and 70s, it seems that some women were robing in furnace rooms or broom closets</w:t>
      </w:r>
      <w:r w:rsidR="00084D97" w:rsidRPr="00AB69B5">
        <w:rPr>
          <w:rFonts w:ascii="Times New Roman" w:hAnsi="Times New Roman" w:cs="Times New Roman"/>
        </w:rPr>
        <w:t xml:space="preserve"> of court houses</w:t>
      </w:r>
      <w:r w:rsidR="00E67AA0" w:rsidRPr="00AB69B5">
        <w:rPr>
          <w:rFonts w:ascii="Times New Roman" w:hAnsi="Times New Roman" w:cs="Times New Roman"/>
        </w:rPr>
        <w:t xml:space="preserve">. And this situation was increasingly problematic as it became known that male lawyers were routinely engaging in settlement discussions in their robing rooms. </w:t>
      </w:r>
      <w:r w:rsidR="003407A1" w:rsidRPr="00AB69B5">
        <w:rPr>
          <w:rFonts w:ascii="Times New Roman" w:hAnsi="Times New Roman" w:cs="Times New Roman"/>
        </w:rPr>
        <w:t xml:space="preserve">Indeed, on one occasion, it seems that Judy LaMarsh, an intrepid woman lawyer who was determined to be part of her client’s negotiations, </w:t>
      </w:r>
      <w:r w:rsidR="00E67AA0" w:rsidRPr="00AB69B5">
        <w:rPr>
          <w:rFonts w:ascii="Times New Roman" w:hAnsi="Times New Roman" w:cs="Times New Roman"/>
        </w:rPr>
        <w:t xml:space="preserve">audaciously </w:t>
      </w:r>
      <w:r w:rsidR="003407A1" w:rsidRPr="00AB69B5">
        <w:rPr>
          <w:rFonts w:ascii="Times New Roman" w:hAnsi="Times New Roman" w:cs="Times New Roman"/>
        </w:rPr>
        <w:t>‘</w:t>
      </w:r>
      <w:r w:rsidR="00E67AA0" w:rsidRPr="00AB69B5">
        <w:rPr>
          <w:rFonts w:ascii="Times New Roman" w:hAnsi="Times New Roman" w:cs="Times New Roman"/>
        </w:rPr>
        <w:t>degender</w:t>
      </w:r>
      <w:r w:rsidR="003407A1" w:rsidRPr="00AB69B5">
        <w:rPr>
          <w:rFonts w:ascii="Times New Roman" w:hAnsi="Times New Roman" w:cs="Times New Roman"/>
        </w:rPr>
        <w:t>ed</w:t>
      </w:r>
      <w:r w:rsidR="00E67AA0" w:rsidRPr="00AB69B5">
        <w:rPr>
          <w:rFonts w:ascii="Times New Roman" w:hAnsi="Times New Roman" w:cs="Times New Roman"/>
        </w:rPr>
        <w:t>’ the male robing room</w:t>
      </w:r>
      <w:r w:rsidR="003407A1" w:rsidRPr="00AB69B5">
        <w:rPr>
          <w:rFonts w:ascii="Times New Roman" w:hAnsi="Times New Roman" w:cs="Times New Roman"/>
        </w:rPr>
        <w:t xml:space="preserve"> in the mid</w:t>
      </w:r>
      <w:r w:rsidR="00FF268A" w:rsidRPr="00AB69B5">
        <w:rPr>
          <w:rFonts w:ascii="Times New Roman" w:hAnsi="Times New Roman" w:cs="Times New Roman"/>
        </w:rPr>
        <w:t>-</w:t>
      </w:r>
      <w:r w:rsidR="003407A1" w:rsidRPr="00AB69B5">
        <w:rPr>
          <w:rFonts w:ascii="Times New Roman" w:hAnsi="Times New Roman" w:cs="Times New Roman"/>
        </w:rPr>
        <w:t>20</w:t>
      </w:r>
      <w:r w:rsidR="003407A1" w:rsidRPr="00AB69B5">
        <w:rPr>
          <w:rFonts w:ascii="Times New Roman" w:hAnsi="Times New Roman" w:cs="Times New Roman"/>
          <w:vertAlign w:val="superscript"/>
        </w:rPr>
        <w:t>th</w:t>
      </w:r>
      <w:r w:rsidR="003407A1" w:rsidRPr="00AB69B5">
        <w:rPr>
          <w:rFonts w:ascii="Times New Roman" w:hAnsi="Times New Roman" w:cs="Times New Roman"/>
        </w:rPr>
        <w:t xml:space="preserve"> century</w:t>
      </w:r>
      <w:r w:rsidR="006143C9" w:rsidRPr="00AB69B5">
        <w:rPr>
          <w:rFonts w:ascii="Times New Roman" w:hAnsi="Times New Roman" w:cs="Times New Roman"/>
        </w:rPr>
        <w:t xml:space="preserve">, action that may </w:t>
      </w:r>
      <w:r w:rsidR="006143C9" w:rsidRPr="00AB69B5">
        <w:rPr>
          <w:rFonts w:ascii="Times New Roman" w:hAnsi="Times New Roman" w:cs="Times New Roman"/>
        </w:rPr>
        <w:lastRenderedPageBreak/>
        <w:t>have</w:t>
      </w:r>
      <w:r w:rsidR="00E67AA0" w:rsidRPr="00AB69B5">
        <w:rPr>
          <w:rFonts w:ascii="Times New Roman" w:hAnsi="Times New Roman" w:cs="Times New Roman"/>
        </w:rPr>
        <w:t xml:space="preserve"> accelerate</w:t>
      </w:r>
      <w:r w:rsidR="006143C9" w:rsidRPr="00AB69B5">
        <w:rPr>
          <w:rFonts w:ascii="Times New Roman" w:hAnsi="Times New Roman" w:cs="Times New Roman"/>
        </w:rPr>
        <w:t>d</w:t>
      </w:r>
      <w:r w:rsidR="00E67AA0" w:rsidRPr="00AB69B5">
        <w:rPr>
          <w:rFonts w:ascii="Times New Roman" w:hAnsi="Times New Roman" w:cs="Times New Roman"/>
        </w:rPr>
        <w:t xml:space="preserve"> the creation of robing rooms for women lawyers in the courts.</w:t>
      </w:r>
      <w:r w:rsidR="00FF268A" w:rsidRPr="00AB69B5">
        <w:rPr>
          <w:rStyle w:val="FootnoteReference"/>
          <w:rFonts w:ascii="Times New Roman" w:hAnsi="Times New Roman" w:cs="Times New Roman"/>
        </w:rPr>
        <w:footnoteReference w:id="15"/>
      </w:r>
      <w:r w:rsidR="00E67AA0" w:rsidRPr="00AB69B5">
        <w:rPr>
          <w:rFonts w:ascii="Times New Roman" w:hAnsi="Times New Roman" w:cs="Times New Roman"/>
        </w:rPr>
        <w:t xml:space="preserve"> </w:t>
      </w:r>
      <w:r w:rsidR="007C5C1B" w:rsidRPr="00AB69B5">
        <w:rPr>
          <w:rFonts w:ascii="Times New Roman" w:hAnsi="Times New Roman" w:cs="Times New Roman"/>
        </w:rPr>
        <w:t>Assertiveness seemed to be essential for women lawyers, and in later decades, women judges. Thus, when Justice Mabel Van Camp, the first woman appointed to Ontario’s superior court in 1971</w:t>
      </w:r>
      <w:r w:rsidR="00596E10" w:rsidRPr="00AB69B5">
        <w:rPr>
          <w:rFonts w:ascii="Times New Roman" w:hAnsi="Times New Roman" w:cs="Times New Roman"/>
        </w:rPr>
        <w:t>, travelled to a northern Ontario community on circuit, she was not recognized by the taxi driver engaged to meet her at the train station – so she found a taxi herself to get to the court house. Arriving at the court, she found everything in an uproar, with the clerk explaining, ‘We’ve lost the damn judge.’ Apparently, without missing a beat, Justice Van Camp responded, ‘</w:t>
      </w:r>
      <w:r w:rsidR="003407A1" w:rsidRPr="00AB69B5">
        <w:rPr>
          <w:rFonts w:ascii="Times New Roman" w:hAnsi="Times New Roman" w:cs="Times New Roman"/>
          <w:i/>
        </w:rPr>
        <w:t>I</w:t>
      </w:r>
      <w:r w:rsidR="00596E10" w:rsidRPr="00AB69B5">
        <w:rPr>
          <w:rFonts w:ascii="Times New Roman" w:hAnsi="Times New Roman" w:cs="Times New Roman"/>
        </w:rPr>
        <w:t xml:space="preserve"> am the damn judge.’</w:t>
      </w:r>
      <w:r w:rsidR="00FF268A" w:rsidRPr="00AB69B5">
        <w:rPr>
          <w:rStyle w:val="FootnoteReference"/>
          <w:rFonts w:ascii="Times New Roman" w:hAnsi="Times New Roman" w:cs="Times New Roman"/>
        </w:rPr>
        <w:footnoteReference w:id="16"/>
      </w:r>
    </w:p>
    <w:p w14:paraId="011FE759" w14:textId="33AE1021" w:rsidR="00996378" w:rsidRPr="00AB69B5" w:rsidRDefault="00E67AA0"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So, how </w:t>
      </w:r>
      <w:r w:rsidR="00BA7F9D" w:rsidRPr="00AB69B5">
        <w:rPr>
          <w:rFonts w:ascii="Times New Roman" w:hAnsi="Times New Roman" w:cs="Times New Roman"/>
        </w:rPr>
        <w:t xml:space="preserve">can we </w:t>
      </w:r>
      <w:r w:rsidRPr="00AB69B5">
        <w:rPr>
          <w:rFonts w:ascii="Times New Roman" w:hAnsi="Times New Roman" w:cs="Times New Roman"/>
        </w:rPr>
        <w:t xml:space="preserve">explain this puzzle? If women lawyers believed that they were ‘equal’ members of </w:t>
      </w:r>
      <w:r w:rsidR="003407A1" w:rsidRPr="00AB69B5">
        <w:rPr>
          <w:rFonts w:ascii="Times New Roman" w:hAnsi="Times New Roman" w:cs="Times New Roman"/>
        </w:rPr>
        <w:t xml:space="preserve">the legal professions, </w:t>
      </w:r>
      <w:r w:rsidRPr="00AB69B5">
        <w:rPr>
          <w:rFonts w:ascii="Times New Roman" w:hAnsi="Times New Roman" w:cs="Times New Roman"/>
        </w:rPr>
        <w:t xml:space="preserve">were they </w:t>
      </w:r>
      <w:r w:rsidR="006143C9" w:rsidRPr="00AB69B5">
        <w:rPr>
          <w:rFonts w:ascii="Times New Roman" w:hAnsi="Times New Roman" w:cs="Times New Roman"/>
        </w:rPr>
        <w:t xml:space="preserve">simply </w:t>
      </w:r>
      <w:r w:rsidRPr="00AB69B5">
        <w:rPr>
          <w:rFonts w:ascii="Times New Roman" w:hAnsi="Times New Roman" w:cs="Times New Roman"/>
        </w:rPr>
        <w:t>blind to the reality of their lack of equal treatment? This puzzle may be especially significant in Britain and other jurisdictions in Europe</w:t>
      </w:r>
      <w:r w:rsidR="00596E10" w:rsidRPr="00AB69B5">
        <w:rPr>
          <w:rFonts w:ascii="Times New Roman" w:hAnsi="Times New Roman" w:cs="Times New Roman"/>
        </w:rPr>
        <w:t>,</w:t>
      </w:r>
      <w:r w:rsidRPr="00AB69B5">
        <w:rPr>
          <w:rFonts w:ascii="Times New Roman" w:hAnsi="Times New Roman" w:cs="Times New Roman"/>
        </w:rPr>
        <w:t xml:space="preserve"> where women began to study law and obtain law degrees before </w:t>
      </w:r>
      <w:r w:rsidR="00447A03" w:rsidRPr="00AB69B5">
        <w:rPr>
          <w:rFonts w:ascii="Times New Roman" w:hAnsi="Times New Roman" w:cs="Times New Roman"/>
        </w:rPr>
        <w:t xml:space="preserve">– sometimes decades before – they </w:t>
      </w:r>
      <w:r w:rsidRPr="00AB69B5">
        <w:rPr>
          <w:rFonts w:ascii="Times New Roman" w:hAnsi="Times New Roman" w:cs="Times New Roman"/>
        </w:rPr>
        <w:t>became entitled to b</w:t>
      </w:r>
      <w:r w:rsidR="00996378" w:rsidRPr="00AB69B5">
        <w:rPr>
          <w:rFonts w:ascii="Times New Roman" w:hAnsi="Times New Roman" w:cs="Times New Roman"/>
        </w:rPr>
        <w:t xml:space="preserve">ecome barristers or solicitors – thereby creating a cadre of legally-trained women to work in solicitors’ firms without professional qualifications </w:t>
      </w:r>
      <w:r w:rsidR="00BA7F9D" w:rsidRPr="00AB69B5">
        <w:rPr>
          <w:rFonts w:ascii="Times New Roman" w:hAnsi="Times New Roman" w:cs="Times New Roman"/>
        </w:rPr>
        <w:t>(</w:t>
      </w:r>
      <w:r w:rsidR="00996378" w:rsidRPr="00AB69B5">
        <w:rPr>
          <w:rFonts w:ascii="Times New Roman" w:hAnsi="Times New Roman" w:cs="Times New Roman"/>
        </w:rPr>
        <w:t xml:space="preserve">and very probably without </w:t>
      </w:r>
      <w:r w:rsidR="00565903" w:rsidRPr="00AB69B5">
        <w:rPr>
          <w:rFonts w:ascii="Times New Roman" w:hAnsi="Times New Roman" w:cs="Times New Roman"/>
        </w:rPr>
        <w:t>significant</w:t>
      </w:r>
      <w:r w:rsidR="00996378" w:rsidRPr="00AB69B5">
        <w:rPr>
          <w:rFonts w:ascii="Times New Roman" w:hAnsi="Times New Roman" w:cs="Times New Roman"/>
        </w:rPr>
        <w:t xml:space="preserve"> remuneration</w:t>
      </w:r>
      <w:r w:rsidR="00BA7F9D" w:rsidRPr="00AB69B5">
        <w:rPr>
          <w:rFonts w:ascii="Times New Roman" w:hAnsi="Times New Roman" w:cs="Times New Roman"/>
        </w:rPr>
        <w:t>)</w:t>
      </w:r>
      <w:r w:rsidR="00996378" w:rsidRPr="00AB69B5">
        <w:rPr>
          <w:rFonts w:ascii="Times New Roman" w:hAnsi="Times New Roman" w:cs="Times New Roman"/>
        </w:rPr>
        <w:t>.</w:t>
      </w:r>
      <w:r w:rsidR="00BA7F9D" w:rsidRPr="00AB69B5">
        <w:rPr>
          <w:rStyle w:val="FootnoteReference"/>
          <w:rFonts w:ascii="Times New Roman" w:hAnsi="Times New Roman" w:cs="Times New Roman"/>
        </w:rPr>
        <w:footnoteReference w:id="17"/>
      </w:r>
      <w:r w:rsidR="00996378" w:rsidRPr="00AB69B5">
        <w:rPr>
          <w:rFonts w:ascii="Times New Roman" w:hAnsi="Times New Roman" w:cs="Times New Roman"/>
        </w:rPr>
        <w:t xml:space="preserve"> In such a context, Eliza Orme’s decision to practise at the margins of the profession in Britain appears quite sanguine.</w:t>
      </w:r>
      <w:r w:rsidR="00BA7F9D" w:rsidRPr="00AB69B5">
        <w:rPr>
          <w:rStyle w:val="FootnoteReference"/>
          <w:rFonts w:ascii="Times New Roman" w:hAnsi="Times New Roman" w:cs="Times New Roman"/>
        </w:rPr>
        <w:footnoteReference w:id="18"/>
      </w:r>
      <w:r w:rsidR="00996378" w:rsidRPr="00AB69B5">
        <w:rPr>
          <w:rFonts w:ascii="Times New Roman" w:hAnsi="Times New Roman" w:cs="Times New Roman"/>
        </w:rPr>
        <w:t xml:space="preserve"> </w:t>
      </w:r>
      <w:r w:rsidR="00596E10" w:rsidRPr="00AB69B5">
        <w:rPr>
          <w:rFonts w:ascii="Times New Roman" w:hAnsi="Times New Roman" w:cs="Times New Roman"/>
        </w:rPr>
        <w:t xml:space="preserve">Moreover, </w:t>
      </w:r>
      <w:r w:rsidR="00996378" w:rsidRPr="00AB69B5">
        <w:rPr>
          <w:rFonts w:ascii="Times New Roman" w:hAnsi="Times New Roman" w:cs="Times New Roman"/>
        </w:rPr>
        <w:t xml:space="preserve">Anne Witz’s conclusion in relation to </w:t>
      </w:r>
      <w:r w:rsidR="00596E10" w:rsidRPr="00AB69B5">
        <w:rPr>
          <w:rFonts w:ascii="Times New Roman" w:hAnsi="Times New Roman" w:cs="Times New Roman"/>
        </w:rPr>
        <w:t xml:space="preserve">women who first became </w:t>
      </w:r>
      <w:r w:rsidR="00996378" w:rsidRPr="00AB69B5">
        <w:rPr>
          <w:rFonts w:ascii="Times New Roman" w:hAnsi="Times New Roman" w:cs="Times New Roman"/>
        </w:rPr>
        <w:t>doctors</w:t>
      </w:r>
      <w:r w:rsidR="00596E10" w:rsidRPr="00AB69B5">
        <w:rPr>
          <w:rFonts w:ascii="Times New Roman" w:hAnsi="Times New Roman" w:cs="Times New Roman"/>
        </w:rPr>
        <w:t xml:space="preserve"> may be equally applicable to women lawyers; as </w:t>
      </w:r>
      <w:r w:rsidR="003407A1" w:rsidRPr="00AB69B5">
        <w:rPr>
          <w:rFonts w:ascii="Times New Roman" w:hAnsi="Times New Roman" w:cs="Times New Roman"/>
        </w:rPr>
        <w:t>Witz</w:t>
      </w:r>
      <w:r w:rsidR="00596E10" w:rsidRPr="00AB69B5">
        <w:rPr>
          <w:rFonts w:ascii="Times New Roman" w:hAnsi="Times New Roman" w:cs="Times New Roman"/>
        </w:rPr>
        <w:t xml:space="preserve"> argued, </w:t>
      </w:r>
      <w:r w:rsidR="00996378" w:rsidRPr="00AB69B5">
        <w:rPr>
          <w:rFonts w:ascii="Times New Roman" w:hAnsi="Times New Roman" w:cs="Times New Roman"/>
        </w:rPr>
        <w:t xml:space="preserve">it is </w:t>
      </w:r>
      <w:r w:rsidR="00596E10" w:rsidRPr="00AB69B5">
        <w:rPr>
          <w:rFonts w:ascii="Times New Roman" w:hAnsi="Times New Roman" w:cs="Times New Roman"/>
        </w:rPr>
        <w:t xml:space="preserve">the intricacies of </w:t>
      </w:r>
      <w:r w:rsidR="00996378" w:rsidRPr="00AB69B5">
        <w:rPr>
          <w:rFonts w:ascii="Times New Roman" w:hAnsi="Times New Roman" w:cs="Times New Roman"/>
        </w:rPr>
        <w:t xml:space="preserve">professional structures and </w:t>
      </w:r>
      <w:r w:rsidR="00596E10" w:rsidRPr="00AB69B5">
        <w:rPr>
          <w:rFonts w:ascii="Times New Roman" w:hAnsi="Times New Roman" w:cs="Times New Roman"/>
        </w:rPr>
        <w:t xml:space="preserve">invisible norms within professional </w:t>
      </w:r>
      <w:r w:rsidR="00996378" w:rsidRPr="00AB69B5">
        <w:rPr>
          <w:rFonts w:ascii="Times New Roman" w:hAnsi="Times New Roman" w:cs="Times New Roman"/>
        </w:rPr>
        <w:t xml:space="preserve">organizations that sustain men’s power and privilege </w:t>
      </w:r>
      <w:r w:rsidR="003407A1" w:rsidRPr="00AB69B5">
        <w:rPr>
          <w:rFonts w:ascii="Times New Roman" w:hAnsi="Times New Roman" w:cs="Times New Roman"/>
        </w:rPr>
        <w:t xml:space="preserve">(and women’s inequality) </w:t>
      </w:r>
      <w:r w:rsidR="00996378" w:rsidRPr="00AB69B5">
        <w:rPr>
          <w:rFonts w:ascii="Times New Roman" w:hAnsi="Times New Roman" w:cs="Times New Roman"/>
        </w:rPr>
        <w:t>in the professions</w:t>
      </w:r>
      <w:r w:rsidR="00596E10" w:rsidRPr="00AB69B5">
        <w:rPr>
          <w:rFonts w:ascii="Times New Roman" w:hAnsi="Times New Roman" w:cs="Times New Roman"/>
        </w:rPr>
        <w:t>.</w:t>
      </w:r>
      <w:r w:rsidR="00B537F8" w:rsidRPr="00AB69B5">
        <w:rPr>
          <w:rStyle w:val="FootnoteReference"/>
          <w:rFonts w:ascii="Times New Roman" w:hAnsi="Times New Roman" w:cs="Times New Roman"/>
        </w:rPr>
        <w:footnoteReference w:id="19"/>
      </w:r>
    </w:p>
    <w:p w14:paraId="1A1594CC" w14:textId="2DA7927A" w:rsidR="00624445" w:rsidRPr="00AB69B5" w:rsidRDefault="006143C9"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lastRenderedPageBreak/>
        <w:t xml:space="preserve">To some extent at least, this puzzle </w:t>
      </w:r>
      <w:r w:rsidR="00596E10" w:rsidRPr="00AB69B5">
        <w:rPr>
          <w:rFonts w:ascii="Times New Roman" w:hAnsi="Times New Roman" w:cs="Times New Roman"/>
        </w:rPr>
        <w:t xml:space="preserve">may also require careful attention to the </w:t>
      </w:r>
      <w:r w:rsidR="003407A1" w:rsidRPr="00AB69B5">
        <w:rPr>
          <w:rFonts w:ascii="Times New Roman" w:hAnsi="Times New Roman" w:cs="Times New Roman"/>
        </w:rPr>
        <w:t xml:space="preserve">new </w:t>
      </w:r>
      <w:r w:rsidR="00596E10" w:rsidRPr="00AB69B5">
        <w:rPr>
          <w:rFonts w:ascii="Times New Roman" w:hAnsi="Times New Roman" w:cs="Times New Roman"/>
        </w:rPr>
        <w:t>ideology of professionalism</w:t>
      </w:r>
      <w:r w:rsidR="003407A1" w:rsidRPr="00AB69B5">
        <w:rPr>
          <w:rFonts w:ascii="Times New Roman" w:hAnsi="Times New Roman" w:cs="Times New Roman"/>
        </w:rPr>
        <w:t xml:space="preserve"> that was emerging at the turn of the 20</w:t>
      </w:r>
      <w:r w:rsidR="003407A1" w:rsidRPr="00AB69B5">
        <w:rPr>
          <w:rFonts w:ascii="Times New Roman" w:hAnsi="Times New Roman" w:cs="Times New Roman"/>
          <w:vertAlign w:val="superscript"/>
        </w:rPr>
        <w:t>th</w:t>
      </w:r>
      <w:r w:rsidR="003407A1" w:rsidRPr="00AB69B5">
        <w:rPr>
          <w:rFonts w:ascii="Times New Roman" w:hAnsi="Times New Roman" w:cs="Times New Roman"/>
        </w:rPr>
        <w:t xml:space="preserve"> century</w:t>
      </w:r>
      <w:r w:rsidR="00596E10" w:rsidRPr="00AB69B5">
        <w:rPr>
          <w:rFonts w:ascii="Times New Roman" w:hAnsi="Times New Roman" w:cs="Times New Roman"/>
        </w:rPr>
        <w:t xml:space="preserve">. </w:t>
      </w:r>
      <w:r w:rsidR="003407A1" w:rsidRPr="00AB69B5">
        <w:rPr>
          <w:rFonts w:ascii="Times New Roman" w:hAnsi="Times New Roman" w:cs="Times New Roman"/>
        </w:rPr>
        <w:t>According to Nan</w:t>
      </w:r>
      <w:r w:rsidR="00996378" w:rsidRPr="00AB69B5">
        <w:rPr>
          <w:rFonts w:ascii="Times New Roman" w:hAnsi="Times New Roman" w:cs="Times New Roman"/>
        </w:rPr>
        <w:t>cy Cott</w:t>
      </w:r>
      <w:r w:rsidR="003407A1" w:rsidRPr="00AB69B5">
        <w:rPr>
          <w:rFonts w:ascii="Times New Roman" w:hAnsi="Times New Roman" w:cs="Times New Roman"/>
        </w:rPr>
        <w:t>, reforms in relation to professions promoted a new</w:t>
      </w:r>
      <w:r w:rsidR="0015698E" w:rsidRPr="00AB69B5">
        <w:rPr>
          <w:rFonts w:ascii="Times New Roman" w:hAnsi="Times New Roman" w:cs="Times New Roman"/>
        </w:rPr>
        <w:t xml:space="preserve"> </w:t>
      </w:r>
      <w:r w:rsidR="00996378" w:rsidRPr="00AB69B5">
        <w:rPr>
          <w:rFonts w:ascii="Times New Roman" w:hAnsi="Times New Roman" w:cs="Times New Roman"/>
        </w:rPr>
        <w:t>‘professional ethos’ – based on an ideology of neutrality and meritocracy, and on the absence of politics</w:t>
      </w:r>
      <w:r w:rsidR="00FE0FB1" w:rsidRPr="00AB69B5">
        <w:rPr>
          <w:rFonts w:ascii="Times New Roman" w:hAnsi="Times New Roman" w:cs="Times New Roman"/>
        </w:rPr>
        <w:t xml:space="preserve"> and</w:t>
      </w:r>
      <w:r w:rsidR="00996378" w:rsidRPr="00AB69B5">
        <w:rPr>
          <w:rFonts w:ascii="Times New Roman" w:hAnsi="Times New Roman" w:cs="Times New Roman"/>
        </w:rPr>
        <w:t xml:space="preserve"> advocacy</w:t>
      </w:r>
      <w:r w:rsidR="003407A1" w:rsidRPr="00AB69B5">
        <w:rPr>
          <w:rFonts w:ascii="Times New Roman" w:hAnsi="Times New Roman" w:cs="Times New Roman"/>
        </w:rPr>
        <w:t xml:space="preserve"> on the part of professionals</w:t>
      </w:r>
      <w:r w:rsidR="00FE0FB1" w:rsidRPr="00AB69B5">
        <w:rPr>
          <w:rFonts w:ascii="Times New Roman" w:hAnsi="Times New Roman" w:cs="Times New Roman"/>
        </w:rPr>
        <w:t>.</w:t>
      </w:r>
      <w:r w:rsidR="00996378" w:rsidRPr="00AB69B5">
        <w:rPr>
          <w:rFonts w:ascii="Times New Roman" w:hAnsi="Times New Roman" w:cs="Times New Roman"/>
        </w:rPr>
        <w:t xml:space="preserve"> That is, the traditional ideology of law as</w:t>
      </w:r>
      <w:r w:rsidR="00FE0FB1" w:rsidRPr="00AB69B5">
        <w:rPr>
          <w:rFonts w:ascii="Times New Roman" w:hAnsi="Times New Roman" w:cs="Times New Roman"/>
        </w:rPr>
        <w:t xml:space="preserve"> a ‘gentleman’s profession’ became infused with</w:t>
      </w:r>
      <w:r w:rsidR="00996378" w:rsidRPr="00AB69B5">
        <w:rPr>
          <w:rFonts w:ascii="Times New Roman" w:hAnsi="Times New Roman" w:cs="Times New Roman"/>
        </w:rPr>
        <w:t xml:space="preserve"> a professional ethos that</w:t>
      </w:r>
      <w:r w:rsidR="00FE0FB1" w:rsidRPr="00AB69B5">
        <w:rPr>
          <w:rFonts w:ascii="Times New Roman" w:hAnsi="Times New Roman" w:cs="Times New Roman"/>
        </w:rPr>
        <w:t>, with its emphasis on neutrality and meritocracy, promised women lawyers freedom from sex-defined constraints</w:t>
      </w:r>
      <w:r w:rsidR="00996378" w:rsidRPr="00AB69B5">
        <w:rPr>
          <w:rFonts w:ascii="Times New Roman" w:hAnsi="Times New Roman" w:cs="Times New Roman"/>
        </w:rPr>
        <w:t xml:space="preserve">. </w:t>
      </w:r>
      <w:r w:rsidR="00FE0FB1" w:rsidRPr="00AB69B5">
        <w:rPr>
          <w:rFonts w:ascii="Times New Roman" w:hAnsi="Times New Roman" w:cs="Times New Roman"/>
        </w:rPr>
        <w:t xml:space="preserve">Thus, women </w:t>
      </w:r>
      <w:r w:rsidR="0015698E" w:rsidRPr="00AB69B5">
        <w:rPr>
          <w:rFonts w:ascii="Times New Roman" w:hAnsi="Times New Roman" w:cs="Times New Roman"/>
        </w:rPr>
        <w:t>lawyers were encouraged to ignore their gender and to demonstrate merit through excellence in their professional legal work</w:t>
      </w:r>
      <w:r w:rsidR="003407A1" w:rsidRPr="00AB69B5">
        <w:rPr>
          <w:rFonts w:ascii="Times New Roman" w:hAnsi="Times New Roman" w:cs="Times New Roman"/>
        </w:rPr>
        <w:t xml:space="preserve"> and political neutrality</w:t>
      </w:r>
      <w:r w:rsidR="0015698E" w:rsidRPr="00AB69B5">
        <w:rPr>
          <w:rFonts w:ascii="Times New Roman" w:hAnsi="Times New Roman" w:cs="Times New Roman"/>
        </w:rPr>
        <w:t xml:space="preserve">. In this context, </w:t>
      </w:r>
      <w:r w:rsidR="00FE0FB1" w:rsidRPr="00AB69B5">
        <w:rPr>
          <w:rFonts w:ascii="Times New Roman" w:hAnsi="Times New Roman" w:cs="Times New Roman"/>
        </w:rPr>
        <w:t xml:space="preserve">many </w:t>
      </w:r>
      <w:r w:rsidR="0015698E" w:rsidRPr="00AB69B5">
        <w:rPr>
          <w:rFonts w:ascii="Times New Roman" w:hAnsi="Times New Roman" w:cs="Times New Roman"/>
        </w:rPr>
        <w:t xml:space="preserve">women lawyers defined themselves as ‘lawyers’ (ungendered), and </w:t>
      </w:r>
      <w:r w:rsidR="003407A1" w:rsidRPr="00AB69B5">
        <w:rPr>
          <w:rFonts w:ascii="Times New Roman" w:hAnsi="Times New Roman" w:cs="Times New Roman"/>
        </w:rPr>
        <w:t xml:space="preserve">publicly </w:t>
      </w:r>
      <w:r w:rsidR="00FE0FB1" w:rsidRPr="00AB69B5">
        <w:rPr>
          <w:rFonts w:ascii="Times New Roman" w:hAnsi="Times New Roman" w:cs="Times New Roman"/>
        </w:rPr>
        <w:t>espoused their equality.</w:t>
      </w:r>
      <w:r w:rsidR="00B537F8" w:rsidRPr="00AB69B5">
        <w:rPr>
          <w:rStyle w:val="FootnoteReference"/>
          <w:rFonts w:ascii="Times New Roman" w:hAnsi="Times New Roman" w:cs="Times New Roman"/>
        </w:rPr>
        <w:footnoteReference w:id="20"/>
      </w:r>
      <w:r w:rsidR="00FE0FB1" w:rsidRPr="00AB69B5">
        <w:rPr>
          <w:rFonts w:ascii="Times New Roman" w:hAnsi="Times New Roman" w:cs="Times New Roman"/>
        </w:rPr>
        <w:t xml:space="preserve"> </w:t>
      </w:r>
      <w:r w:rsidR="0015698E" w:rsidRPr="00AB69B5">
        <w:rPr>
          <w:rFonts w:ascii="Times New Roman" w:hAnsi="Times New Roman" w:cs="Times New Roman"/>
        </w:rPr>
        <w:t xml:space="preserve">Moreover, </w:t>
      </w:r>
      <w:r w:rsidR="003F7E47" w:rsidRPr="00AB69B5">
        <w:rPr>
          <w:rFonts w:ascii="Times New Roman" w:hAnsi="Times New Roman" w:cs="Times New Roman"/>
        </w:rPr>
        <w:t xml:space="preserve">beyond </w:t>
      </w:r>
      <w:r w:rsidR="00596E10" w:rsidRPr="00AB69B5">
        <w:rPr>
          <w:rFonts w:ascii="Times New Roman" w:hAnsi="Times New Roman" w:cs="Times New Roman"/>
        </w:rPr>
        <w:t xml:space="preserve">the impact of this </w:t>
      </w:r>
      <w:r w:rsidR="003F7E47" w:rsidRPr="00AB69B5">
        <w:rPr>
          <w:rFonts w:ascii="Times New Roman" w:hAnsi="Times New Roman" w:cs="Times New Roman"/>
        </w:rPr>
        <w:t>professional ideology,</w:t>
      </w:r>
      <w:r w:rsidR="003407A1" w:rsidRPr="00AB69B5">
        <w:rPr>
          <w:rFonts w:ascii="Times New Roman" w:hAnsi="Times New Roman" w:cs="Times New Roman"/>
        </w:rPr>
        <w:t xml:space="preserve"> it is obvious that </w:t>
      </w:r>
      <w:r w:rsidR="00FE0FB1" w:rsidRPr="00AB69B5">
        <w:rPr>
          <w:rFonts w:ascii="Times New Roman" w:hAnsi="Times New Roman" w:cs="Times New Roman"/>
        </w:rPr>
        <w:t xml:space="preserve">the first women lawyers had to rely on </w:t>
      </w:r>
      <w:r w:rsidR="0015698E" w:rsidRPr="00AB69B5">
        <w:rPr>
          <w:rFonts w:ascii="Times New Roman" w:hAnsi="Times New Roman" w:cs="Times New Roman"/>
        </w:rPr>
        <w:t>male legislators and judges</w:t>
      </w:r>
      <w:r w:rsidR="00FE0FB1" w:rsidRPr="00AB69B5">
        <w:rPr>
          <w:rFonts w:ascii="Times New Roman" w:hAnsi="Times New Roman" w:cs="Times New Roman"/>
        </w:rPr>
        <w:t xml:space="preserve"> to </w:t>
      </w:r>
      <w:r w:rsidR="003F7E47" w:rsidRPr="00AB69B5">
        <w:rPr>
          <w:rFonts w:ascii="Times New Roman" w:hAnsi="Times New Roman" w:cs="Times New Roman"/>
        </w:rPr>
        <w:t xml:space="preserve">succeed in </w:t>
      </w:r>
      <w:r w:rsidR="00596E10" w:rsidRPr="00AB69B5">
        <w:rPr>
          <w:rFonts w:ascii="Times New Roman" w:hAnsi="Times New Roman" w:cs="Times New Roman"/>
        </w:rPr>
        <w:t>their applications for</w:t>
      </w:r>
      <w:r w:rsidR="003F7E47" w:rsidRPr="00AB69B5">
        <w:rPr>
          <w:rFonts w:ascii="Times New Roman" w:hAnsi="Times New Roman" w:cs="Times New Roman"/>
        </w:rPr>
        <w:t xml:space="preserve"> </w:t>
      </w:r>
      <w:r w:rsidR="00FE0FB1" w:rsidRPr="00AB69B5">
        <w:rPr>
          <w:rFonts w:ascii="Times New Roman" w:hAnsi="Times New Roman" w:cs="Times New Roman"/>
        </w:rPr>
        <w:t>admission to the bar</w:t>
      </w:r>
      <w:r w:rsidR="0015698E" w:rsidRPr="00AB69B5">
        <w:rPr>
          <w:rFonts w:ascii="Times New Roman" w:hAnsi="Times New Roman" w:cs="Times New Roman"/>
        </w:rPr>
        <w:t xml:space="preserve">, and </w:t>
      </w:r>
      <w:r w:rsidR="003F7E47" w:rsidRPr="00AB69B5">
        <w:rPr>
          <w:rFonts w:ascii="Times New Roman" w:hAnsi="Times New Roman" w:cs="Times New Roman"/>
        </w:rPr>
        <w:t xml:space="preserve">then on collegial support from male lawyers to succeed in legal practice. In such a context, </w:t>
      </w:r>
      <w:r w:rsidR="0015698E" w:rsidRPr="00AB69B5">
        <w:rPr>
          <w:rFonts w:ascii="Times New Roman" w:hAnsi="Times New Roman" w:cs="Times New Roman"/>
        </w:rPr>
        <w:t xml:space="preserve">both formal </w:t>
      </w:r>
      <w:r w:rsidR="003407A1" w:rsidRPr="00AB69B5">
        <w:rPr>
          <w:rFonts w:ascii="Times New Roman" w:hAnsi="Times New Roman" w:cs="Times New Roman"/>
        </w:rPr>
        <w:t>principles of legal equality</w:t>
      </w:r>
      <w:r w:rsidR="0015698E" w:rsidRPr="00AB69B5">
        <w:rPr>
          <w:rFonts w:ascii="Times New Roman" w:hAnsi="Times New Roman" w:cs="Times New Roman"/>
        </w:rPr>
        <w:t xml:space="preserve"> and the </w:t>
      </w:r>
      <w:r w:rsidR="0015698E" w:rsidRPr="00AB69B5">
        <w:rPr>
          <w:rFonts w:ascii="Times New Roman" w:hAnsi="Times New Roman" w:cs="Times New Roman"/>
          <w:i/>
        </w:rPr>
        <w:t>habitus</w:t>
      </w:r>
      <w:r w:rsidR="0015698E" w:rsidRPr="00AB69B5">
        <w:rPr>
          <w:rFonts w:ascii="Times New Roman" w:hAnsi="Times New Roman" w:cs="Times New Roman"/>
        </w:rPr>
        <w:t xml:space="preserve"> of legal practice </w:t>
      </w:r>
      <w:r w:rsidR="003F7E47" w:rsidRPr="00AB69B5">
        <w:rPr>
          <w:rFonts w:ascii="Times New Roman" w:hAnsi="Times New Roman" w:cs="Times New Roman"/>
        </w:rPr>
        <w:t xml:space="preserve">increasingly </w:t>
      </w:r>
      <w:r w:rsidR="0015698E" w:rsidRPr="00AB69B5">
        <w:rPr>
          <w:rFonts w:ascii="Times New Roman" w:hAnsi="Times New Roman" w:cs="Times New Roman"/>
        </w:rPr>
        <w:t>encouraged</w:t>
      </w:r>
      <w:r w:rsidR="003F7E47" w:rsidRPr="00AB69B5">
        <w:rPr>
          <w:rFonts w:ascii="Times New Roman" w:hAnsi="Times New Roman" w:cs="Times New Roman"/>
        </w:rPr>
        <w:t xml:space="preserve"> women lawyers </w:t>
      </w:r>
      <w:r w:rsidR="0015698E" w:rsidRPr="00AB69B5">
        <w:rPr>
          <w:rFonts w:ascii="Times New Roman" w:hAnsi="Times New Roman" w:cs="Times New Roman"/>
        </w:rPr>
        <w:t>to see ‘a community of interest between themselves and professional men and a gulf between themselves and nonprofessional women.’</w:t>
      </w:r>
      <w:r w:rsidR="00B537F8" w:rsidRPr="00AB69B5">
        <w:rPr>
          <w:rStyle w:val="FootnoteReference"/>
          <w:rFonts w:ascii="Times New Roman" w:hAnsi="Times New Roman" w:cs="Times New Roman"/>
        </w:rPr>
        <w:footnoteReference w:id="21"/>
      </w:r>
      <w:r w:rsidR="0015698E" w:rsidRPr="00AB69B5">
        <w:rPr>
          <w:rFonts w:ascii="Times New Roman" w:hAnsi="Times New Roman" w:cs="Times New Roman"/>
        </w:rPr>
        <w:t xml:space="preserve"> </w:t>
      </w:r>
      <w:r w:rsidR="00624445" w:rsidRPr="00AB69B5">
        <w:rPr>
          <w:rFonts w:ascii="Times New Roman" w:hAnsi="Times New Roman" w:cs="Times New Roman"/>
        </w:rPr>
        <w:t xml:space="preserve">Thus, it may be significant that </w:t>
      </w:r>
      <w:r w:rsidR="00596E10" w:rsidRPr="00AB69B5">
        <w:rPr>
          <w:rFonts w:ascii="Times New Roman" w:hAnsi="Times New Roman" w:cs="Times New Roman"/>
        </w:rPr>
        <w:t xml:space="preserve">it was </w:t>
      </w:r>
      <w:r w:rsidR="00624445" w:rsidRPr="00AB69B5">
        <w:rPr>
          <w:rFonts w:ascii="Times New Roman" w:hAnsi="Times New Roman" w:cs="Times New Roman"/>
        </w:rPr>
        <w:t xml:space="preserve">Eliza Orme, who was </w:t>
      </w:r>
      <w:r w:rsidR="00624445" w:rsidRPr="00AB69B5">
        <w:rPr>
          <w:rFonts w:ascii="Times New Roman" w:hAnsi="Times New Roman" w:cs="Times New Roman"/>
          <w:i/>
        </w:rPr>
        <w:t xml:space="preserve">not </w:t>
      </w:r>
      <w:r w:rsidR="00624445" w:rsidRPr="00AB69B5">
        <w:rPr>
          <w:rFonts w:ascii="Times New Roman" w:hAnsi="Times New Roman" w:cs="Times New Roman"/>
        </w:rPr>
        <w:t xml:space="preserve">a member of the legal professions in Britain, </w:t>
      </w:r>
      <w:r w:rsidR="00596E10" w:rsidRPr="00AB69B5">
        <w:rPr>
          <w:rFonts w:ascii="Times New Roman" w:hAnsi="Times New Roman" w:cs="Times New Roman"/>
        </w:rPr>
        <w:t>who was able to be</w:t>
      </w:r>
      <w:r w:rsidR="00624445" w:rsidRPr="00AB69B5">
        <w:rPr>
          <w:rFonts w:ascii="Times New Roman" w:hAnsi="Times New Roman" w:cs="Times New Roman"/>
        </w:rPr>
        <w:t xml:space="preserve"> actively involved in suffrage campaigns.</w:t>
      </w:r>
      <w:r w:rsidR="007C5969" w:rsidRPr="00AB69B5">
        <w:rPr>
          <w:rStyle w:val="FootnoteReference"/>
          <w:rFonts w:ascii="Times New Roman" w:hAnsi="Times New Roman" w:cs="Times New Roman"/>
        </w:rPr>
        <w:footnoteReference w:id="22"/>
      </w:r>
      <w:r w:rsidR="00624445" w:rsidRPr="00AB69B5">
        <w:rPr>
          <w:rFonts w:ascii="Times New Roman" w:hAnsi="Times New Roman" w:cs="Times New Roman"/>
        </w:rPr>
        <w:t xml:space="preserve"> And it may also be significant that Cornelia Sorabji, who completed law exams at Oxford in 1892 and who clearly </w:t>
      </w:r>
      <w:r w:rsidR="00624445" w:rsidRPr="00AB69B5">
        <w:rPr>
          <w:rFonts w:ascii="Times New Roman" w:hAnsi="Times New Roman" w:cs="Times New Roman"/>
          <w:i/>
        </w:rPr>
        <w:t xml:space="preserve">did </w:t>
      </w:r>
      <w:r w:rsidR="00624445" w:rsidRPr="00AB69B5">
        <w:rPr>
          <w:rFonts w:ascii="Times New Roman" w:hAnsi="Times New Roman" w:cs="Times New Roman"/>
        </w:rPr>
        <w:t xml:space="preserve">wish to be admitted to the bar, explained to her conservative upper class supporters that she </w:t>
      </w:r>
      <w:r w:rsidR="00667ACA" w:rsidRPr="00AB69B5">
        <w:rPr>
          <w:rFonts w:ascii="Times New Roman" w:hAnsi="Times New Roman" w:cs="Times New Roman"/>
        </w:rPr>
        <w:t>had no intention of becoming a ‘</w:t>
      </w:r>
      <w:r w:rsidR="00624445" w:rsidRPr="00AB69B5">
        <w:rPr>
          <w:rFonts w:ascii="Times New Roman" w:hAnsi="Times New Roman" w:cs="Times New Roman"/>
        </w:rPr>
        <w:t>Miss Orme</w:t>
      </w:r>
      <w:r w:rsidR="00667ACA" w:rsidRPr="00AB69B5">
        <w:rPr>
          <w:rFonts w:ascii="Times New Roman" w:hAnsi="Times New Roman" w:cs="Times New Roman"/>
        </w:rPr>
        <w:t>,’ distancing herself from Orme’s independence and reform activities</w:t>
      </w:r>
      <w:r w:rsidR="00D21DC2" w:rsidRPr="00AB69B5">
        <w:rPr>
          <w:rFonts w:ascii="Times New Roman" w:hAnsi="Times New Roman" w:cs="Times New Roman"/>
        </w:rPr>
        <w:t>.</w:t>
      </w:r>
      <w:r w:rsidR="007C5969" w:rsidRPr="00AB69B5">
        <w:rPr>
          <w:rStyle w:val="FootnoteReference"/>
          <w:rFonts w:ascii="Times New Roman" w:hAnsi="Times New Roman" w:cs="Times New Roman"/>
        </w:rPr>
        <w:footnoteReference w:id="23"/>
      </w:r>
      <w:r w:rsidR="00D21DC2" w:rsidRPr="00AB69B5">
        <w:rPr>
          <w:rFonts w:ascii="Times New Roman" w:hAnsi="Times New Roman" w:cs="Times New Roman"/>
        </w:rPr>
        <w:t xml:space="preserve"> Yet, in spite of her efforts to distinguish herself from Orme, Sorabji was not accepted as a member of the bar in India for nearly thirty years after passing the exams at Oxford.</w:t>
      </w:r>
      <w:r w:rsidR="005619F7" w:rsidRPr="00AB69B5">
        <w:rPr>
          <w:rStyle w:val="FootnoteReference"/>
          <w:rFonts w:ascii="Times New Roman" w:hAnsi="Times New Roman" w:cs="Times New Roman"/>
        </w:rPr>
        <w:footnoteReference w:id="24"/>
      </w:r>
      <w:r w:rsidR="00D21DC2" w:rsidRPr="00AB69B5">
        <w:rPr>
          <w:rFonts w:ascii="Times New Roman" w:hAnsi="Times New Roman" w:cs="Times New Roman"/>
        </w:rPr>
        <w:t xml:space="preserve"> Indeed, insights about this ‘professional </w:t>
      </w:r>
      <w:r w:rsidR="00D21DC2" w:rsidRPr="00AB69B5">
        <w:rPr>
          <w:rFonts w:ascii="Times New Roman" w:hAnsi="Times New Roman" w:cs="Times New Roman"/>
        </w:rPr>
        <w:lastRenderedPageBreak/>
        <w:t>ethos’ (often embedded in organizational structures and invisible norms) may explain the struggles of women like Helena Normanton</w:t>
      </w:r>
      <w:r w:rsidR="005C2B46" w:rsidRPr="00AB69B5">
        <w:rPr>
          <w:rFonts w:ascii="Times New Roman" w:hAnsi="Times New Roman" w:cs="Times New Roman"/>
        </w:rPr>
        <w:t>,</w:t>
      </w:r>
      <w:r w:rsidR="00D21DC2" w:rsidRPr="00AB69B5">
        <w:rPr>
          <w:rFonts w:ascii="Times New Roman" w:hAnsi="Times New Roman" w:cs="Times New Roman"/>
        </w:rPr>
        <w:t xml:space="preserve"> who sought to combine work in the women’s movement with her role as a member of the bar.</w:t>
      </w:r>
      <w:r w:rsidR="0097643C" w:rsidRPr="00AB69B5">
        <w:rPr>
          <w:rStyle w:val="FootnoteReference"/>
          <w:rFonts w:ascii="Times New Roman" w:hAnsi="Times New Roman" w:cs="Times New Roman"/>
        </w:rPr>
        <w:footnoteReference w:id="25"/>
      </w:r>
    </w:p>
    <w:p w14:paraId="3CAD4163" w14:textId="37AD8700" w:rsidR="003F7E47" w:rsidRPr="00AB69B5" w:rsidRDefault="003F7E47"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By taking account of the impact of </w:t>
      </w:r>
      <w:r w:rsidR="004434D8" w:rsidRPr="00AB69B5">
        <w:rPr>
          <w:rFonts w:ascii="Times New Roman" w:hAnsi="Times New Roman" w:cs="Times New Roman"/>
        </w:rPr>
        <w:t xml:space="preserve">the </w:t>
      </w:r>
      <w:r w:rsidRPr="00AB69B5">
        <w:rPr>
          <w:rFonts w:ascii="Times New Roman" w:hAnsi="Times New Roman" w:cs="Times New Roman"/>
        </w:rPr>
        <w:t xml:space="preserve">ideology </w:t>
      </w:r>
      <w:r w:rsidR="004434D8" w:rsidRPr="00AB69B5">
        <w:rPr>
          <w:rFonts w:ascii="Times New Roman" w:hAnsi="Times New Roman" w:cs="Times New Roman"/>
        </w:rPr>
        <w:t>of the legal professions</w:t>
      </w:r>
      <w:r w:rsidR="00667ACA" w:rsidRPr="00AB69B5">
        <w:rPr>
          <w:rFonts w:ascii="Times New Roman" w:hAnsi="Times New Roman" w:cs="Times New Roman"/>
        </w:rPr>
        <w:t>,</w:t>
      </w:r>
      <w:r w:rsidR="004434D8" w:rsidRPr="00AB69B5">
        <w:rPr>
          <w:rFonts w:ascii="Times New Roman" w:hAnsi="Times New Roman" w:cs="Times New Roman"/>
        </w:rPr>
        <w:t xml:space="preserve"> </w:t>
      </w:r>
      <w:r w:rsidRPr="00AB69B5">
        <w:rPr>
          <w:rFonts w:ascii="Times New Roman" w:hAnsi="Times New Roman" w:cs="Times New Roman"/>
        </w:rPr>
        <w:t>a</w:t>
      </w:r>
      <w:r w:rsidR="00624445" w:rsidRPr="00AB69B5">
        <w:rPr>
          <w:rFonts w:ascii="Times New Roman" w:hAnsi="Times New Roman" w:cs="Times New Roman"/>
        </w:rPr>
        <w:t>s well as the</w:t>
      </w:r>
      <w:r w:rsidR="00667ACA" w:rsidRPr="00AB69B5">
        <w:rPr>
          <w:rFonts w:ascii="Times New Roman" w:hAnsi="Times New Roman" w:cs="Times New Roman"/>
        </w:rPr>
        <w:t>se</w:t>
      </w:r>
      <w:r w:rsidR="00624445" w:rsidRPr="00AB69B5">
        <w:rPr>
          <w:rFonts w:ascii="Times New Roman" w:hAnsi="Times New Roman" w:cs="Times New Roman"/>
        </w:rPr>
        <w:t xml:space="preserve"> very </w:t>
      </w:r>
      <w:r w:rsidRPr="00AB69B5">
        <w:rPr>
          <w:rFonts w:ascii="Times New Roman" w:hAnsi="Times New Roman" w:cs="Times New Roman"/>
        </w:rPr>
        <w:t xml:space="preserve">practical realities </w:t>
      </w:r>
      <w:r w:rsidR="004434D8" w:rsidRPr="00AB69B5">
        <w:rPr>
          <w:rFonts w:ascii="Times New Roman" w:hAnsi="Times New Roman" w:cs="Times New Roman"/>
        </w:rPr>
        <w:t xml:space="preserve">faced by the first women </w:t>
      </w:r>
      <w:r w:rsidRPr="00AB69B5">
        <w:rPr>
          <w:rFonts w:ascii="Times New Roman" w:hAnsi="Times New Roman" w:cs="Times New Roman"/>
        </w:rPr>
        <w:t xml:space="preserve">lawyers, we can better understand </w:t>
      </w:r>
      <w:r w:rsidR="004434D8" w:rsidRPr="00AB69B5">
        <w:rPr>
          <w:rFonts w:ascii="Times New Roman" w:hAnsi="Times New Roman" w:cs="Times New Roman"/>
        </w:rPr>
        <w:t>the puzzle about their efforts to repre</w:t>
      </w:r>
      <w:r w:rsidRPr="00AB69B5">
        <w:rPr>
          <w:rFonts w:ascii="Times New Roman" w:hAnsi="Times New Roman" w:cs="Times New Roman"/>
        </w:rPr>
        <w:t>sent themselves as ‘lawyers’ (</w:t>
      </w:r>
      <w:r w:rsidR="00D21DC2" w:rsidRPr="00AB69B5">
        <w:rPr>
          <w:rFonts w:ascii="Times New Roman" w:hAnsi="Times New Roman" w:cs="Times New Roman"/>
        </w:rPr>
        <w:t>ungendered</w:t>
      </w:r>
      <w:r w:rsidRPr="00AB69B5">
        <w:rPr>
          <w:rFonts w:ascii="Times New Roman" w:hAnsi="Times New Roman" w:cs="Times New Roman"/>
        </w:rPr>
        <w:t xml:space="preserve">). </w:t>
      </w:r>
      <w:r w:rsidR="004434D8" w:rsidRPr="00AB69B5">
        <w:rPr>
          <w:rFonts w:ascii="Times New Roman" w:hAnsi="Times New Roman" w:cs="Times New Roman"/>
        </w:rPr>
        <w:t>I</w:t>
      </w:r>
      <w:r w:rsidRPr="00AB69B5">
        <w:rPr>
          <w:rFonts w:ascii="Times New Roman" w:hAnsi="Times New Roman" w:cs="Times New Roman"/>
        </w:rPr>
        <w:t xml:space="preserve">n a context of so few women in law, </w:t>
      </w:r>
      <w:r w:rsidR="004434D8" w:rsidRPr="00AB69B5">
        <w:rPr>
          <w:rFonts w:ascii="Times New Roman" w:hAnsi="Times New Roman" w:cs="Times New Roman"/>
        </w:rPr>
        <w:t xml:space="preserve">moreover, it seems that </w:t>
      </w:r>
      <w:r w:rsidRPr="00AB69B5">
        <w:rPr>
          <w:rFonts w:ascii="Times New Roman" w:hAnsi="Times New Roman" w:cs="Times New Roman"/>
        </w:rPr>
        <w:t xml:space="preserve">many of the first women lawyers opted </w:t>
      </w:r>
      <w:r w:rsidR="004434D8" w:rsidRPr="00AB69B5">
        <w:rPr>
          <w:rFonts w:ascii="Times New Roman" w:hAnsi="Times New Roman" w:cs="Times New Roman"/>
        </w:rPr>
        <w:t>(</w:t>
      </w:r>
      <w:r w:rsidRPr="00AB69B5">
        <w:rPr>
          <w:rFonts w:ascii="Times New Roman" w:hAnsi="Times New Roman" w:cs="Times New Roman"/>
        </w:rPr>
        <w:t>consciously or not</w:t>
      </w:r>
      <w:r w:rsidR="004434D8" w:rsidRPr="00AB69B5">
        <w:rPr>
          <w:rFonts w:ascii="Times New Roman" w:hAnsi="Times New Roman" w:cs="Times New Roman"/>
        </w:rPr>
        <w:t>)</w:t>
      </w:r>
      <w:r w:rsidRPr="00AB69B5">
        <w:rPr>
          <w:rFonts w:ascii="Times New Roman" w:hAnsi="Times New Roman" w:cs="Times New Roman"/>
        </w:rPr>
        <w:t xml:space="preserve"> to take advantage of the </w:t>
      </w:r>
      <w:r w:rsidR="004434D8" w:rsidRPr="00AB69B5">
        <w:rPr>
          <w:rFonts w:ascii="Times New Roman" w:hAnsi="Times New Roman" w:cs="Times New Roman"/>
        </w:rPr>
        <w:t xml:space="preserve">new </w:t>
      </w:r>
      <w:r w:rsidRPr="00AB69B5">
        <w:rPr>
          <w:rFonts w:ascii="Times New Roman" w:hAnsi="Times New Roman" w:cs="Times New Roman"/>
        </w:rPr>
        <w:t>opportunities available</w:t>
      </w:r>
      <w:r w:rsidR="00D21DC2" w:rsidRPr="00AB69B5">
        <w:rPr>
          <w:rFonts w:ascii="Times New Roman" w:hAnsi="Times New Roman" w:cs="Times New Roman"/>
        </w:rPr>
        <w:t xml:space="preserve"> to them</w:t>
      </w:r>
      <w:r w:rsidR="00667ACA" w:rsidRPr="00AB69B5">
        <w:rPr>
          <w:rFonts w:ascii="Times New Roman" w:hAnsi="Times New Roman" w:cs="Times New Roman"/>
        </w:rPr>
        <w:t xml:space="preserve"> – and</w:t>
      </w:r>
      <w:r w:rsidR="00F32578" w:rsidRPr="00AB69B5">
        <w:rPr>
          <w:rFonts w:ascii="Times New Roman" w:hAnsi="Times New Roman" w:cs="Times New Roman"/>
        </w:rPr>
        <w:t xml:space="preserve">, as Glazer and Slater suggested, </w:t>
      </w:r>
      <w:r w:rsidR="00667ACA" w:rsidRPr="00AB69B5">
        <w:rPr>
          <w:rFonts w:ascii="Times New Roman" w:hAnsi="Times New Roman" w:cs="Times New Roman"/>
        </w:rPr>
        <w:t xml:space="preserve">not to be ‘easily deterred’ by </w:t>
      </w:r>
      <w:r w:rsidRPr="00AB69B5">
        <w:rPr>
          <w:rFonts w:ascii="Times New Roman" w:hAnsi="Times New Roman" w:cs="Times New Roman"/>
        </w:rPr>
        <w:t xml:space="preserve">the ‘prejudices’ and ‘discrimination’ they faced. </w:t>
      </w:r>
      <w:r w:rsidR="004434D8" w:rsidRPr="00AB69B5">
        <w:rPr>
          <w:rFonts w:ascii="Times New Roman" w:hAnsi="Times New Roman" w:cs="Times New Roman"/>
        </w:rPr>
        <w:t xml:space="preserve">There is some evidence for this conclusion in </w:t>
      </w:r>
      <w:r w:rsidR="00667ACA" w:rsidRPr="00AB69B5">
        <w:rPr>
          <w:rFonts w:ascii="Times New Roman" w:hAnsi="Times New Roman" w:cs="Times New Roman"/>
        </w:rPr>
        <w:t>a</w:t>
      </w:r>
      <w:r w:rsidR="004434D8" w:rsidRPr="00AB69B5">
        <w:rPr>
          <w:rFonts w:ascii="Times New Roman" w:hAnsi="Times New Roman" w:cs="Times New Roman"/>
        </w:rPr>
        <w:t xml:space="preserve"> response to a survey of Canadian women lawyers in the late 1960s provided by Marguerite Ritchie, a prominent woman lawyer working in the federal Department of Justice:</w:t>
      </w:r>
    </w:p>
    <w:p w14:paraId="5DB2484F" w14:textId="6F3EED20" w:rsidR="004434D8" w:rsidRPr="00AB69B5" w:rsidRDefault="004434D8"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You may discover that some replies indicate an apparent lack of discrimination; in many cases, I have found that women are unwilling to admit discrimination, either because they are trying to conceal the fact from themselves or because they must play the role of ‘Uncle Tom’ and that their chances of promotion depend absolutely upon their </w:t>
      </w:r>
      <w:r w:rsidRPr="00AB69B5">
        <w:rPr>
          <w:rFonts w:ascii="Times New Roman" w:hAnsi="Times New Roman" w:cs="Times New Roman"/>
          <w:i/>
        </w:rPr>
        <w:t>conformity to and acceptance of existing patterns</w:t>
      </w:r>
      <w:r w:rsidRPr="00AB69B5">
        <w:rPr>
          <w:rFonts w:ascii="Times New Roman" w:hAnsi="Times New Roman" w:cs="Times New Roman"/>
        </w:rPr>
        <w:t>.</w:t>
      </w:r>
      <w:r w:rsidR="0097643C" w:rsidRPr="00AB69B5">
        <w:rPr>
          <w:rStyle w:val="FootnoteReference"/>
          <w:rFonts w:ascii="Times New Roman" w:hAnsi="Times New Roman" w:cs="Times New Roman"/>
        </w:rPr>
        <w:footnoteReference w:id="26"/>
      </w:r>
    </w:p>
    <w:p w14:paraId="1B8CD445" w14:textId="77777777" w:rsidR="004434D8" w:rsidRPr="00AB69B5" w:rsidRDefault="004434D8" w:rsidP="00AB69B5">
      <w:pPr>
        <w:spacing w:after="0" w:line="480" w:lineRule="auto"/>
        <w:ind w:left="2160"/>
        <w:jc w:val="both"/>
        <w:rPr>
          <w:rFonts w:ascii="Times New Roman" w:hAnsi="Times New Roman" w:cs="Times New Roman"/>
        </w:rPr>
      </w:pPr>
    </w:p>
    <w:p w14:paraId="04B81F2E" w14:textId="77777777" w:rsidR="004434D8" w:rsidRPr="00AB69B5" w:rsidRDefault="004434D8" w:rsidP="00AB69B5">
      <w:pPr>
        <w:spacing w:after="0" w:line="480" w:lineRule="auto"/>
        <w:jc w:val="both"/>
        <w:rPr>
          <w:rFonts w:ascii="Times New Roman" w:hAnsi="Times New Roman" w:cs="Times New Roman"/>
        </w:rPr>
      </w:pPr>
      <w:r w:rsidRPr="00AB69B5">
        <w:rPr>
          <w:rFonts w:ascii="Times New Roman" w:hAnsi="Times New Roman" w:cs="Times New Roman"/>
        </w:rPr>
        <w:t>More bluntly, Laura Legge, the first woman elected a Bencher of the Law Society in Ontario, and then</w:t>
      </w:r>
      <w:r w:rsidR="00624445" w:rsidRPr="00AB69B5">
        <w:rPr>
          <w:rFonts w:ascii="Times New Roman" w:hAnsi="Times New Roman" w:cs="Times New Roman"/>
        </w:rPr>
        <w:t xml:space="preserve"> its first woman Treasurer in the 1980s, stated:</w:t>
      </w:r>
    </w:p>
    <w:p w14:paraId="2690DF76" w14:textId="1D3027CD" w:rsidR="00624445" w:rsidRPr="00AB69B5" w:rsidRDefault="00624445"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You see, I never thought of myself as a woman lawyer. I always thought of myself as a lawyer. And my generation [admitted to the bar in the 1940s’] did. We were, we were just lawyers…. My experience was </w:t>
      </w:r>
      <w:r w:rsidRPr="00AB69B5">
        <w:rPr>
          <w:rFonts w:ascii="Times New Roman" w:hAnsi="Times New Roman" w:cs="Times New Roman"/>
          <w:i/>
        </w:rPr>
        <w:t>you don’t become obsessed with discrimination and problems: just work around them and get on with life</w:t>
      </w:r>
      <w:r w:rsidRPr="00AB69B5">
        <w:rPr>
          <w:rFonts w:ascii="Times New Roman" w:hAnsi="Times New Roman" w:cs="Times New Roman"/>
        </w:rPr>
        <w:t>.</w:t>
      </w:r>
      <w:r w:rsidR="00A91776" w:rsidRPr="00AB69B5">
        <w:rPr>
          <w:rStyle w:val="FootnoteReference"/>
          <w:rFonts w:ascii="Times New Roman" w:hAnsi="Times New Roman" w:cs="Times New Roman"/>
        </w:rPr>
        <w:footnoteReference w:id="27"/>
      </w:r>
    </w:p>
    <w:p w14:paraId="1ED96ABD" w14:textId="77777777" w:rsidR="00624445" w:rsidRPr="00AB69B5" w:rsidRDefault="00624445" w:rsidP="00AB69B5">
      <w:pPr>
        <w:spacing w:after="0" w:line="480" w:lineRule="auto"/>
        <w:ind w:left="1440"/>
        <w:jc w:val="both"/>
        <w:rPr>
          <w:rFonts w:ascii="Times New Roman" w:hAnsi="Times New Roman" w:cs="Times New Roman"/>
        </w:rPr>
      </w:pPr>
    </w:p>
    <w:p w14:paraId="15E0A955" w14:textId="1720C9A5" w:rsidR="00624445" w:rsidRPr="00AB69B5" w:rsidRDefault="00624445" w:rsidP="00AB69B5">
      <w:pPr>
        <w:spacing w:after="0" w:line="480" w:lineRule="auto"/>
        <w:jc w:val="both"/>
        <w:rPr>
          <w:rFonts w:ascii="Times New Roman" w:hAnsi="Times New Roman" w:cs="Times New Roman"/>
        </w:rPr>
      </w:pPr>
      <w:r w:rsidRPr="00AB69B5">
        <w:rPr>
          <w:rFonts w:ascii="Times New Roman" w:hAnsi="Times New Roman" w:cs="Times New Roman"/>
        </w:rPr>
        <w:t>Although both of these comments occurred in the second half of the 20</w:t>
      </w:r>
      <w:r w:rsidRPr="00AB69B5">
        <w:rPr>
          <w:rFonts w:ascii="Times New Roman" w:hAnsi="Times New Roman" w:cs="Times New Roman"/>
          <w:vertAlign w:val="superscript"/>
        </w:rPr>
        <w:t>th</w:t>
      </w:r>
      <w:r w:rsidRPr="00AB69B5">
        <w:rPr>
          <w:rFonts w:ascii="Times New Roman" w:hAnsi="Times New Roman" w:cs="Times New Roman"/>
        </w:rPr>
        <w:t xml:space="preserve"> century in Canada, they </w:t>
      </w:r>
      <w:r w:rsidR="00080A4A" w:rsidRPr="00AB69B5">
        <w:rPr>
          <w:rFonts w:ascii="Times New Roman" w:hAnsi="Times New Roman" w:cs="Times New Roman"/>
        </w:rPr>
        <w:t>clearly</w:t>
      </w:r>
      <w:r w:rsidR="00667ACA" w:rsidRPr="00AB69B5">
        <w:rPr>
          <w:rFonts w:ascii="Times New Roman" w:hAnsi="Times New Roman" w:cs="Times New Roman"/>
        </w:rPr>
        <w:t xml:space="preserve"> </w:t>
      </w:r>
      <w:r w:rsidR="00973D1A" w:rsidRPr="00AB69B5">
        <w:rPr>
          <w:rFonts w:ascii="Times New Roman" w:hAnsi="Times New Roman" w:cs="Times New Roman"/>
        </w:rPr>
        <w:t>echo</w:t>
      </w:r>
      <w:r w:rsidR="00D21DC2" w:rsidRPr="00AB69B5">
        <w:rPr>
          <w:rFonts w:ascii="Times New Roman" w:hAnsi="Times New Roman" w:cs="Times New Roman"/>
        </w:rPr>
        <w:t>ed</w:t>
      </w:r>
      <w:r w:rsidR="00973D1A" w:rsidRPr="00AB69B5">
        <w:rPr>
          <w:rFonts w:ascii="Times New Roman" w:hAnsi="Times New Roman" w:cs="Times New Roman"/>
        </w:rPr>
        <w:t xml:space="preserve"> the advice in </w:t>
      </w:r>
      <w:r w:rsidRPr="00AB69B5">
        <w:rPr>
          <w:rFonts w:ascii="Times New Roman" w:hAnsi="Times New Roman" w:cs="Times New Roman"/>
        </w:rPr>
        <w:t>Lelia Robinson’s letter to American women lawyers in 1</w:t>
      </w:r>
      <w:r w:rsidR="00667ACA" w:rsidRPr="00AB69B5">
        <w:rPr>
          <w:rFonts w:ascii="Times New Roman" w:hAnsi="Times New Roman" w:cs="Times New Roman"/>
        </w:rPr>
        <w:t>8</w:t>
      </w:r>
      <w:r w:rsidRPr="00AB69B5">
        <w:rPr>
          <w:rFonts w:ascii="Times New Roman" w:hAnsi="Times New Roman" w:cs="Times New Roman"/>
        </w:rPr>
        <w:t>87.</w:t>
      </w:r>
    </w:p>
    <w:p w14:paraId="5C9784EB" w14:textId="784E2D15" w:rsidR="00AB0031" w:rsidRPr="00AB69B5" w:rsidRDefault="002B601D"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If women lawyers in the </w:t>
      </w:r>
      <w:r w:rsidR="00BF0BDC" w:rsidRPr="00AB69B5">
        <w:rPr>
          <w:rFonts w:ascii="Times New Roman" w:hAnsi="Times New Roman" w:cs="Times New Roman"/>
        </w:rPr>
        <w:t>mid-20</w:t>
      </w:r>
      <w:r w:rsidR="00BF0BDC" w:rsidRPr="00AB69B5">
        <w:rPr>
          <w:rFonts w:ascii="Times New Roman" w:hAnsi="Times New Roman" w:cs="Times New Roman"/>
          <w:vertAlign w:val="superscript"/>
        </w:rPr>
        <w:t>th</w:t>
      </w:r>
      <w:r w:rsidR="00D21DC2" w:rsidRPr="00AB69B5">
        <w:rPr>
          <w:rFonts w:ascii="Times New Roman" w:hAnsi="Times New Roman" w:cs="Times New Roman"/>
        </w:rPr>
        <w:t xml:space="preserve"> century</w:t>
      </w:r>
      <w:r w:rsidRPr="00AB69B5">
        <w:rPr>
          <w:rFonts w:ascii="Times New Roman" w:hAnsi="Times New Roman" w:cs="Times New Roman"/>
        </w:rPr>
        <w:t xml:space="preserve"> were experiencing </w:t>
      </w:r>
      <w:r w:rsidR="00D21DC2" w:rsidRPr="00AB69B5">
        <w:rPr>
          <w:rFonts w:ascii="Times New Roman" w:hAnsi="Times New Roman" w:cs="Times New Roman"/>
        </w:rPr>
        <w:t xml:space="preserve">this </w:t>
      </w:r>
      <w:r w:rsidRPr="00AB69B5">
        <w:rPr>
          <w:rFonts w:ascii="Times New Roman" w:hAnsi="Times New Roman" w:cs="Times New Roman"/>
        </w:rPr>
        <w:t xml:space="preserve">pressure to conform to existing patterns, it seems likely that the first women lawyers faced similar </w:t>
      </w:r>
      <w:r w:rsidR="00667ACA" w:rsidRPr="00AB69B5">
        <w:rPr>
          <w:rFonts w:ascii="Times New Roman" w:hAnsi="Times New Roman" w:cs="Times New Roman"/>
        </w:rPr>
        <w:t>(</w:t>
      </w:r>
      <w:r w:rsidRPr="00AB69B5">
        <w:rPr>
          <w:rFonts w:ascii="Times New Roman" w:hAnsi="Times New Roman" w:cs="Times New Roman"/>
        </w:rPr>
        <w:t>perhaps the same</w:t>
      </w:r>
      <w:r w:rsidR="00BA6087" w:rsidRPr="00AB69B5">
        <w:rPr>
          <w:rFonts w:ascii="Times New Roman" w:hAnsi="Times New Roman" w:cs="Times New Roman"/>
        </w:rPr>
        <w:t xml:space="preserve"> or even greater</w:t>
      </w:r>
      <w:r w:rsidR="00667ACA" w:rsidRPr="00AB69B5">
        <w:rPr>
          <w:rFonts w:ascii="Times New Roman" w:hAnsi="Times New Roman" w:cs="Times New Roman"/>
        </w:rPr>
        <w:t>)</w:t>
      </w:r>
      <w:r w:rsidRPr="00AB69B5">
        <w:rPr>
          <w:rFonts w:ascii="Times New Roman" w:hAnsi="Times New Roman" w:cs="Times New Roman"/>
        </w:rPr>
        <w:t xml:space="preserve"> challenges. Understanding these ‘existing patterns’ as part of </w:t>
      </w:r>
      <w:r w:rsidR="00973D1A" w:rsidRPr="00AB69B5">
        <w:rPr>
          <w:rFonts w:ascii="Times New Roman" w:hAnsi="Times New Roman" w:cs="Times New Roman"/>
        </w:rPr>
        <w:t xml:space="preserve">Joan Wallach </w:t>
      </w:r>
      <w:r w:rsidRPr="00AB69B5">
        <w:rPr>
          <w:rFonts w:ascii="Times New Roman" w:hAnsi="Times New Roman" w:cs="Times New Roman"/>
        </w:rPr>
        <w:t>Scott’s ‘often silent and hidden operations of gender [that are] present and defining forces in the organization of most societies’</w:t>
      </w:r>
      <w:r w:rsidR="003530EE" w:rsidRPr="00AB69B5">
        <w:rPr>
          <w:rStyle w:val="FootnoteReference"/>
          <w:rFonts w:ascii="Times New Roman" w:hAnsi="Times New Roman" w:cs="Times New Roman"/>
        </w:rPr>
        <w:footnoteReference w:id="28"/>
      </w:r>
      <w:r w:rsidRPr="00AB69B5">
        <w:rPr>
          <w:rFonts w:ascii="Times New Roman" w:hAnsi="Times New Roman" w:cs="Times New Roman"/>
        </w:rPr>
        <w:t xml:space="preserve"> suggests that, at least for most women lawyers, ungendered professionalism was not just expedient but the only </w:t>
      </w:r>
      <w:r w:rsidR="00BA6087" w:rsidRPr="00AB69B5">
        <w:rPr>
          <w:rFonts w:ascii="Times New Roman" w:hAnsi="Times New Roman" w:cs="Times New Roman"/>
        </w:rPr>
        <w:t>real</w:t>
      </w:r>
      <w:r w:rsidRPr="00AB69B5">
        <w:rPr>
          <w:rFonts w:ascii="Times New Roman" w:hAnsi="Times New Roman" w:cs="Times New Roman"/>
        </w:rPr>
        <w:t xml:space="preserve"> </w:t>
      </w:r>
      <w:r w:rsidR="00084D97" w:rsidRPr="00AB69B5">
        <w:rPr>
          <w:rFonts w:ascii="Times New Roman" w:hAnsi="Times New Roman" w:cs="Times New Roman"/>
        </w:rPr>
        <w:t>‘</w:t>
      </w:r>
      <w:r w:rsidRPr="00AB69B5">
        <w:rPr>
          <w:rFonts w:ascii="Times New Roman" w:hAnsi="Times New Roman" w:cs="Times New Roman"/>
        </w:rPr>
        <w:t>choice.</w:t>
      </w:r>
      <w:r w:rsidR="00084D97" w:rsidRPr="00AB69B5">
        <w:rPr>
          <w:rFonts w:ascii="Times New Roman" w:hAnsi="Times New Roman" w:cs="Times New Roman"/>
        </w:rPr>
        <w:t>’</w:t>
      </w:r>
      <w:r w:rsidRPr="00AB69B5">
        <w:rPr>
          <w:rFonts w:ascii="Times New Roman" w:hAnsi="Times New Roman" w:cs="Times New Roman"/>
        </w:rPr>
        <w:t xml:space="preserve"> </w:t>
      </w:r>
      <w:r w:rsidR="00667ACA" w:rsidRPr="00AB69B5">
        <w:rPr>
          <w:rFonts w:ascii="Times New Roman" w:hAnsi="Times New Roman" w:cs="Times New Roman"/>
        </w:rPr>
        <w:t>As Jane Rendall argued, women seeking access to male institutions had to present their equality arguments ‘in the contemporary language of the male political world.’</w:t>
      </w:r>
      <w:r w:rsidR="003530EE" w:rsidRPr="00AB69B5">
        <w:rPr>
          <w:rStyle w:val="FootnoteReference"/>
          <w:rFonts w:ascii="Times New Roman" w:hAnsi="Times New Roman" w:cs="Times New Roman"/>
        </w:rPr>
        <w:footnoteReference w:id="29"/>
      </w:r>
      <w:r w:rsidR="00667ACA" w:rsidRPr="00AB69B5">
        <w:rPr>
          <w:rFonts w:ascii="Times New Roman" w:hAnsi="Times New Roman" w:cs="Times New Roman"/>
        </w:rPr>
        <w:t xml:space="preserve"> Thus, a</w:t>
      </w:r>
      <w:r w:rsidR="00BA6087" w:rsidRPr="00AB69B5">
        <w:rPr>
          <w:rFonts w:ascii="Times New Roman" w:hAnsi="Times New Roman" w:cs="Times New Roman"/>
        </w:rPr>
        <w:t xml:space="preserve">lthough it may not </w:t>
      </w:r>
      <w:r w:rsidR="00667ACA" w:rsidRPr="00AB69B5">
        <w:rPr>
          <w:rFonts w:ascii="Times New Roman" w:hAnsi="Times New Roman" w:cs="Times New Roman"/>
        </w:rPr>
        <w:t xml:space="preserve">fully explain </w:t>
      </w:r>
      <w:r w:rsidR="00BA6087" w:rsidRPr="00AB69B5">
        <w:rPr>
          <w:rFonts w:ascii="Times New Roman" w:hAnsi="Times New Roman" w:cs="Times New Roman"/>
        </w:rPr>
        <w:t xml:space="preserve">this puzzle in the lives of the first women lawyers, </w:t>
      </w:r>
      <w:r w:rsidR="00D82B70" w:rsidRPr="00AB69B5">
        <w:rPr>
          <w:rFonts w:ascii="Times New Roman" w:hAnsi="Times New Roman" w:cs="Times New Roman"/>
        </w:rPr>
        <w:t xml:space="preserve">taking account of </w:t>
      </w:r>
      <w:r w:rsidR="00973D1A" w:rsidRPr="00AB69B5">
        <w:rPr>
          <w:rFonts w:ascii="Times New Roman" w:hAnsi="Times New Roman" w:cs="Times New Roman"/>
        </w:rPr>
        <w:t xml:space="preserve">professional ideology </w:t>
      </w:r>
      <w:r w:rsidR="00BA6087" w:rsidRPr="00AB69B5">
        <w:rPr>
          <w:rFonts w:ascii="Times New Roman" w:hAnsi="Times New Roman" w:cs="Times New Roman"/>
        </w:rPr>
        <w:t xml:space="preserve">in law may offer important ways </w:t>
      </w:r>
      <w:r w:rsidR="00EE2280" w:rsidRPr="00AB69B5">
        <w:rPr>
          <w:rFonts w:ascii="Times New Roman" w:hAnsi="Times New Roman" w:cs="Times New Roman"/>
        </w:rPr>
        <w:t xml:space="preserve">of seeing how women’s admission to the bar </w:t>
      </w:r>
      <w:r w:rsidR="00A21936" w:rsidRPr="00AB69B5">
        <w:rPr>
          <w:rFonts w:ascii="Times New Roman" w:hAnsi="Times New Roman" w:cs="Times New Roman"/>
        </w:rPr>
        <w:t xml:space="preserve">required them to </w:t>
      </w:r>
      <w:r w:rsidR="00D21DC2" w:rsidRPr="00AB69B5">
        <w:rPr>
          <w:rFonts w:ascii="Times New Roman" w:hAnsi="Times New Roman" w:cs="Times New Roman"/>
        </w:rPr>
        <w:t>navigate</w:t>
      </w:r>
      <w:r w:rsidR="00EE2280" w:rsidRPr="00AB69B5">
        <w:rPr>
          <w:rFonts w:ascii="Times New Roman" w:hAnsi="Times New Roman" w:cs="Times New Roman"/>
        </w:rPr>
        <w:t xml:space="preserve"> tensions between </w:t>
      </w:r>
      <w:r w:rsidR="00A21936" w:rsidRPr="00AB69B5">
        <w:rPr>
          <w:rFonts w:ascii="Times New Roman" w:hAnsi="Times New Roman" w:cs="Times New Roman"/>
        </w:rPr>
        <w:t xml:space="preserve">their </w:t>
      </w:r>
      <w:r w:rsidR="00785F0E" w:rsidRPr="00AB69B5">
        <w:rPr>
          <w:rFonts w:ascii="Times New Roman" w:hAnsi="Times New Roman" w:cs="Times New Roman"/>
        </w:rPr>
        <w:t xml:space="preserve">gender and </w:t>
      </w:r>
      <w:r w:rsidR="00A21936" w:rsidRPr="00AB69B5">
        <w:rPr>
          <w:rFonts w:ascii="Times New Roman" w:hAnsi="Times New Roman" w:cs="Times New Roman"/>
        </w:rPr>
        <w:t xml:space="preserve">male </w:t>
      </w:r>
      <w:r w:rsidR="00EE2280" w:rsidRPr="00AB69B5">
        <w:rPr>
          <w:rFonts w:ascii="Times New Roman" w:hAnsi="Times New Roman" w:cs="Times New Roman"/>
        </w:rPr>
        <w:t>professionalism.</w:t>
      </w:r>
      <w:r w:rsidR="00BA6087" w:rsidRPr="00AB69B5">
        <w:rPr>
          <w:rFonts w:ascii="Times New Roman" w:hAnsi="Times New Roman" w:cs="Times New Roman"/>
        </w:rPr>
        <w:t xml:space="preserve"> </w:t>
      </w:r>
      <w:r w:rsidR="00A21936" w:rsidRPr="00AB69B5">
        <w:rPr>
          <w:rFonts w:ascii="Times New Roman" w:hAnsi="Times New Roman" w:cs="Times New Roman"/>
        </w:rPr>
        <w:t>In such a context, opting to become ‘lawyers’ (</w:t>
      </w:r>
      <w:r w:rsidR="00D21DC2" w:rsidRPr="00AB69B5">
        <w:rPr>
          <w:rFonts w:ascii="Times New Roman" w:hAnsi="Times New Roman" w:cs="Times New Roman"/>
        </w:rPr>
        <w:t>ungendered)</w:t>
      </w:r>
      <w:r w:rsidR="00A21936" w:rsidRPr="00AB69B5">
        <w:rPr>
          <w:rFonts w:ascii="Times New Roman" w:hAnsi="Times New Roman" w:cs="Times New Roman"/>
        </w:rPr>
        <w:t>) may have been the only real ‘choice.’</w:t>
      </w:r>
    </w:p>
    <w:p w14:paraId="3BD3061C" w14:textId="77777777" w:rsidR="00565903" w:rsidRPr="00AB69B5" w:rsidRDefault="00565903" w:rsidP="00AB69B5">
      <w:pPr>
        <w:spacing w:after="0" w:line="480" w:lineRule="auto"/>
        <w:ind w:left="720"/>
        <w:jc w:val="both"/>
        <w:rPr>
          <w:rFonts w:ascii="Times New Roman" w:hAnsi="Times New Roman" w:cs="Times New Roman"/>
        </w:rPr>
      </w:pPr>
    </w:p>
    <w:p w14:paraId="299E38BD" w14:textId="5FE46CB9" w:rsidR="00565903" w:rsidRPr="00AB69B5" w:rsidRDefault="00565903" w:rsidP="00AB69B5">
      <w:pPr>
        <w:spacing w:after="0" w:line="480" w:lineRule="auto"/>
        <w:jc w:val="both"/>
        <w:rPr>
          <w:rFonts w:ascii="Times New Roman" w:hAnsi="Times New Roman" w:cs="Times New Roman"/>
          <w:u w:val="single"/>
        </w:rPr>
      </w:pPr>
      <w:r w:rsidRPr="00AB69B5">
        <w:rPr>
          <w:rFonts w:ascii="Times New Roman" w:hAnsi="Times New Roman" w:cs="Times New Roman"/>
          <w:u w:val="single"/>
        </w:rPr>
        <w:t>Identities in Public and Private</w:t>
      </w:r>
      <w:r w:rsidR="00D21DC2" w:rsidRPr="00AB69B5">
        <w:rPr>
          <w:rFonts w:ascii="Times New Roman" w:hAnsi="Times New Roman" w:cs="Times New Roman"/>
          <w:u w:val="single"/>
        </w:rPr>
        <w:t>: A Biographical Puzzle</w:t>
      </w:r>
    </w:p>
    <w:p w14:paraId="35F378F6" w14:textId="5695C3E0" w:rsidR="00565903" w:rsidRPr="00AB69B5" w:rsidRDefault="00565903" w:rsidP="00AB69B5">
      <w:pPr>
        <w:spacing w:after="0" w:line="480" w:lineRule="auto"/>
        <w:ind w:left="720"/>
        <w:jc w:val="both"/>
        <w:rPr>
          <w:rFonts w:ascii="Times New Roman" w:hAnsi="Times New Roman" w:cs="Times New Roman"/>
        </w:rPr>
      </w:pPr>
      <w:r w:rsidRPr="00AB69B5">
        <w:rPr>
          <w:rFonts w:ascii="Times New Roman" w:hAnsi="Times New Roman" w:cs="Times New Roman"/>
        </w:rPr>
        <w:t>We all want stories…. [We want to know about] alternatives, missed chances, roads not taken, accidents and hesitations, the whole ‘swarm of possibilities’ that hums around our every experience…. Biographies are full of verifiable facts, but they are also full of things that aren’t there: absences, gaps, missing evidence, knowledge or information that has been passed from person to person, losing credibility or shifting shape along the way….</w:t>
      </w:r>
      <w:r w:rsidR="003530EE" w:rsidRPr="00AB69B5">
        <w:rPr>
          <w:rStyle w:val="FootnoteReference"/>
          <w:rFonts w:ascii="Times New Roman" w:hAnsi="Times New Roman" w:cs="Times New Roman"/>
        </w:rPr>
        <w:footnoteReference w:id="30"/>
      </w:r>
    </w:p>
    <w:p w14:paraId="7FFE6235" w14:textId="77777777" w:rsidR="00973D1A" w:rsidRPr="00AB69B5" w:rsidRDefault="00973D1A" w:rsidP="00AB69B5">
      <w:pPr>
        <w:spacing w:after="0" w:line="480" w:lineRule="auto"/>
        <w:ind w:left="2160"/>
        <w:jc w:val="both"/>
        <w:rPr>
          <w:rFonts w:ascii="Times New Roman" w:hAnsi="Times New Roman" w:cs="Times New Roman"/>
        </w:rPr>
      </w:pPr>
    </w:p>
    <w:p w14:paraId="79B16C85" w14:textId="592BCE5F" w:rsidR="00FA245A" w:rsidRPr="00AB69B5" w:rsidRDefault="00854612" w:rsidP="00AB69B5">
      <w:pPr>
        <w:spacing w:after="0" w:line="480" w:lineRule="auto"/>
        <w:jc w:val="both"/>
        <w:rPr>
          <w:rFonts w:ascii="Times New Roman" w:hAnsi="Times New Roman" w:cs="Times New Roman"/>
        </w:rPr>
      </w:pPr>
      <w:r w:rsidRPr="00AB69B5">
        <w:rPr>
          <w:rFonts w:ascii="Times New Roman" w:hAnsi="Times New Roman" w:cs="Times New Roman"/>
        </w:rPr>
        <w:lastRenderedPageBreak/>
        <w:t xml:space="preserve">Telling the stories of the first women lawyers presents challenges. Even though we can describe historical precedents and biographical patterns that encouraged some women to seek admission to the bar, the reasons for </w:t>
      </w:r>
      <w:r w:rsidR="00FA245A" w:rsidRPr="00AB69B5">
        <w:rPr>
          <w:rFonts w:ascii="Times New Roman" w:hAnsi="Times New Roman" w:cs="Times New Roman"/>
        </w:rPr>
        <w:t>such</w:t>
      </w:r>
      <w:r w:rsidRPr="00AB69B5">
        <w:rPr>
          <w:rFonts w:ascii="Times New Roman" w:hAnsi="Times New Roman" w:cs="Times New Roman"/>
        </w:rPr>
        <w:t xml:space="preserve"> aspirations on the part of individual women often remain </w:t>
      </w:r>
      <w:r w:rsidR="00FA245A" w:rsidRPr="00AB69B5">
        <w:rPr>
          <w:rFonts w:ascii="Times New Roman" w:hAnsi="Times New Roman" w:cs="Times New Roman"/>
        </w:rPr>
        <w:t>a puzzle.</w:t>
      </w:r>
      <w:r w:rsidRPr="00AB69B5">
        <w:rPr>
          <w:rFonts w:ascii="Times New Roman" w:hAnsi="Times New Roman" w:cs="Times New Roman"/>
        </w:rPr>
        <w:t xml:space="preserve"> In relation to France, for example, James Albisetti </w:t>
      </w:r>
      <w:r w:rsidR="00FA245A" w:rsidRPr="00AB69B5">
        <w:rPr>
          <w:rFonts w:ascii="Times New Roman" w:hAnsi="Times New Roman" w:cs="Times New Roman"/>
        </w:rPr>
        <w:t>concluded that ‘the best explanation for the opening of the French bar to women was that it served the interests of one person, Jeanne Chauvin.’</w:t>
      </w:r>
      <w:r w:rsidR="003530EE" w:rsidRPr="00AB69B5">
        <w:rPr>
          <w:rStyle w:val="FootnoteReference"/>
          <w:rFonts w:ascii="Times New Roman" w:hAnsi="Times New Roman" w:cs="Times New Roman"/>
        </w:rPr>
        <w:footnoteReference w:id="31"/>
      </w:r>
      <w:r w:rsidR="00FA245A" w:rsidRPr="00AB69B5">
        <w:rPr>
          <w:rFonts w:ascii="Times New Roman" w:hAnsi="Times New Roman" w:cs="Times New Roman"/>
        </w:rPr>
        <w:t xml:space="preserve"> But </w:t>
      </w:r>
      <w:r w:rsidR="00FA245A" w:rsidRPr="00AB69B5">
        <w:rPr>
          <w:rFonts w:ascii="Times New Roman" w:hAnsi="Times New Roman" w:cs="Times New Roman"/>
          <w:i/>
        </w:rPr>
        <w:t>why</w:t>
      </w:r>
      <w:r w:rsidR="00FA245A" w:rsidRPr="00AB69B5">
        <w:rPr>
          <w:rFonts w:ascii="Times New Roman" w:hAnsi="Times New Roman" w:cs="Times New Roman"/>
        </w:rPr>
        <w:t xml:space="preserve"> did Chauvin want to become an </w:t>
      </w:r>
      <w:r w:rsidR="00FA245A" w:rsidRPr="00AB69B5">
        <w:rPr>
          <w:rFonts w:ascii="Times New Roman" w:hAnsi="Times New Roman" w:cs="Times New Roman"/>
          <w:i/>
        </w:rPr>
        <w:t>avocat</w:t>
      </w:r>
      <w:r w:rsidR="00FA245A" w:rsidRPr="00AB69B5">
        <w:rPr>
          <w:rFonts w:ascii="Times New Roman" w:hAnsi="Times New Roman" w:cs="Times New Roman"/>
        </w:rPr>
        <w:t xml:space="preserve">? </w:t>
      </w:r>
      <w:r w:rsidR="00973D1A" w:rsidRPr="00AB69B5">
        <w:rPr>
          <w:rFonts w:ascii="Times New Roman" w:hAnsi="Times New Roman" w:cs="Times New Roman"/>
        </w:rPr>
        <w:t xml:space="preserve">And for the women who never succeeded in gaining admission to the bar, </w:t>
      </w:r>
      <w:r w:rsidR="00973D1A" w:rsidRPr="00AB69B5">
        <w:rPr>
          <w:rFonts w:ascii="Times New Roman" w:hAnsi="Times New Roman" w:cs="Times New Roman"/>
          <w:i/>
        </w:rPr>
        <w:t>how</w:t>
      </w:r>
      <w:r w:rsidR="00973D1A" w:rsidRPr="00AB69B5">
        <w:rPr>
          <w:rFonts w:ascii="Times New Roman" w:hAnsi="Times New Roman" w:cs="Times New Roman"/>
        </w:rPr>
        <w:t xml:space="preserve"> did they </w:t>
      </w:r>
      <w:r w:rsidR="00004B00" w:rsidRPr="00AB69B5">
        <w:rPr>
          <w:rFonts w:ascii="Times New Roman" w:hAnsi="Times New Roman" w:cs="Times New Roman"/>
        </w:rPr>
        <w:t xml:space="preserve">experience </w:t>
      </w:r>
      <w:r w:rsidR="00973D1A" w:rsidRPr="00AB69B5">
        <w:rPr>
          <w:rFonts w:ascii="Times New Roman" w:hAnsi="Times New Roman" w:cs="Times New Roman"/>
        </w:rPr>
        <w:t xml:space="preserve">failure and rejection? Even for those who succeeded in becoming members of the legal professions, </w:t>
      </w:r>
      <w:r w:rsidR="00DD7663" w:rsidRPr="00AB69B5">
        <w:rPr>
          <w:rFonts w:ascii="Times New Roman" w:hAnsi="Times New Roman" w:cs="Times New Roman"/>
        </w:rPr>
        <w:t xml:space="preserve">were their public expressions about equality as ‘lawyers’ (ungendered) different from their </w:t>
      </w:r>
      <w:r w:rsidR="00D21DC2" w:rsidRPr="00AB69B5">
        <w:rPr>
          <w:rFonts w:ascii="Times New Roman" w:hAnsi="Times New Roman" w:cs="Times New Roman"/>
        </w:rPr>
        <w:t>‘</w:t>
      </w:r>
      <w:r w:rsidR="00DD7663" w:rsidRPr="00AB69B5">
        <w:rPr>
          <w:rFonts w:ascii="Times New Roman" w:hAnsi="Times New Roman" w:cs="Times New Roman"/>
        </w:rPr>
        <w:t>private sorrows</w:t>
      </w:r>
      <w:r w:rsidR="00D21DC2" w:rsidRPr="00AB69B5">
        <w:rPr>
          <w:rFonts w:ascii="Times New Roman" w:hAnsi="Times New Roman" w:cs="Times New Roman"/>
        </w:rPr>
        <w:t>’</w:t>
      </w:r>
      <w:r w:rsidR="00DD7663" w:rsidRPr="00AB69B5">
        <w:rPr>
          <w:rFonts w:ascii="Times New Roman" w:hAnsi="Times New Roman" w:cs="Times New Roman"/>
        </w:rPr>
        <w:t xml:space="preserve"> when they experienced exclusion, discrimination and unequal treatment because of their gender? Yet, while ‘we all want stories,’</w:t>
      </w:r>
      <w:r w:rsidR="00FA245A" w:rsidRPr="00AB69B5">
        <w:rPr>
          <w:rFonts w:ascii="Times New Roman" w:hAnsi="Times New Roman" w:cs="Times New Roman"/>
        </w:rPr>
        <w:t xml:space="preserve"> the answer</w:t>
      </w:r>
      <w:r w:rsidR="00DD7663" w:rsidRPr="00AB69B5">
        <w:rPr>
          <w:rFonts w:ascii="Times New Roman" w:hAnsi="Times New Roman" w:cs="Times New Roman"/>
        </w:rPr>
        <w:t>s</w:t>
      </w:r>
      <w:r w:rsidR="00FA245A" w:rsidRPr="00AB69B5">
        <w:rPr>
          <w:rFonts w:ascii="Times New Roman" w:hAnsi="Times New Roman" w:cs="Times New Roman"/>
        </w:rPr>
        <w:t xml:space="preserve"> to th</w:t>
      </w:r>
      <w:r w:rsidR="00DD7663" w:rsidRPr="00AB69B5">
        <w:rPr>
          <w:rFonts w:ascii="Times New Roman" w:hAnsi="Times New Roman" w:cs="Times New Roman"/>
        </w:rPr>
        <w:t>ese</w:t>
      </w:r>
      <w:r w:rsidR="00FA245A" w:rsidRPr="00AB69B5">
        <w:rPr>
          <w:rFonts w:ascii="Times New Roman" w:hAnsi="Times New Roman" w:cs="Times New Roman"/>
        </w:rPr>
        <w:t xml:space="preserve"> question</w:t>
      </w:r>
      <w:r w:rsidR="00DD7663" w:rsidRPr="00AB69B5">
        <w:rPr>
          <w:rFonts w:ascii="Times New Roman" w:hAnsi="Times New Roman" w:cs="Times New Roman"/>
        </w:rPr>
        <w:t>s</w:t>
      </w:r>
      <w:r w:rsidR="00FA245A" w:rsidRPr="00AB69B5">
        <w:rPr>
          <w:rFonts w:ascii="Times New Roman" w:hAnsi="Times New Roman" w:cs="Times New Roman"/>
        </w:rPr>
        <w:t xml:space="preserve"> may </w:t>
      </w:r>
      <w:r w:rsidR="00DD7663" w:rsidRPr="00AB69B5">
        <w:rPr>
          <w:rFonts w:ascii="Times New Roman" w:hAnsi="Times New Roman" w:cs="Times New Roman"/>
        </w:rPr>
        <w:t>be</w:t>
      </w:r>
      <w:r w:rsidR="00FA245A" w:rsidRPr="00AB69B5">
        <w:rPr>
          <w:rFonts w:ascii="Times New Roman" w:hAnsi="Times New Roman" w:cs="Times New Roman"/>
        </w:rPr>
        <w:t xml:space="preserve"> elusive: as Paula Backscheider argued, while ‘the great questions of biography are the essential questions about human experience in the world,’ biographers must often engage ‘with the “puzzles” that remain unsolved.’</w:t>
      </w:r>
      <w:r w:rsidR="003530EE" w:rsidRPr="00AB69B5">
        <w:rPr>
          <w:rStyle w:val="FootnoteReference"/>
          <w:rFonts w:ascii="Times New Roman" w:hAnsi="Times New Roman" w:cs="Times New Roman"/>
        </w:rPr>
        <w:footnoteReference w:id="32"/>
      </w:r>
    </w:p>
    <w:p w14:paraId="74D434E3" w14:textId="77777777" w:rsidR="00FA245A" w:rsidRPr="00AB69B5" w:rsidRDefault="00FA245A"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Moreover</w:t>
      </w:r>
      <w:r w:rsidR="00004B00" w:rsidRPr="00AB69B5">
        <w:rPr>
          <w:rFonts w:ascii="Times New Roman" w:hAnsi="Times New Roman" w:cs="Times New Roman"/>
        </w:rPr>
        <w:t>,</w:t>
      </w:r>
      <w:r w:rsidRPr="00AB69B5">
        <w:rPr>
          <w:rFonts w:ascii="Times New Roman" w:hAnsi="Times New Roman" w:cs="Times New Roman"/>
        </w:rPr>
        <w:t xml:space="preserve"> telling the stories of the first women lawyers presents challenges </w:t>
      </w:r>
      <w:r w:rsidRPr="00AB69B5">
        <w:rPr>
          <w:rFonts w:ascii="Times New Roman" w:hAnsi="Times New Roman" w:cs="Times New Roman"/>
          <w:i/>
        </w:rPr>
        <w:t>because they are women</w:t>
      </w:r>
      <w:r w:rsidRPr="00AB69B5">
        <w:rPr>
          <w:rFonts w:ascii="Times New Roman" w:hAnsi="Times New Roman" w:cs="Times New Roman"/>
        </w:rPr>
        <w:t xml:space="preserve">. As Jill Ker Conway explained, biographies of men have traditionally adopted the ‘quest plot’: ‘the story of the epic hero in classical antiquity … [whose] achievement comes about through his own agency, and [whose] successful rite of passage leaves him master of his fortunes.’ By contrast, </w:t>
      </w:r>
      <w:r w:rsidR="00E8530D" w:rsidRPr="00AB69B5">
        <w:rPr>
          <w:rFonts w:ascii="Times New Roman" w:hAnsi="Times New Roman" w:cs="Times New Roman"/>
        </w:rPr>
        <w:t xml:space="preserve">even </w:t>
      </w:r>
      <w:r w:rsidRPr="00AB69B5">
        <w:rPr>
          <w:rFonts w:ascii="Times New Roman" w:hAnsi="Times New Roman" w:cs="Times New Roman"/>
        </w:rPr>
        <w:t>when women’s access to education and the professions ‘provided a new social territory’ in the 19</w:t>
      </w:r>
      <w:r w:rsidRPr="00AB69B5">
        <w:rPr>
          <w:rFonts w:ascii="Times New Roman" w:hAnsi="Times New Roman" w:cs="Times New Roman"/>
          <w:vertAlign w:val="superscript"/>
        </w:rPr>
        <w:t>th</w:t>
      </w:r>
      <w:r w:rsidRPr="00AB69B5">
        <w:rPr>
          <w:rFonts w:ascii="Times New Roman" w:hAnsi="Times New Roman" w:cs="Times New Roman"/>
        </w:rPr>
        <w:t xml:space="preserve"> century, </w:t>
      </w:r>
      <w:r w:rsidR="00E8530D" w:rsidRPr="00AB69B5">
        <w:rPr>
          <w:rFonts w:ascii="Times New Roman" w:hAnsi="Times New Roman" w:cs="Times New Roman"/>
        </w:rPr>
        <w:t>Ker Conway argued that women’s societal power remained somewhat muted and that they tended to veil their ambitions and successes:</w:t>
      </w:r>
    </w:p>
    <w:p w14:paraId="0BFDE5E6" w14:textId="51BFCDAC" w:rsidR="00E8530D" w:rsidRPr="00AB69B5" w:rsidRDefault="00E8530D"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Like the frontiers-women silent about their physical strength and courage, pioneer women professionals were silent about their ambitions and recounted their lives as though their successes just happened to them, rather like the soprano’s chance meeting with the tenor in the first act of </w:t>
      </w:r>
      <w:r w:rsidRPr="00AB69B5">
        <w:rPr>
          <w:rFonts w:ascii="Times New Roman" w:hAnsi="Times New Roman" w:cs="Times New Roman"/>
        </w:rPr>
        <w:lastRenderedPageBreak/>
        <w:t xml:space="preserve">an opera. So the woman professional, actually a new and potentially revolutionary social type, told her story as a … romance…. </w:t>
      </w:r>
      <w:r w:rsidRPr="00AB69B5">
        <w:rPr>
          <w:rFonts w:ascii="Times New Roman" w:hAnsi="Times New Roman" w:cs="Times New Roman"/>
          <w:i/>
        </w:rPr>
        <w:t>What are we to make of such silences</w:t>
      </w:r>
      <w:r w:rsidRPr="00AB69B5">
        <w:rPr>
          <w:rFonts w:ascii="Times New Roman" w:hAnsi="Times New Roman" w:cs="Times New Roman"/>
        </w:rPr>
        <w:t>?</w:t>
      </w:r>
      <w:r w:rsidR="003530EE" w:rsidRPr="00AB69B5">
        <w:rPr>
          <w:rStyle w:val="FootnoteReference"/>
          <w:rFonts w:ascii="Times New Roman" w:hAnsi="Times New Roman" w:cs="Times New Roman"/>
        </w:rPr>
        <w:footnoteReference w:id="33"/>
      </w:r>
    </w:p>
    <w:p w14:paraId="26695EBB" w14:textId="77777777" w:rsidR="00E8530D" w:rsidRPr="00AB69B5" w:rsidRDefault="00E8530D" w:rsidP="00AB69B5">
      <w:pPr>
        <w:spacing w:after="0" w:line="480" w:lineRule="auto"/>
        <w:ind w:left="1440"/>
        <w:jc w:val="both"/>
        <w:rPr>
          <w:rFonts w:ascii="Times New Roman" w:hAnsi="Times New Roman" w:cs="Times New Roman"/>
        </w:rPr>
      </w:pPr>
    </w:p>
    <w:p w14:paraId="1B5E9B39" w14:textId="52C05E39" w:rsidR="00004B00" w:rsidRPr="00AB69B5" w:rsidRDefault="002A11BE" w:rsidP="00AB69B5">
      <w:pPr>
        <w:spacing w:after="0" w:line="480" w:lineRule="auto"/>
        <w:jc w:val="both"/>
        <w:rPr>
          <w:rFonts w:ascii="Times New Roman" w:hAnsi="Times New Roman" w:cs="Times New Roman"/>
        </w:rPr>
      </w:pPr>
      <w:r w:rsidRPr="00AB69B5">
        <w:rPr>
          <w:rFonts w:ascii="Times New Roman" w:hAnsi="Times New Roman" w:cs="Times New Roman"/>
        </w:rPr>
        <w:t xml:space="preserve">Ker Conway’s emphasis on silences in women’s biographies </w:t>
      </w:r>
      <w:r w:rsidR="000F7F45" w:rsidRPr="00AB69B5">
        <w:rPr>
          <w:rFonts w:ascii="Times New Roman" w:hAnsi="Times New Roman" w:cs="Times New Roman"/>
        </w:rPr>
        <w:t xml:space="preserve">focused on </w:t>
      </w:r>
      <w:r w:rsidR="00D21DC2" w:rsidRPr="00AB69B5">
        <w:rPr>
          <w:rFonts w:ascii="Times New Roman" w:hAnsi="Times New Roman" w:cs="Times New Roman"/>
        </w:rPr>
        <w:t xml:space="preserve">how they explained their </w:t>
      </w:r>
      <w:r w:rsidRPr="00AB69B5">
        <w:rPr>
          <w:rFonts w:ascii="Times New Roman" w:hAnsi="Times New Roman" w:cs="Times New Roman"/>
        </w:rPr>
        <w:t>success</w:t>
      </w:r>
      <w:r w:rsidR="000F7F45" w:rsidRPr="00AB69B5">
        <w:rPr>
          <w:rFonts w:ascii="Times New Roman" w:hAnsi="Times New Roman" w:cs="Times New Roman"/>
        </w:rPr>
        <w:t xml:space="preserve"> as ‘just happening</w:t>
      </w:r>
      <w:r w:rsidR="005363B1" w:rsidRPr="00AB69B5">
        <w:rPr>
          <w:rFonts w:ascii="Times New Roman" w:hAnsi="Times New Roman" w:cs="Times New Roman"/>
        </w:rPr>
        <w:t>.</w:t>
      </w:r>
      <w:r w:rsidR="000F7F45" w:rsidRPr="00AB69B5">
        <w:rPr>
          <w:rFonts w:ascii="Times New Roman" w:hAnsi="Times New Roman" w:cs="Times New Roman"/>
        </w:rPr>
        <w:t>’</w:t>
      </w:r>
      <w:r w:rsidR="005363B1" w:rsidRPr="00AB69B5">
        <w:rPr>
          <w:rFonts w:ascii="Times New Roman" w:hAnsi="Times New Roman" w:cs="Times New Roman"/>
        </w:rPr>
        <w:t xml:space="preserve"> Yet, as Judith Woolf argued, ‘Silence can simply be omission, but it can also be a powerful unspoken presence in the text.’</w:t>
      </w:r>
      <w:r w:rsidR="00314576" w:rsidRPr="00AB69B5">
        <w:rPr>
          <w:rStyle w:val="FootnoteReference"/>
          <w:rFonts w:ascii="Times New Roman" w:hAnsi="Times New Roman" w:cs="Times New Roman"/>
        </w:rPr>
        <w:footnoteReference w:id="34"/>
      </w:r>
      <w:r w:rsidR="005363B1" w:rsidRPr="00AB69B5">
        <w:rPr>
          <w:rFonts w:ascii="Times New Roman" w:hAnsi="Times New Roman" w:cs="Times New Roman"/>
        </w:rPr>
        <w:t xml:space="preserve"> </w:t>
      </w:r>
      <w:r w:rsidR="00625645" w:rsidRPr="00AB69B5">
        <w:rPr>
          <w:rFonts w:ascii="Times New Roman" w:hAnsi="Times New Roman" w:cs="Times New Roman"/>
        </w:rPr>
        <w:t>Indeed, such</w:t>
      </w:r>
      <w:r w:rsidR="005363B1" w:rsidRPr="00AB69B5">
        <w:rPr>
          <w:rFonts w:ascii="Times New Roman" w:hAnsi="Times New Roman" w:cs="Times New Roman"/>
        </w:rPr>
        <w:t xml:space="preserve"> ‘silences’ often seem to </w:t>
      </w:r>
      <w:r w:rsidR="00625645" w:rsidRPr="00AB69B5">
        <w:rPr>
          <w:rFonts w:ascii="Times New Roman" w:hAnsi="Times New Roman" w:cs="Times New Roman"/>
        </w:rPr>
        <w:t>be present but invisible in public assertions by women lawyers, who ignore or minimize their</w:t>
      </w:r>
      <w:r w:rsidR="005363B1" w:rsidRPr="00AB69B5">
        <w:rPr>
          <w:rFonts w:ascii="Times New Roman" w:hAnsi="Times New Roman" w:cs="Times New Roman"/>
        </w:rPr>
        <w:t xml:space="preserve"> hard work and strategic decision-making, as well as their</w:t>
      </w:r>
      <w:r w:rsidR="00004B00" w:rsidRPr="00AB69B5">
        <w:rPr>
          <w:rFonts w:ascii="Times New Roman" w:hAnsi="Times New Roman" w:cs="Times New Roman"/>
        </w:rPr>
        <w:t xml:space="preserve"> disappointments and setbacks. </w:t>
      </w:r>
      <w:r w:rsidR="00625645" w:rsidRPr="00AB69B5">
        <w:rPr>
          <w:rFonts w:ascii="Times New Roman" w:hAnsi="Times New Roman" w:cs="Times New Roman"/>
        </w:rPr>
        <w:t xml:space="preserve">For example, </w:t>
      </w:r>
      <w:r w:rsidR="00004B00" w:rsidRPr="00AB69B5">
        <w:rPr>
          <w:rFonts w:ascii="Times New Roman" w:hAnsi="Times New Roman" w:cs="Times New Roman"/>
        </w:rPr>
        <w:t>as</w:t>
      </w:r>
      <w:r w:rsidR="000F7F45" w:rsidRPr="00AB69B5">
        <w:rPr>
          <w:rFonts w:ascii="Times New Roman" w:hAnsi="Times New Roman" w:cs="Times New Roman"/>
        </w:rPr>
        <w:t xml:space="preserve"> Laura Legge </w:t>
      </w:r>
      <w:r w:rsidR="00004B00" w:rsidRPr="00AB69B5">
        <w:rPr>
          <w:rFonts w:ascii="Times New Roman" w:hAnsi="Times New Roman" w:cs="Times New Roman"/>
        </w:rPr>
        <w:t>asserted</w:t>
      </w:r>
      <w:r w:rsidR="000F7F45" w:rsidRPr="00AB69B5">
        <w:rPr>
          <w:rFonts w:ascii="Times New Roman" w:hAnsi="Times New Roman" w:cs="Times New Roman"/>
        </w:rPr>
        <w:t xml:space="preserve"> in relation to women lawyers in Ontario, ‘The only battle that needed to be won by women lawyers was won by Clara Brett Martin in 1897. [My] attitude was: “You’re a lawyer, get on with it and do it.” And we did.’</w:t>
      </w:r>
      <w:r w:rsidR="00650C94" w:rsidRPr="00AB69B5">
        <w:rPr>
          <w:rStyle w:val="FootnoteReference"/>
          <w:rFonts w:ascii="Times New Roman" w:hAnsi="Times New Roman" w:cs="Times New Roman"/>
        </w:rPr>
        <w:footnoteReference w:id="35"/>
      </w:r>
      <w:r w:rsidR="000F7F45" w:rsidRPr="00AB69B5">
        <w:rPr>
          <w:rFonts w:ascii="Times New Roman" w:hAnsi="Times New Roman" w:cs="Times New Roman"/>
        </w:rPr>
        <w:t xml:space="preserve"> Significantly, when she was elected Treasurer of the Law Society in Ontario in </w:t>
      </w:r>
      <w:r w:rsidR="00004B00" w:rsidRPr="00AB69B5">
        <w:rPr>
          <w:rFonts w:ascii="Times New Roman" w:hAnsi="Times New Roman" w:cs="Times New Roman"/>
        </w:rPr>
        <w:t>1983</w:t>
      </w:r>
      <w:r w:rsidR="000F7F45" w:rsidRPr="00AB69B5">
        <w:rPr>
          <w:rFonts w:ascii="Times New Roman" w:hAnsi="Times New Roman" w:cs="Times New Roman"/>
        </w:rPr>
        <w:t xml:space="preserve">, the first woman to succeed in doing so, she </w:t>
      </w:r>
      <w:r w:rsidR="00625645" w:rsidRPr="00AB69B5">
        <w:rPr>
          <w:rFonts w:ascii="Times New Roman" w:hAnsi="Times New Roman" w:cs="Times New Roman"/>
        </w:rPr>
        <w:t xml:space="preserve">proudly </w:t>
      </w:r>
      <w:r w:rsidR="000F7F45" w:rsidRPr="00AB69B5">
        <w:rPr>
          <w:rFonts w:ascii="Times New Roman" w:hAnsi="Times New Roman" w:cs="Times New Roman"/>
        </w:rPr>
        <w:t xml:space="preserve">told the press that women had been equal for all of her life and that her election </w:t>
      </w:r>
      <w:r w:rsidR="00625645" w:rsidRPr="00AB69B5">
        <w:rPr>
          <w:rFonts w:ascii="Times New Roman" w:hAnsi="Times New Roman" w:cs="Times New Roman"/>
        </w:rPr>
        <w:t xml:space="preserve">fully </w:t>
      </w:r>
      <w:r w:rsidR="000F7F45" w:rsidRPr="00AB69B5">
        <w:rPr>
          <w:rFonts w:ascii="Times New Roman" w:hAnsi="Times New Roman" w:cs="Times New Roman"/>
        </w:rPr>
        <w:t xml:space="preserve">demonstrated this reality. </w:t>
      </w:r>
      <w:r w:rsidR="00004B00" w:rsidRPr="00AB69B5">
        <w:rPr>
          <w:rFonts w:ascii="Times New Roman" w:hAnsi="Times New Roman" w:cs="Times New Roman"/>
        </w:rPr>
        <w:t xml:space="preserve">Legge’s comment is </w:t>
      </w:r>
      <w:r w:rsidR="00080A4A" w:rsidRPr="00AB69B5">
        <w:rPr>
          <w:rFonts w:ascii="Times New Roman" w:hAnsi="Times New Roman" w:cs="Times New Roman"/>
        </w:rPr>
        <w:t>remarkably</w:t>
      </w:r>
      <w:r w:rsidR="00004B00" w:rsidRPr="00AB69B5">
        <w:rPr>
          <w:rFonts w:ascii="Times New Roman" w:hAnsi="Times New Roman" w:cs="Times New Roman"/>
        </w:rPr>
        <w:t xml:space="preserve"> similar to Rose Heilbron’s assertion, when she became the first woman Treasurer at Gray’s Inn in 1985: </w:t>
      </w:r>
      <w:r w:rsidR="00080A4A" w:rsidRPr="00AB69B5">
        <w:rPr>
          <w:rFonts w:ascii="Times New Roman" w:hAnsi="Times New Roman" w:cs="Times New Roman"/>
        </w:rPr>
        <w:t xml:space="preserve">as she stated publicly, </w:t>
      </w:r>
      <w:r w:rsidR="00004B00" w:rsidRPr="00AB69B5">
        <w:rPr>
          <w:rFonts w:ascii="Times New Roman" w:hAnsi="Times New Roman" w:cs="Times New Roman"/>
        </w:rPr>
        <w:t>‘[t]he legal world does not discriminate by sex or race and this [her appointment as Treasurer] is possibly an example of it working rather well.’</w:t>
      </w:r>
      <w:r w:rsidR="00650C94" w:rsidRPr="00AB69B5">
        <w:rPr>
          <w:rStyle w:val="FootnoteReference"/>
          <w:rFonts w:ascii="Times New Roman" w:hAnsi="Times New Roman" w:cs="Times New Roman"/>
        </w:rPr>
        <w:footnoteReference w:id="36"/>
      </w:r>
      <w:r w:rsidR="00004B00" w:rsidRPr="00AB69B5">
        <w:rPr>
          <w:rFonts w:ascii="Times New Roman" w:hAnsi="Times New Roman" w:cs="Times New Roman"/>
        </w:rPr>
        <w:t xml:space="preserve"> Nothing in Heilbron’s comment reveals her </w:t>
      </w:r>
      <w:r w:rsidR="00080A4A" w:rsidRPr="00AB69B5">
        <w:rPr>
          <w:rFonts w:ascii="Times New Roman" w:hAnsi="Times New Roman" w:cs="Times New Roman"/>
        </w:rPr>
        <w:t xml:space="preserve">struggles or </w:t>
      </w:r>
      <w:r w:rsidR="00004B00" w:rsidRPr="00AB69B5">
        <w:rPr>
          <w:rFonts w:ascii="Times New Roman" w:hAnsi="Times New Roman" w:cs="Times New Roman"/>
        </w:rPr>
        <w:t>disappointment</w:t>
      </w:r>
      <w:r w:rsidR="00080A4A" w:rsidRPr="00AB69B5">
        <w:rPr>
          <w:rFonts w:ascii="Times New Roman" w:hAnsi="Times New Roman" w:cs="Times New Roman"/>
        </w:rPr>
        <w:t>s, including</w:t>
      </w:r>
      <w:r w:rsidR="00004B00" w:rsidRPr="00AB69B5">
        <w:rPr>
          <w:rFonts w:ascii="Times New Roman" w:hAnsi="Times New Roman" w:cs="Times New Roman"/>
        </w:rPr>
        <w:t xml:space="preserve"> when she failed to become the first woman appointee to the High Court or the many times she was excluded from the Bar Messes in the Northern Circuit</w:t>
      </w:r>
      <w:r w:rsidR="00D21DC2" w:rsidRPr="00AB69B5">
        <w:rPr>
          <w:rFonts w:ascii="Times New Roman" w:hAnsi="Times New Roman" w:cs="Times New Roman"/>
        </w:rPr>
        <w:t>.</w:t>
      </w:r>
      <w:r w:rsidR="00AF046B" w:rsidRPr="00AB69B5">
        <w:rPr>
          <w:rStyle w:val="FootnoteReference"/>
          <w:rFonts w:ascii="Times New Roman" w:hAnsi="Times New Roman" w:cs="Times New Roman"/>
        </w:rPr>
        <w:footnoteReference w:id="37"/>
      </w:r>
      <w:r w:rsidR="00D21DC2" w:rsidRPr="00AB69B5">
        <w:rPr>
          <w:rFonts w:ascii="Times New Roman" w:hAnsi="Times New Roman" w:cs="Times New Roman"/>
        </w:rPr>
        <w:t xml:space="preserve"> And to what extent do the comments of these two highly successful women lawyers confirm Marguerite Ritchie’s assertion in her </w:t>
      </w:r>
      <w:r w:rsidR="00D21DC2" w:rsidRPr="00AB69B5">
        <w:rPr>
          <w:rFonts w:ascii="Times New Roman" w:hAnsi="Times New Roman" w:cs="Times New Roman"/>
        </w:rPr>
        <w:lastRenderedPageBreak/>
        <w:t xml:space="preserve">survey response that women’s ‘chances of promotion depend absolutely upon their </w:t>
      </w:r>
      <w:r w:rsidR="00D21DC2" w:rsidRPr="00AB69B5">
        <w:rPr>
          <w:rFonts w:ascii="Times New Roman" w:hAnsi="Times New Roman" w:cs="Times New Roman"/>
          <w:i/>
        </w:rPr>
        <w:t>conformity to and acceptance of existing patterns</w:t>
      </w:r>
      <w:r w:rsidR="00D21DC2" w:rsidRPr="00AB69B5">
        <w:rPr>
          <w:rFonts w:ascii="Times New Roman" w:hAnsi="Times New Roman" w:cs="Times New Roman"/>
        </w:rPr>
        <w:t>?’</w:t>
      </w:r>
      <w:r w:rsidR="00AF046B" w:rsidRPr="00AB69B5">
        <w:rPr>
          <w:rStyle w:val="FootnoteReference"/>
          <w:rFonts w:ascii="Times New Roman" w:hAnsi="Times New Roman" w:cs="Times New Roman"/>
        </w:rPr>
        <w:footnoteReference w:id="38"/>
      </w:r>
    </w:p>
    <w:p w14:paraId="17758F0F" w14:textId="77777777" w:rsidR="00004B00" w:rsidRPr="00AB69B5" w:rsidRDefault="00004B00" w:rsidP="00AB69B5">
      <w:pPr>
        <w:spacing w:after="0" w:line="480" w:lineRule="auto"/>
        <w:jc w:val="both"/>
        <w:rPr>
          <w:rFonts w:ascii="Times New Roman" w:hAnsi="Times New Roman" w:cs="Times New Roman"/>
        </w:rPr>
      </w:pPr>
    </w:p>
    <w:p w14:paraId="13FDF284" w14:textId="0DC62A2A" w:rsidR="00924A28" w:rsidRPr="00AB69B5" w:rsidRDefault="00004B00" w:rsidP="00AB69B5">
      <w:pPr>
        <w:spacing w:after="0" w:line="480" w:lineRule="auto"/>
        <w:jc w:val="both"/>
        <w:rPr>
          <w:rFonts w:ascii="Times New Roman" w:hAnsi="Times New Roman" w:cs="Times New Roman"/>
        </w:rPr>
      </w:pPr>
      <w:r w:rsidRPr="00AB69B5">
        <w:rPr>
          <w:rFonts w:ascii="Times New Roman" w:hAnsi="Times New Roman" w:cs="Times New Roman"/>
        </w:rPr>
        <w:t>By the time that Heilbron became Treasurer of Gray’s Inn, she was seventy-six years old. Interesting</w:t>
      </w:r>
      <w:r w:rsidR="00924A28" w:rsidRPr="00AB69B5">
        <w:rPr>
          <w:rFonts w:ascii="Times New Roman" w:hAnsi="Times New Roman" w:cs="Times New Roman"/>
        </w:rPr>
        <w:t xml:space="preserve">ly, </w:t>
      </w:r>
      <w:r w:rsidR="00625645" w:rsidRPr="00AB69B5">
        <w:rPr>
          <w:rFonts w:ascii="Times New Roman" w:hAnsi="Times New Roman" w:cs="Times New Roman"/>
        </w:rPr>
        <w:t xml:space="preserve">and by contrast with Heilbron’s public assertion, </w:t>
      </w:r>
      <w:r w:rsidR="00924A28" w:rsidRPr="00AB69B5">
        <w:rPr>
          <w:rFonts w:ascii="Times New Roman" w:hAnsi="Times New Roman" w:cs="Times New Roman"/>
        </w:rPr>
        <w:t xml:space="preserve">there are </w:t>
      </w:r>
      <w:r w:rsidR="00080A4A" w:rsidRPr="00AB69B5">
        <w:rPr>
          <w:rFonts w:ascii="Times New Roman" w:hAnsi="Times New Roman" w:cs="Times New Roman"/>
        </w:rPr>
        <w:t>some</w:t>
      </w:r>
      <w:r w:rsidR="00924A28" w:rsidRPr="00AB69B5">
        <w:rPr>
          <w:rFonts w:ascii="Times New Roman" w:hAnsi="Times New Roman" w:cs="Times New Roman"/>
        </w:rPr>
        <w:t xml:space="preserve"> examples </w:t>
      </w:r>
      <w:r w:rsidR="00080A4A" w:rsidRPr="00AB69B5">
        <w:rPr>
          <w:rFonts w:ascii="Times New Roman" w:hAnsi="Times New Roman" w:cs="Times New Roman"/>
        </w:rPr>
        <w:t xml:space="preserve">of women lawyers ‘breaking silence’ </w:t>
      </w:r>
      <w:r w:rsidR="00417297" w:rsidRPr="00AB69B5">
        <w:rPr>
          <w:rFonts w:ascii="Times New Roman" w:hAnsi="Times New Roman" w:cs="Times New Roman"/>
        </w:rPr>
        <w:t>as they aged.</w:t>
      </w:r>
      <w:r w:rsidR="00924A28" w:rsidRPr="00AB69B5">
        <w:rPr>
          <w:rFonts w:ascii="Times New Roman" w:hAnsi="Times New Roman" w:cs="Times New Roman"/>
        </w:rPr>
        <w:t xml:space="preserve"> For example, </w:t>
      </w:r>
      <w:r w:rsidR="005363B1" w:rsidRPr="00AB69B5">
        <w:rPr>
          <w:rFonts w:ascii="Times New Roman" w:hAnsi="Times New Roman" w:cs="Times New Roman"/>
        </w:rPr>
        <w:t xml:space="preserve">in </w:t>
      </w:r>
      <w:r w:rsidR="00625645" w:rsidRPr="00AB69B5">
        <w:rPr>
          <w:rFonts w:ascii="Times New Roman" w:hAnsi="Times New Roman" w:cs="Times New Roman"/>
        </w:rPr>
        <w:t xml:space="preserve">1888, </w:t>
      </w:r>
      <w:r w:rsidR="005363B1" w:rsidRPr="00AB69B5">
        <w:rPr>
          <w:rFonts w:ascii="Times New Roman" w:hAnsi="Times New Roman" w:cs="Times New Roman"/>
        </w:rPr>
        <w:t xml:space="preserve">the same year that she became the first woman in England to obtain the LLB degree, </w:t>
      </w:r>
      <w:r w:rsidR="00924A28" w:rsidRPr="00AB69B5">
        <w:rPr>
          <w:rFonts w:ascii="Times New Roman" w:hAnsi="Times New Roman" w:cs="Times New Roman"/>
        </w:rPr>
        <w:t xml:space="preserve">Eliza Orme </w:t>
      </w:r>
      <w:r w:rsidR="005363B1" w:rsidRPr="00AB69B5">
        <w:rPr>
          <w:rFonts w:ascii="Times New Roman" w:hAnsi="Times New Roman" w:cs="Times New Roman"/>
        </w:rPr>
        <w:t xml:space="preserve">had commented </w:t>
      </w:r>
      <w:r w:rsidR="00417297" w:rsidRPr="00AB69B5">
        <w:rPr>
          <w:rFonts w:ascii="Times New Roman" w:hAnsi="Times New Roman" w:cs="Times New Roman"/>
        </w:rPr>
        <w:t xml:space="preserve">positively to an interviewer </w:t>
      </w:r>
      <w:r w:rsidR="005363B1" w:rsidRPr="00AB69B5">
        <w:rPr>
          <w:rFonts w:ascii="Times New Roman" w:hAnsi="Times New Roman" w:cs="Times New Roman"/>
        </w:rPr>
        <w:t>that ‘things look more hopeful now than ever’</w:t>
      </w:r>
      <w:r w:rsidR="00AF046B" w:rsidRPr="00AB69B5">
        <w:rPr>
          <w:rStyle w:val="FootnoteReference"/>
          <w:rFonts w:ascii="Times New Roman" w:hAnsi="Times New Roman" w:cs="Times New Roman"/>
        </w:rPr>
        <w:footnoteReference w:id="39"/>
      </w:r>
      <w:r w:rsidR="005363B1" w:rsidRPr="00AB69B5">
        <w:rPr>
          <w:rFonts w:ascii="Times New Roman" w:hAnsi="Times New Roman" w:cs="Times New Roman"/>
        </w:rPr>
        <w:t xml:space="preserve"> with respect to women’s admission to the bar.</w:t>
      </w:r>
      <w:r w:rsidR="00924A28" w:rsidRPr="00AB69B5">
        <w:rPr>
          <w:rFonts w:ascii="Times New Roman" w:hAnsi="Times New Roman" w:cs="Times New Roman"/>
        </w:rPr>
        <w:t xml:space="preserve"> By </w:t>
      </w:r>
      <w:r w:rsidR="00417297" w:rsidRPr="00AB69B5">
        <w:rPr>
          <w:rFonts w:ascii="Times New Roman" w:hAnsi="Times New Roman" w:cs="Times New Roman"/>
        </w:rPr>
        <w:t xml:space="preserve">contrast, when she was nearing retirement in </w:t>
      </w:r>
      <w:r w:rsidR="00924A28" w:rsidRPr="00AB69B5">
        <w:rPr>
          <w:rFonts w:ascii="Times New Roman" w:hAnsi="Times New Roman" w:cs="Times New Roman"/>
        </w:rPr>
        <w:t xml:space="preserve">1903, </w:t>
      </w:r>
      <w:r w:rsidR="005363B1" w:rsidRPr="00AB69B5">
        <w:rPr>
          <w:rFonts w:ascii="Times New Roman" w:hAnsi="Times New Roman" w:cs="Times New Roman"/>
        </w:rPr>
        <w:t xml:space="preserve">Orme </w:t>
      </w:r>
      <w:r w:rsidR="00924A28" w:rsidRPr="00AB69B5">
        <w:rPr>
          <w:rFonts w:ascii="Times New Roman" w:hAnsi="Times New Roman" w:cs="Times New Roman"/>
        </w:rPr>
        <w:t xml:space="preserve">was </w:t>
      </w:r>
      <w:r w:rsidR="00417297" w:rsidRPr="00AB69B5">
        <w:rPr>
          <w:rFonts w:ascii="Times New Roman" w:hAnsi="Times New Roman" w:cs="Times New Roman"/>
        </w:rPr>
        <w:t xml:space="preserve">again </w:t>
      </w:r>
      <w:r w:rsidR="00924A28" w:rsidRPr="00AB69B5">
        <w:rPr>
          <w:rFonts w:ascii="Times New Roman" w:hAnsi="Times New Roman" w:cs="Times New Roman"/>
        </w:rPr>
        <w:t>interviewed in the context of Bertha Cave’s unsuccessful applic</w:t>
      </w:r>
      <w:r w:rsidR="005363B1" w:rsidRPr="00AB69B5">
        <w:rPr>
          <w:rFonts w:ascii="Times New Roman" w:hAnsi="Times New Roman" w:cs="Times New Roman"/>
        </w:rPr>
        <w:t xml:space="preserve">ation for admission to the bar; by this time, </w:t>
      </w:r>
      <w:r w:rsidR="00924A28" w:rsidRPr="00AB69B5">
        <w:rPr>
          <w:rFonts w:ascii="Times New Roman" w:hAnsi="Times New Roman" w:cs="Times New Roman"/>
        </w:rPr>
        <w:t xml:space="preserve">Orme seemed more circumspect about her practice at the margins of the legal profession, stating </w:t>
      </w:r>
      <w:r w:rsidR="005363B1" w:rsidRPr="00AB69B5">
        <w:rPr>
          <w:rFonts w:ascii="Times New Roman" w:hAnsi="Times New Roman" w:cs="Times New Roman"/>
        </w:rPr>
        <w:t>a bit</w:t>
      </w:r>
      <w:r w:rsidR="00924A28" w:rsidRPr="00AB69B5">
        <w:rPr>
          <w:rFonts w:ascii="Times New Roman" w:hAnsi="Times New Roman" w:cs="Times New Roman"/>
        </w:rPr>
        <w:t xml:space="preserve"> wistfully, ‘Perhaps I should have been more persistent.’</w:t>
      </w:r>
      <w:r w:rsidR="00AF046B" w:rsidRPr="00AB69B5">
        <w:rPr>
          <w:rStyle w:val="FootnoteReference"/>
          <w:rFonts w:ascii="Times New Roman" w:hAnsi="Times New Roman" w:cs="Times New Roman"/>
        </w:rPr>
        <w:footnoteReference w:id="40"/>
      </w:r>
      <w:r w:rsidR="007409D2" w:rsidRPr="00AB69B5">
        <w:rPr>
          <w:rFonts w:ascii="Times New Roman" w:hAnsi="Times New Roman" w:cs="Times New Roman"/>
        </w:rPr>
        <w:t xml:space="preserve"> </w:t>
      </w:r>
      <w:r w:rsidR="005363B1" w:rsidRPr="00AB69B5">
        <w:rPr>
          <w:rFonts w:ascii="Times New Roman" w:hAnsi="Times New Roman" w:cs="Times New Roman"/>
        </w:rPr>
        <w:t xml:space="preserve">In Ontario, </w:t>
      </w:r>
      <w:r w:rsidR="00924A28" w:rsidRPr="00AB69B5">
        <w:rPr>
          <w:rFonts w:ascii="Times New Roman" w:hAnsi="Times New Roman" w:cs="Times New Roman"/>
        </w:rPr>
        <w:t xml:space="preserve">Margaret Hyndman </w:t>
      </w:r>
      <w:r w:rsidR="007409D2" w:rsidRPr="00AB69B5">
        <w:rPr>
          <w:rFonts w:ascii="Times New Roman" w:hAnsi="Times New Roman" w:cs="Times New Roman"/>
        </w:rPr>
        <w:t xml:space="preserve">broke her silence </w:t>
      </w:r>
      <w:r w:rsidR="00625645" w:rsidRPr="00AB69B5">
        <w:rPr>
          <w:rFonts w:ascii="Times New Roman" w:hAnsi="Times New Roman" w:cs="Times New Roman"/>
        </w:rPr>
        <w:t>even more</w:t>
      </w:r>
      <w:r w:rsidR="005363B1" w:rsidRPr="00AB69B5">
        <w:rPr>
          <w:rFonts w:ascii="Times New Roman" w:hAnsi="Times New Roman" w:cs="Times New Roman"/>
        </w:rPr>
        <w:t xml:space="preserve"> directly when she was </w:t>
      </w:r>
      <w:r w:rsidR="007409D2" w:rsidRPr="00AB69B5">
        <w:rPr>
          <w:rFonts w:ascii="Times New Roman" w:hAnsi="Times New Roman" w:cs="Times New Roman"/>
        </w:rPr>
        <w:t>in her seventies</w:t>
      </w:r>
      <w:r w:rsidR="005363B1" w:rsidRPr="00AB69B5">
        <w:rPr>
          <w:rFonts w:ascii="Times New Roman" w:hAnsi="Times New Roman" w:cs="Times New Roman"/>
        </w:rPr>
        <w:t>.</w:t>
      </w:r>
      <w:r w:rsidR="007409D2" w:rsidRPr="00AB69B5">
        <w:rPr>
          <w:rFonts w:ascii="Times New Roman" w:hAnsi="Times New Roman" w:cs="Times New Roman"/>
        </w:rPr>
        <w:t xml:space="preserve"> </w:t>
      </w:r>
      <w:r w:rsidR="00924A28" w:rsidRPr="00AB69B5">
        <w:rPr>
          <w:rFonts w:ascii="Times New Roman" w:hAnsi="Times New Roman" w:cs="Times New Roman"/>
        </w:rPr>
        <w:t>By contrast with her comment in 1949 that she was a ‘lawyer’ and that her gender was irrelevant, her interview decades later in 1973 – just a few years after the first woman had been appointed to the Superior Court in Ontario – was much more critical</w:t>
      </w:r>
      <w:r w:rsidR="005363B1" w:rsidRPr="00AB69B5">
        <w:rPr>
          <w:rFonts w:ascii="Times New Roman" w:hAnsi="Times New Roman" w:cs="Times New Roman"/>
        </w:rPr>
        <w:t>. The press report stated</w:t>
      </w:r>
      <w:r w:rsidR="00924A28" w:rsidRPr="00AB69B5">
        <w:rPr>
          <w:rFonts w:ascii="Times New Roman" w:hAnsi="Times New Roman" w:cs="Times New Roman"/>
        </w:rPr>
        <w:t>:</w:t>
      </w:r>
    </w:p>
    <w:p w14:paraId="104D710C" w14:textId="0098F233" w:rsidR="007409D2" w:rsidRPr="00AB69B5" w:rsidRDefault="007409D2"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Asked if she is disappointed not to be a Supreme Court judge, she replied: ‘I have been at peace over unfulfilled ambitions for 20 years. </w:t>
      </w:r>
      <w:r w:rsidRPr="00AB69B5">
        <w:rPr>
          <w:rFonts w:ascii="Times New Roman" w:hAnsi="Times New Roman" w:cs="Times New Roman"/>
          <w:i/>
        </w:rPr>
        <w:t>Not appointing a woman judge has been discrimination</w:t>
      </w:r>
      <w:r w:rsidRPr="00AB69B5">
        <w:rPr>
          <w:rFonts w:ascii="Times New Roman" w:hAnsi="Times New Roman" w:cs="Times New Roman"/>
        </w:rPr>
        <w:t>. It was broken with the appointment of Mabel Van Camp. Again, as in most top jobs, a woman has to be much better than a man. This applies to women judges,’ she concluded.</w:t>
      </w:r>
      <w:r w:rsidR="00AF046B" w:rsidRPr="00AB69B5">
        <w:rPr>
          <w:rStyle w:val="FootnoteReference"/>
          <w:rFonts w:ascii="Times New Roman" w:hAnsi="Times New Roman" w:cs="Times New Roman"/>
        </w:rPr>
        <w:footnoteReference w:id="41"/>
      </w:r>
    </w:p>
    <w:p w14:paraId="05F68A97" w14:textId="77777777" w:rsidR="007409D2" w:rsidRPr="00AB69B5" w:rsidRDefault="007409D2" w:rsidP="00AB69B5">
      <w:pPr>
        <w:spacing w:after="0" w:line="480" w:lineRule="auto"/>
        <w:ind w:left="720"/>
        <w:jc w:val="both"/>
        <w:rPr>
          <w:rFonts w:ascii="Times New Roman" w:hAnsi="Times New Roman" w:cs="Times New Roman"/>
        </w:rPr>
      </w:pPr>
    </w:p>
    <w:p w14:paraId="5E2F834B" w14:textId="011858A4" w:rsidR="00924A28" w:rsidRPr="00AB69B5" w:rsidRDefault="007409D2" w:rsidP="00AB69B5">
      <w:pPr>
        <w:spacing w:after="0" w:line="480" w:lineRule="auto"/>
        <w:jc w:val="both"/>
        <w:rPr>
          <w:rFonts w:ascii="Times New Roman" w:hAnsi="Times New Roman" w:cs="Times New Roman"/>
        </w:rPr>
      </w:pPr>
      <w:r w:rsidRPr="00AB69B5">
        <w:rPr>
          <w:rFonts w:ascii="Times New Roman" w:hAnsi="Times New Roman" w:cs="Times New Roman"/>
        </w:rPr>
        <w:t>How should we interpret the</w:t>
      </w:r>
      <w:r w:rsidR="007306F5" w:rsidRPr="00AB69B5">
        <w:rPr>
          <w:rFonts w:ascii="Times New Roman" w:hAnsi="Times New Roman" w:cs="Times New Roman"/>
        </w:rPr>
        <w:t xml:space="preserve"> puzzle of these</w:t>
      </w:r>
      <w:r w:rsidR="00F32578" w:rsidRPr="00AB69B5">
        <w:rPr>
          <w:rFonts w:ascii="Times New Roman" w:hAnsi="Times New Roman" w:cs="Times New Roman"/>
        </w:rPr>
        <w:t xml:space="preserve"> very</w:t>
      </w:r>
      <w:r w:rsidR="007306F5" w:rsidRPr="00AB69B5">
        <w:rPr>
          <w:rFonts w:ascii="Times New Roman" w:hAnsi="Times New Roman" w:cs="Times New Roman"/>
        </w:rPr>
        <w:t xml:space="preserve"> </w:t>
      </w:r>
      <w:r w:rsidR="00417297" w:rsidRPr="00AB69B5">
        <w:rPr>
          <w:rFonts w:ascii="Times New Roman" w:hAnsi="Times New Roman" w:cs="Times New Roman"/>
        </w:rPr>
        <w:t xml:space="preserve">different </w:t>
      </w:r>
      <w:r w:rsidR="007306F5" w:rsidRPr="00AB69B5">
        <w:rPr>
          <w:rFonts w:ascii="Times New Roman" w:hAnsi="Times New Roman" w:cs="Times New Roman"/>
        </w:rPr>
        <w:t>comments</w:t>
      </w:r>
      <w:r w:rsidR="00417297" w:rsidRPr="00AB69B5">
        <w:rPr>
          <w:rFonts w:ascii="Times New Roman" w:hAnsi="Times New Roman" w:cs="Times New Roman"/>
        </w:rPr>
        <w:t xml:space="preserve"> by women lawyers</w:t>
      </w:r>
      <w:r w:rsidR="007306F5" w:rsidRPr="00AB69B5">
        <w:rPr>
          <w:rFonts w:ascii="Times New Roman" w:hAnsi="Times New Roman" w:cs="Times New Roman"/>
        </w:rPr>
        <w:t>?</w:t>
      </w:r>
    </w:p>
    <w:p w14:paraId="4B75C5B2" w14:textId="28FD623E" w:rsidR="00BA07C2" w:rsidRPr="00AB69B5" w:rsidRDefault="007306F5"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lastRenderedPageBreak/>
        <w:t>As Hermione Lee lamented</w:t>
      </w:r>
      <w:r w:rsidR="00417297" w:rsidRPr="00AB69B5">
        <w:rPr>
          <w:rFonts w:ascii="Times New Roman" w:hAnsi="Times New Roman" w:cs="Times New Roman"/>
        </w:rPr>
        <w:t xml:space="preserve"> in her essay about biography</w:t>
      </w:r>
      <w:r w:rsidRPr="00AB69B5">
        <w:rPr>
          <w:rFonts w:ascii="Times New Roman" w:hAnsi="Times New Roman" w:cs="Times New Roman"/>
        </w:rPr>
        <w:t>, we want to know about ‘alternatives, missed chances, roads not taken, accidents and hesitations, the whole “swarm of possibilities” that hums around our every experience.’</w:t>
      </w:r>
      <w:r w:rsidR="00D22132" w:rsidRPr="00AB69B5">
        <w:rPr>
          <w:rStyle w:val="FootnoteReference"/>
          <w:rFonts w:ascii="Times New Roman" w:hAnsi="Times New Roman" w:cs="Times New Roman"/>
        </w:rPr>
        <w:footnoteReference w:id="42"/>
      </w:r>
      <w:r w:rsidRPr="00AB69B5">
        <w:rPr>
          <w:rFonts w:ascii="Times New Roman" w:hAnsi="Times New Roman" w:cs="Times New Roman"/>
        </w:rPr>
        <w:t xml:space="preserve"> </w:t>
      </w:r>
      <w:r w:rsidR="00417297" w:rsidRPr="00AB69B5">
        <w:rPr>
          <w:rFonts w:ascii="Times New Roman" w:hAnsi="Times New Roman" w:cs="Times New Roman"/>
        </w:rPr>
        <w:t xml:space="preserve">However, </w:t>
      </w:r>
      <w:r w:rsidR="00BA07C2" w:rsidRPr="00AB69B5">
        <w:rPr>
          <w:rFonts w:ascii="Times New Roman" w:hAnsi="Times New Roman" w:cs="Times New Roman"/>
        </w:rPr>
        <w:t>we have all too few records of</w:t>
      </w:r>
      <w:r w:rsidRPr="00AB69B5">
        <w:rPr>
          <w:rFonts w:ascii="Times New Roman" w:hAnsi="Times New Roman" w:cs="Times New Roman"/>
        </w:rPr>
        <w:t xml:space="preserve"> </w:t>
      </w:r>
      <w:r w:rsidR="00417297" w:rsidRPr="00AB69B5">
        <w:rPr>
          <w:rFonts w:ascii="Times New Roman" w:hAnsi="Times New Roman" w:cs="Times New Roman"/>
        </w:rPr>
        <w:t>how the first women lawyers may have experienced ‘</w:t>
      </w:r>
      <w:r w:rsidRPr="00AB69B5">
        <w:rPr>
          <w:rFonts w:ascii="Times New Roman" w:hAnsi="Times New Roman" w:cs="Times New Roman"/>
        </w:rPr>
        <w:t>private sorrows</w:t>
      </w:r>
      <w:r w:rsidR="00417297" w:rsidRPr="00AB69B5">
        <w:rPr>
          <w:rFonts w:ascii="Times New Roman" w:hAnsi="Times New Roman" w:cs="Times New Roman"/>
        </w:rPr>
        <w:t>’</w:t>
      </w:r>
      <w:r w:rsidRPr="00AB69B5">
        <w:rPr>
          <w:rFonts w:ascii="Times New Roman" w:hAnsi="Times New Roman" w:cs="Times New Roman"/>
        </w:rPr>
        <w:t xml:space="preserve"> as members of the legal professions. </w:t>
      </w:r>
      <w:r w:rsidR="00BA07C2" w:rsidRPr="00AB69B5">
        <w:rPr>
          <w:rFonts w:ascii="Times New Roman" w:hAnsi="Times New Roman" w:cs="Times New Roman"/>
        </w:rPr>
        <w:t xml:space="preserve">As a result, our research is often limited to interpreting </w:t>
      </w:r>
      <w:r w:rsidR="00417297" w:rsidRPr="00AB69B5">
        <w:rPr>
          <w:rFonts w:ascii="Times New Roman" w:hAnsi="Times New Roman" w:cs="Times New Roman"/>
        </w:rPr>
        <w:t xml:space="preserve">the ‘silences’ and the </w:t>
      </w:r>
      <w:r w:rsidR="00BA07C2" w:rsidRPr="00AB69B5">
        <w:rPr>
          <w:rFonts w:ascii="Times New Roman" w:hAnsi="Times New Roman" w:cs="Times New Roman"/>
        </w:rPr>
        <w:t>‘</w:t>
      </w:r>
      <w:r w:rsidRPr="00AB69B5">
        <w:rPr>
          <w:rFonts w:ascii="Times New Roman" w:hAnsi="Times New Roman" w:cs="Times New Roman"/>
        </w:rPr>
        <w:t xml:space="preserve">powerful unspoken presences’ in </w:t>
      </w:r>
      <w:r w:rsidR="00417297" w:rsidRPr="00AB69B5">
        <w:rPr>
          <w:rFonts w:ascii="Times New Roman" w:hAnsi="Times New Roman" w:cs="Times New Roman"/>
        </w:rPr>
        <w:t>women lawyers’ public comments.</w:t>
      </w:r>
      <w:r w:rsidRPr="00AB69B5">
        <w:rPr>
          <w:rFonts w:ascii="Times New Roman" w:hAnsi="Times New Roman" w:cs="Times New Roman"/>
        </w:rPr>
        <w:t xml:space="preserve"> </w:t>
      </w:r>
      <w:r w:rsidR="00B039E4" w:rsidRPr="00AB69B5">
        <w:rPr>
          <w:rFonts w:ascii="Times New Roman" w:hAnsi="Times New Roman" w:cs="Times New Roman"/>
        </w:rPr>
        <w:t>For example, a press record about Winifred Wilton, the first woman to be admitted to the bar of Manitoba</w:t>
      </w:r>
      <w:r w:rsidR="00BA07C2" w:rsidRPr="00AB69B5">
        <w:rPr>
          <w:rFonts w:ascii="Times New Roman" w:hAnsi="Times New Roman" w:cs="Times New Roman"/>
        </w:rPr>
        <w:t xml:space="preserve"> in 1915</w:t>
      </w:r>
      <w:r w:rsidR="00B039E4" w:rsidRPr="00AB69B5">
        <w:rPr>
          <w:rFonts w:ascii="Times New Roman" w:hAnsi="Times New Roman" w:cs="Times New Roman"/>
        </w:rPr>
        <w:t xml:space="preserve">, records her </w:t>
      </w:r>
      <w:r w:rsidR="00BA07C2" w:rsidRPr="00AB69B5">
        <w:rPr>
          <w:rFonts w:ascii="Times New Roman" w:hAnsi="Times New Roman" w:cs="Times New Roman"/>
        </w:rPr>
        <w:t>reaction when she worked with the Canadian Expeditionary Force in London during World War I, and encountered shocked responses from Londoners about her status as a lawyer: as she noted, ‘I am trying to discover why people think that a woman lawyer must be a freak of some sort….’</w:t>
      </w:r>
      <w:r w:rsidR="00862547" w:rsidRPr="00AB69B5">
        <w:rPr>
          <w:rStyle w:val="FootnoteReference"/>
          <w:rFonts w:ascii="Times New Roman" w:hAnsi="Times New Roman" w:cs="Times New Roman"/>
        </w:rPr>
        <w:footnoteReference w:id="43"/>
      </w:r>
      <w:r w:rsidR="00BA07C2" w:rsidRPr="00AB69B5">
        <w:rPr>
          <w:rFonts w:ascii="Times New Roman" w:hAnsi="Times New Roman" w:cs="Times New Roman"/>
        </w:rPr>
        <w:t xml:space="preserve"> While this comment might have been simply jocular, it may also </w:t>
      </w:r>
      <w:r w:rsidR="00417297" w:rsidRPr="00AB69B5">
        <w:rPr>
          <w:rFonts w:ascii="Times New Roman" w:hAnsi="Times New Roman" w:cs="Times New Roman"/>
        </w:rPr>
        <w:t>capture</w:t>
      </w:r>
      <w:r w:rsidR="00BA07C2" w:rsidRPr="00AB69B5">
        <w:rPr>
          <w:rFonts w:ascii="Times New Roman" w:hAnsi="Times New Roman" w:cs="Times New Roman"/>
        </w:rPr>
        <w:t xml:space="preserve"> subtle and unspoken challenges for Wilton as an early woman lawyer. In this context, Cornelia Sorabji’s story</w:t>
      </w:r>
      <w:r w:rsidR="00417297" w:rsidRPr="00AB69B5">
        <w:rPr>
          <w:rFonts w:ascii="Times New Roman" w:hAnsi="Times New Roman" w:cs="Times New Roman"/>
        </w:rPr>
        <w:t xml:space="preserve"> offers some important insights because, in addition to her publications and public speeches, her private letters to friends and family were preserved in the British Library. Unlike her public commentaries, some of her private letters reveal </w:t>
      </w:r>
      <w:r w:rsidR="00480ED8" w:rsidRPr="00AB69B5">
        <w:rPr>
          <w:rFonts w:ascii="Times New Roman" w:hAnsi="Times New Roman" w:cs="Times New Roman"/>
        </w:rPr>
        <w:t xml:space="preserve">how profoundly she suffered setbacks and disappointments. </w:t>
      </w:r>
      <w:r w:rsidR="005C2D18" w:rsidRPr="00AB69B5">
        <w:rPr>
          <w:rFonts w:ascii="Times New Roman" w:hAnsi="Times New Roman" w:cs="Times New Roman"/>
        </w:rPr>
        <w:t xml:space="preserve">One example is her letter to her friend, Lady Hobhouse, in 1899 </w:t>
      </w:r>
      <w:r w:rsidR="00480ED8" w:rsidRPr="00AB69B5">
        <w:rPr>
          <w:rFonts w:ascii="Times New Roman" w:hAnsi="Times New Roman" w:cs="Times New Roman"/>
        </w:rPr>
        <w:t xml:space="preserve">after she had successfully </w:t>
      </w:r>
      <w:r w:rsidR="005C2D18" w:rsidRPr="00AB69B5">
        <w:rPr>
          <w:rFonts w:ascii="Times New Roman" w:hAnsi="Times New Roman" w:cs="Times New Roman"/>
        </w:rPr>
        <w:t xml:space="preserve">passed the examinations to become a </w:t>
      </w:r>
      <w:r w:rsidR="005C2D18" w:rsidRPr="00AB69B5">
        <w:rPr>
          <w:rFonts w:ascii="Times New Roman" w:hAnsi="Times New Roman" w:cs="Times New Roman"/>
          <w:i/>
        </w:rPr>
        <w:t>vakil</w:t>
      </w:r>
      <w:r w:rsidR="005C2D18" w:rsidRPr="00AB69B5">
        <w:rPr>
          <w:rFonts w:ascii="Times New Roman" w:hAnsi="Times New Roman" w:cs="Times New Roman"/>
        </w:rPr>
        <w:t xml:space="preserve"> (pleader) in India, having been promised that she could be admitted to the bar after </w:t>
      </w:r>
      <w:r w:rsidR="00480ED8" w:rsidRPr="00AB69B5">
        <w:rPr>
          <w:rFonts w:ascii="Times New Roman" w:hAnsi="Times New Roman" w:cs="Times New Roman"/>
        </w:rPr>
        <w:t>obtaining this qualification.</w:t>
      </w:r>
      <w:r w:rsidR="005C2D18" w:rsidRPr="00AB69B5">
        <w:rPr>
          <w:rFonts w:ascii="Times New Roman" w:hAnsi="Times New Roman" w:cs="Times New Roman"/>
        </w:rPr>
        <w:t xml:space="preserve"> Unfortunately, and in spite of her success in also becoming the first woman to pass the exams for the law degree at Oxford in 1892, the High Court </w:t>
      </w:r>
      <w:r w:rsidR="00480ED8" w:rsidRPr="00AB69B5">
        <w:rPr>
          <w:rFonts w:ascii="Times New Roman" w:hAnsi="Times New Roman" w:cs="Times New Roman"/>
        </w:rPr>
        <w:t xml:space="preserve">then refused to recognize its earlier promise and </w:t>
      </w:r>
      <w:r w:rsidR="005C2D18" w:rsidRPr="00AB69B5">
        <w:rPr>
          <w:rFonts w:ascii="Times New Roman" w:hAnsi="Times New Roman" w:cs="Times New Roman"/>
        </w:rPr>
        <w:t>rejected her application for admission to the bar. As Sorabji wrote:</w:t>
      </w:r>
    </w:p>
    <w:p w14:paraId="002E2658" w14:textId="484E3BB5" w:rsidR="005C2D18" w:rsidRPr="00AB69B5" w:rsidRDefault="005C2D18"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Every day since the [High Court] sent me what I thought its ultimatum in ’97 (the requirement to pass the </w:t>
      </w:r>
      <w:r w:rsidRPr="00AB69B5">
        <w:rPr>
          <w:rFonts w:ascii="Times New Roman" w:hAnsi="Times New Roman" w:cs="Times New Roman"/>
          <w:i/>
        </w:rPr>
        <w:t>vakil</w:t>
      </w:r>
      <w:r w:rsidRPr="00AB69B5">
        <w:rPr>
          <w:rFonts w:ascii="Times New Roman" w:hAnsi="Times New Roman" w:cs="Times New Roman"/>
        </w:rPr>
        <w:t xml:space="preserve"> examinations], I’ve felt ‘Tis one day nearer,’ &amp; the cruel dashing of it all at first felt too dreadful to realize…. Ah! ‘tis hard of fate. I have paid the penalty to the utmost farthing &amp; </w:t>
      </w:r>
      <w:r w:rsidRPr="00AB69B5">
        <w:rPr>
          <w:rFonts w:ascii="Times New Roman" w:hAnsi="Times New Roman" w:cs="Times New Roman"/>
        </w:rPr>
        <w:lastRenderedPageBreak/>
        <w:t xml:space="preserve">shirked nothing…. If all fails, I must give up the legal idea, &amp; seek other work, but </w:t>
      </w:r>
      <w:r w:rsidRPr="00AB69B5">
        <w:rPr>
          <w:rFonts w:ascii="Times New Roman" w:hAnsi="Times New Roman" w:cs="Times New Roman"/>
          <w:i/>
        </w:rPr>
        <w:t>at present I feel as that would break my heart…</w:t>
      </w:r>
      <w:r w:rsidRPr="00AB69B5">
        <w:rPr>
          <w:rFonts w:ascii="Times New Roman" w:hAnsi="Times New Roman" w:cs="Times New Roman"/>
        </w:rPr>
        <w:t>.</w:t>
      </w:r>
      <w:r w:rsidR="00D22132" w:rsidRPr="00AB69B5">
        <w:rPr>
          <w:rStyle w:val="FootnoteReference"/>
          <w:rFonts w:ascii="Times New Roman" w:hAnsi="Times New Roman" w:cs="Times New Roman"/>
        </w:rPr>
        <w:footnoteReference w:id="44"/>
      </w:r>
    </w:p>
    <w:p w14:paraId="0581A7EF" w14:textId="77777777" w:rsidR="005C2D18" w:rsidRPr="00AB69B5" w:rsidRDefault="005C2D18" w:rsidP="00AB69B5">
      <w:pPr>
        <w:spacing w:after="0" w:line="480" w:lineRule="auto"/>
        <w:ind w:left="720"/>
        <w:jc w:val="both"/>
        <w:rPr>
          <w:rFonts w:ascii="Times New Roman" w:hAnsi="Times New Roman" w:cs="Times New Roman"/>
        </w:rPr>
      </w:pPr>
    </w:p>
    <w:p w14:paraId="51C98FA4" w14:textId="6E96D4AD" w:rsidR="00C60EB2" w:rsidRPr="00AB69B5" w:rsidRDefault="005C2D18" w:rsidP="00AB69B5">
      <w:pPr>
        <w:spacing w:after="0" w:line="480" w:lineRule="auto"/>
        <w:jc w:val="both"/>
        <w:rPr>
          <w:rFonts w:ascii="Times New Roman" w:hAnsi="Times New Roman" w:cs="Times New Roman"/>
        </w:rPr>
      </w:pPr>
      <w:r w:rsidRPr="00AB69B5">
        <w:rPr>
          <w:rFonts w:ascii="Times New Roman" w:hAnsi="Times New Roman" w:cs="Times New Roman"/>
        </w:rPr>
        <w:t>Sorabji’s heartbreaking anguish is palpable in t</w:t>
      </w:r>
      <w:r w:rsidR="00F774B6" w:rsidRPr="00AB69B5">
        <w:rPr>
          <w:rFonts w:ascii="Times New Roman" w:hAnsi="Times New Roman" w:cs="Times New Roman"/>
        </w:rPr>
        <w:t xml:space="preserve">his private letter, although </w:t>
      </w:r>
      <w:r w:rsidR="00C60EB2" w:rsidRPr="00AB69B5">
        <w:rPr>
          <w:rFonts w:ascii="Times New Roman" w:hAnsi="Times New Roman" w:cs="Times New Roman"/>
        </w:rPr>
        <w:t xml:space="preserve">her disappointment was </w:t>
      </w:r>
      <w:r w:rsidR="00F774B6" w:rsidRPr="00AB69B5">
        <w:rPr>
          <w:rFonts w:ascii="Times New Roman" w:hAnsi="Times New Roman" w:cs="Times New Roman"/>
        </w:rPr>
        <w:t>much more muted in her public comments</w:t>
      </w:r>
      <w:r w:rsidR="00480ED8" w:rsidRPr="00AB69B5">
        <w:rPr>
          <w:rFonts w:ascii="Times New Roman" w:hAnsi="Times New Roman" w:cs="Times New Roman"/>
        </w:rPr>
        <w:t xml:space="preserve">, suggesting </w:t>
      </w:r>
      <w:r w:rsidR="00F774B6" w:rsidRPr="00AB69B5">
        <w:rPr>
          <w:rFonts w:ascii="Times New Roman" w:hAnsi="Times New Roman" w:cs="Times New Roman"/>
        </w:rPr>
        <w:t xml:space="preserve">a need </w:t>
      </w:r>
      <w:r w:rsidR="00F32578" w:rsidRPr="00AB69B5">
        <w:rPr>
          <w:rFonts w:ascii="Times New Roman" w:hAnsi="Times New Roman" w:cs="Times New Roman"/>
        </w:rPr>
        <w:t xml:space="preserve">for us </w:t>
      </w:r>
      <w:r w:rsidR="00F774B6" w:rsidRPr="00AB69B5">
        <w:rPr>
          <w:rFonts w:ascii="Times New Roman" w:hAnsi="Times New Roman" w:cs="Times New Roman"/>
        </w:rPr>
        <w:t>to be attentive to the ‘silences’ in public comments by early women lawyers</w:t>
      </w:r>
      <w:r w:rsidR="00F32578" w:rsidRPr="00AB69B5">
        <w:rPr>
          <w:rFonts w:ascii="Times New Roman" w:hAnsi="Times New Roman" w:cs="Times New Roman"/>
        </w:rPr>
        <w:t>; sometimes, their comments may</w:t>
      </w:r>
      <w:r w:rsidR="00480ED8" w:rsidRPr="00AB69B5">
        <w:rPr>
          <w:rFonts w:ascii="Times New Roman" w:hAnsi="Times New Roman" w:cs="Times New Roman"/>
        </w:rPr>
        <w:t xml:space="preserve"> include a ‘powerful unspoken presence’ about setbacks and disappointments.</w:t>
      </w:r>
      <w:r w:rsidR="00F774B6" w:rsidRPr="00AB69B5">
        <w:rPr>
          <w:rFonts w:ascii="Times New Roman" w:hAnsi="Times New Roman" w:cs="Times New Roman"/>
        </w:rPr>
        <w:t xml:space="preserve"> As Carolyn Heilbrun argued, </w:t>
      </w:r>
      <w:r w:rsidR="00480ED8" w:rsidRPr="00AB69B5">
        <w:rPr>
          <w:rFonts w:ascii="Times New Roman" w:hAnsi="Times New Roman" w:cs="Times New Roman"/>
        </w:rPr>
        <w:t xml:space="preserve">researchers </w:t>
      </w:r>
      <w:r w:rsidR="00F774B6" w:rsidRPr="00AB69B5">
        <w:rPr>
          <w:rFonts w:ascii="Times New Roman" w:hAnsi="Times New Roman" w:cs="Times New Roman"/>
        </w:rPr>
        <w:t>need to ‘reinvent the lives [of women], discovering the processes and decisions, the choices and unique pain, that [lie] beyond … life stories.’</w:t>
      </w:r>
      <w:r w:rsidR="00D22132" w:rsidRPr="00AB69B5">
        <w:rPr>
          <w:rStyle w:val="FootnoteReference"/>
          <w:rFonts w:ascii="Times New Roman" w:hAnsi="Times New Roman" w:cs="Times New Roman"/>
        </w:rPr>
        <w:footnoteReference w:id="45"/>
      </w:r>
      <w:r w:rsidR="00F774B6" w:rsidRPr="00AB69B5">
        <w:rPr>
          <w:rFonts w:ascii="Times New Roman" w:hAnsi="Times New Roman" w:cs="Times New Roman"/>
        </w:rPr>
        <w:t xml:space="preserve"> Thus, in telling the stories of early women lawyers, we need to recognize how their public comments often conformed to the </w:t>
      </w:r>
      <w:r w:rsidR="00480ED8" w:rsidRPr="00AB69B5">
        <w:rPr>
          <w:rFonts w:ascii="Times New Roman" w:hAnsi="Times New Roman" w:cs="Times New Roman"/>
        </w:rPr>
        <w:t>ethos</w:t>
      </w:r>
      <w:r w:rsidR="00F774B6" w:rsidRPr="00AB69B5">
        <w:rPr>
          <w:rFonts w:ascii="Times New Roman" w:hAnsi="Times New Roman" w:cs="Times New Roman"/>
        </w:rPr>
        <w:t xml:space="preserve"> of </w:t>
      </w:r>
      <w:r w:rsidR="00C60EB2" w:rsidRPr="00AB69B5">
        <w:rPr>
          <w:rFonts w:ascii="Times New Roman" w:hAnsi="Times New Roman" w:cs="Times New Roman"/>
        </w:rPr>
        <w:t xml:space="preserve">legal </w:t>
      </w:r>
      <w:r w:rsidR="00F774B6" w:rsidRPr="00AB69B5">
        <w:rPr>
          <w:rFonts w:ascii="Times New Roman" w:hAnsi="Times New Roman" w:cs="Times New Roman"/>
        </w:rPr>
        <w:t>professionalism, and to be especially attentive to the</w:t>
      </w:r>
      <w:r w:rsidR="005C2B46" w:rsidRPr="00AB69B5">
        <w:rPr>
          <w:rFonts w:ascii="Times New Roman" w:hAnsi="Times New Roman" w:cs="Times New Roman"/>
        </w:rPr>
        <w:t xml:space="preserve"> possibility of private </w:t>
      </w:r>
      <w:r w:rsidR="00F774B6" w:rsidRPr="00AB69B5">
        <w:rPr>
          <w:rFonts w:ascii="Times New Roman" w:hAnsi="Times New Roman" w:cs="Times New Roman"/>
        </w:rPr>
        <w:t>silences. In such a context, views that change in old age may be especially significant</w:t>
      </w:r>
      <w:r w:rsidR="00480ED8" w:rsidRPr="00AB69B5">
        <w:rPr>
          <w:rFonts w:ascii="Times New Roman" w:hAnsi="Times New Roman" w:cs="Times New Roman"/>
        </w:rPr>
        <w:t xml:space="preserve">: as Margaret Hyndman explained in her seventies, she was finally at peace with </w:t>
      </w:r>
      <w:r w:rsidR="00F32578" w:rsidRPr="00AB69B5">
        <w:rPr>
          <w:rFonts w:ascii="Times New Roman" w:hAnsi="Times New Roman" w:cs="Times New Roman"/>
        </w:rPr>
        <w:t>‘</w:t>
      </w:r>
      <w:r w:rsidR="00480ED8" w:rsidRPr="00AB69B5">
        <w:rPr>
          <w:rFonts w:ascii="Times New Roman" w:hAnsi="Times New Roman" w:cs="Times New Roman"/>
        </w:rPr>
        <w:t>unfulfilled ambitions</w:t>
      </w:r>
      <w:r w:rsidR="00F774B6" w:rsidRPr="00AB69B5">
        <w:rPr>
          <w:rFonts w:ascii="Times New Roman" w:hAnsi="Times New Roman" w:cs="Times New Roman"/>
        </w:rPr>
        <w:t>.</w:t>
      </w:r>
      <w:r w:rsidR="00F32578" w:rsidRPr="00AB69B5">
        <w:rPr>
          <w:rFonts w:ascii="Times New Roman" w:hAnsi="Times New Roman" w:cs="Times New Roman"/>
        </w:rPr>
        <w:t>’</w:t>
      </w:r>
    </w:p>
    <w:p w14:paraId="3C98564D" w14:textId="741077E4" w:rsidR="00C60EB2" w:rsidRPr="00AB69B5" w:rsidRDefault="00562E38" w:rsidP="00AB69B5">
      <w:pPr>
        <w:spacing w:after="0" w:line="480" w:lineRule="auto"/>
        <w:jc w:val="both"/>
        <w:rPr>
          <w:rFonts w:ascii="Times New Roman" w:hAnsi="Times New Roman" w:cs="Times New Roman"/>
          <w:b/>
          <w:u w:val="single"/>
        </w:rPr>
      </w:pPr>
      <w:r w:rsidRPr="00AB69B5">
        <w:rPr>
          <w:rFonts w:ascii="Times New Roman" w:hAnsi="Times New Roman" w:cs="Times New Roman"/>
          <w:b/>
          <w:u w:val="single"/>
        </w:rPr>
        <w:t xml:space="preserve">Continuing Questions </w:t>
      </w:r>
      <w:r w:rsidR="005C2B46" w:rsidRPr="00AB69B5">
        <w:rPr>
          <w:rFonts w:ascii="Times New Roman" w:hAnsi="Times New Roman" w:cs="Times New Roman"/>
          <w:b/>
          <w:u w:val="single"/>
        </w:rPr>
        <w:t xml:space="preserve">for </w:t>
      </w:r>
      <w:r w:rsidR="00C60EB2" w:rsidRPr="00AB69B5">
        <w:rPr>
          <w:rFonts w:ascii="Times New Roman" w:hAnsi="Times New Roman" w:cs="Times New Roman"/>
          <w:b/>
          <w:u w:val="single"/>
        </w:rPr>
        <w:t>Women Lawyers</w:t>
      </w:r>
      <w:r w:rsidR="00660F22" w:rsidRPr="00AB69B5">
        <w:rPr>
          <w:rFonts w:ascii="Times New Roman" w:hAnsi="Times New Roman" w:cs="Times New Roman"/>
          <w:b/>
          <w:u w:val="single"/>
        </w:rPr>
        <w:t>?</w:t>
      </w:r>
    </w:p>
    <w:p w14:paraId="3B33AC01" w14:textId="77777777" w:rsidR="00276919" w:rsidRPr="00AB69B5" w:rsidRDefault="00276919" w:rsidP="00AB69B5">
      <w:pPr>
        <w:spacing w:after="0" w:line="480" w:lineRule="auto"/>
        <w:jc w:val="both"/>
        <w:rPr>
          <w:rFonts w:ascii="Times New Roman" w:hAnsi="Times New Roman" w:cs="Times New Roman"/>
          <w:u w:val="single"/>
        </w:rPr>
      </w:pPr>
    </w:p>
    <w:p w14:paraId="485A68A5" w14:textId="518EB6EA" w:rsidR="00C60EB2" w:rsidRPr="00AB69B5" w:rsidRDefault="00C60EB2" w:rsidP="00AB69B5">
      <w:pPr>
        <w:spacing w:after="0" w:line="480" w:lineRule="auto"/>
        <w:ind w:left="720"/>
        <w:jc w:val="both"/>
        <w:rPr>
          <w:rFonts w:ascii="Times New Roman" w:hAnsi="Times New Roman" w:cs="Times New Roman"/>
        </w:rPr>
      </w:pPr>
      <w:r w:rsidRPr="00AB69B5">
        <w:rPr>
          <w:rFonts w:ascii="Times New Roman" w:hAnsi="Times New Roman" w:cs="Times New Roman"/>
        </w:rPr>
        <w:t xml:space="preserve">What is acceptable, what is possible, what is imagined and attempted often differ. Women may be seen as eccentric rather than exceptional, and the world she is perceived to live in and be destined for may be markedly different, especially in earlier times…. Feminism … here reveals not only issues about gender and culture but an area of </w:t>
      </w:r>
      <w:r w:rsidRPr="00AB69B5">
        <w:rPr>
          <w:rFonts w:ascii="Times New Roman" w:hAnsi="Times New Roman" w:cs="Times New Roman"/>
          <w:i/>
        </w:rPr>
        <w:t>men’s and women’s lives</w:t>
      </w:r>
      <w:r w:rsidRPr="00AB69B5">
        <w:rPr>
          <w:rFonts w:ascii="Times New Roman" w:hAnsi="Times New Roman" w:cs="Times New Roman"/>
        </w:rPr>
        <w:t xml:space="preserve"> that is still treated in culturally determined ways.</w:t>
      </w:r>
      <w:r w:rsidR="00D22132" w:rsidRPr="00AB69B5">
        <w:rPr>
          <w:rStyle w:val="FootnoteReference"/>
          <w:rFonts w:ascii="Times New Roman" w:hAnsi="Times New Roman" w:cs="Times New Roman"/>
        </w:rPr>
        <w:footnoteReference w:id="46"/>
      </w:r>
    </w:p>
    <w:p w14:paraId="630883B1" w14:textId="29D0A8CF" w:rsidR="001A23BB" w:rsidRPr="00AB69B5" w:rsidRDefault="00660F22" w:rsidP="00AB69B5">
      <w:pPr>
        <w:spacing w:after="0" w:line="480" w:lineRule="auto"/>
        <w:jc w:val="both"/>
        <w:rPr>
          <w:rFonts w:ascii="Times New Roman" w:hAnsi="Times New Roman" w:cs="Times New Roman"/>
        </w:rPr>
      </w:pPr>
      <w:r w:rsidRPr="00AB69B5">
        <w:rPr>
          <w:rFonts w:ascii="Times New Roman" w:hAnsi="Times New Roman" w:cs="Times New Roman"/>
        </w:rPr>
        <w:t xml:space="preserve">Recent scholarship about early women lawyers has carefully reconstructed </w:t>
      </w:r>
      <w:r w:rsidR="00480ED8" w:rsidRPr="00AB69B5">
        <w:rPr>
          <w:rFonts w:ascii="Times New Roman" w:hAnsi="Times New Roman" w:cs="Times New Roman"/>
        </w:rPr>
        <w:t xml:space="preserve">how they achieved </w:t>
      </w:r>
      <w:r w:rsidRPr="00AB69B5">
        <w:rPr>
          <w:rFonts w:ascii="Times New Roman" w:hAnsi="Times New Roman" w:cs="Times New Roman"/>
        </w:rPr>
        <w:t>their historical precedents</w:t>
      </w:r>
      <w:r w:rsidR="005C2B46" w:rsidRPr="00AB69B5">
        <w:rPr>
          <w:rFonts w:ascii="Times New Roman" w:hAnsi="Times New Roman" w:cs="Times New Roman"/>
        </w:rPr>
        <w:t>,</w:t>
      </w:r>
      <w:r w:rsidRPr="00AB69B5">
        <w:rPr>
          <w:rFonts w:ascii="Times New Roman" w:hAnsi="Times New Roman" w:cs="Times New Roman"/>
        </w:rPr>
        <w:t xml:space="preserve"> a</w:t>
      </w:r>
      <w:r w:rsidR="00480ED8" w:rsidRPr="00AB69B5">
        <w:rPr>
          <w:rFonts w:ascii="Times New Roman" w:hAnsi="Times New Roman" w:cs="Times New Roman"/>
        </w:rPr>
        <w:t>s well as the</w:t>
      </w:r>
      <w:r w:rsidRPr="00AB69B5">
        <w:rPr>
          <w:rFonts w:ascii="Times New Roman" w:hAnsi="Times New Roman" w:cs="Times New Roman"/>
        </w:rPr>
        <w:t xml:space="preserve"> biographical patterns</w:t>
      </w:r>
      <w:r w:rsidR="00480ED8" w:rsidRPr="00AB69B5">
        <w:rPr>
          <w:rFonts w:ascii="Times New Roman" w:hAnsi="Times New Roman" w:cs="Times New Roman"/>
        </w:rPr>
        <w:t xml:space="preserve"> of their lives that made such achievements </w:t>
      </w:r>
      <w:r w:rsidR="00480ED8" w:rsidRPr="00AB69B5">
        <w:rPr>
          <w:rFonts w:ascii="Times New Roman" w:hAnsi="Times New Roman" w:cs="Times New Roman"/>
        </w:rPr>
        <w:lastRenderedPageBreak/>
        <w:t>possible</w:t>
      </w:r>
      <w:r w:rsidRPr="00AB69B5">
        <w:rPr>
          <w:rFonts w:ascii="Times New Roman" w:hAnsi="Times New Roman" w:cs="Times New Roman"/>
        </w:rPr>
        <w:t xml:space="preserve">. </w:t>
      </w:r>
      <w:r w:rsidR="00AC24E6" w:rsidRPr="00AB69B5">
        <w:rPr>
          <w:rFonts w:ascii="Times New Roman" w:hAnsi="Times New Roman" w:cs="Times New Roman"/>
        </w:rPr>
        <w:t>As a result, s</w:t>
      </w:r>
      <w:r w:rsidRPr="00AB69B5">
        <w:rPr>
          <w:rFonts w:ascii="Times New Roman" w:hAnsi="Times New Roman" w:cs="Times New Roman"/>
        </w:rPr>
        <w:t>ome of these women lawyer pioneers, whose lives and accomplishments were ‘hidden from history’ are no longer invisible</w:t>
      </w:r>
      <w:r w:rsidR="00AC24E6" w:rsidRPr="00AB69B5">
        <w:rPr>
          <w:rFonts w:ascii="Times New Roman" w:hAnsi="Times New Roman" w:cs="Times New Roman"/>
        </w:rPr>
        <w:t xml:space="preserve">. At the same time, however, what we know about most of them is </w:t>
      </w:r>
      <w:r w:rsidR="00A24C65" w:rsidRPr="00AB69B5">
        <w:rPr>
          <w:rFonts w:ascii="Times New Roman" w:hAnsi="Times New Roman" w:cs="Times New Roman"/>
        </w:rPr>
        <w:t xml:space="preserve">often </w:t>
      </w:r>
      <w:r w:rsidR="00AC24E6" w:rsidRPr="00AB69B5">
        <w:rPr>
          <w:rFonts w:ascii="Times New Roman" w:hAnsi="Times New Roman" w:cs="Times New Roman"/>
        </w:rPr>
        <w:t>based on public record</w:t>
      </w:r>
      <w:r w:rsidR="00A24C65" w:rsidRPr="00AB69B5">
        <w:rPr>
          <w:rFonts w:ascii="Times New Roman" w:hAnsi="Times New Roman" w:cs="Times New Roman"/>
        </w:rPr>
        <w:t>s</w:t>
      </w:r>
      <w:r w:rsidR="005C2B46" w:rsidRPr="00AB69B5">
        <w:rPr>
          <w:rFonts w:ascii="Times New Roman" w:hAnsi="Times New Roman" w:cs="Times New Roman"/>
        </w:rPr>
        <w:t>,</w:t>
      </w:r>
      <w:r w:rsidR="00AC24E6" w:rsidRPr="00AB69B5">
        <w:rPr>
          <w:rFonts w:ascii="Times New Roman" w:hAnsi="Times New Roman" w:cs="Times New Roman"/>
        </w:rPr>
        <w:t xml:space="preserve"> record</w:t>
      </w:r>
      <w:r w:rsidR="00A24C65" w:rsidRPr="00AB69B5">
        <w:rPr>
          <w:rFonts w:ascii="Times New Roman" w:hAnsi="Times New Roman" w:cs="Times New Roman"/>
        </w:rPr>
        <w:t>s</w:t>
      </w:r>
      <w:r w:rsidR="00AC24E6" w:rsidRPr="00AB69B5">
        <w:rPr>
          <w:rFonts w:ascii="Times New Roman" w:hAnsi="Times New Roman" w:cs="Times New Roman"/>
        </w:rPr>
        <w:t xml:space="preserve"> </w:t>
      </w:r>
      <w:r w:rsidR="005C2B46" w:rsidRPr="00AB69B5">
        <w:rPr>
          <w:rFonts w:ascii="Times New Roman" w:hAnsi="Times New Roman" w:cs="Times New Roman"/>
        </w:rPr>
        <w:t>which</w:t>
      </w:r>
      <w:r w:rsidR="00AC24E6" w:rsidRPr="00AB69B5">
        <w:rPr>
          <w:rFonts w:ascii="Times New Roman" w:hAnsi="Times New Roman" w:cs="Times New Roman"/>
        </w:rPr>
        <w:t xml:space="preserve"> </w:t>
      </w:r>
      <w:r w:rsidR="00A24C65" w:rsidRPr="00AB69B5">
        <w:rPr>
          <w:rFonts w:ascii="Times New Roman" w:hAnsi="Times New Roman" w:cs="Times New Roman"/>
        </w:rPr>
        <w:t>may have been influenced by women lawyers’ concerns to reflect the</w:t>
      </w:r>
      <w:r w:rsidR="00AC24E6" w:rsidRPr="00AB69B5">
        <w:rPr>
          <w:rFonts w:ascii="Times New Roman" w:hAnsi="Times New Roman" w:cs="Times New Roman"/>
        </w:rPr>
        <w:t xml:space="preserve"> prevailing ideology of legal professionalism</w:t>
      </w:r>
      <w:r w:rsidR="00A24C65" w:rsidRPr="00AB69B5">
        <w:rPr>
          <w:rFonts w:ascii="Times New Roman" w:hAnsi="Times New Roman" w:cs="Times New Roman"/>
        </w:rPr>
        <w:t xml:space="preserve"> by emphasizing their equality and </w:t>
      </w:r>
      <w:r w:rsidR="00480ED8" w:rsidRPr="00AB69B5">
        <w:rPr>
          <w:rFonts w:ascii="Times New Roman" w:hAnsi="Times New Roman" w:cs="Times New Roman"/>
        </w:rPr>
        <w:t xml:space="preserve">neutrality in order to gain </w:t>
      </w:r>
      <w:r w:rsidR="00A24C65" w:rsidRPr="00AB69B5">
        <w:rPr>
          <w:rFonts w:ascii="Times New Roman" w:hAnsi="Times New Roman" w:cs="Times New Roman"/>
        </w:rPr>
        <w:t>acceptance. A</w:t>
      </w:r>
      <w:r w:rsidR="00480ED8" w:rsidRPr="00AB69B5">
        <w:rPr>
          <w:rFonts w:ascii="Times New Roman" w:hAnsi="Times New Roman" w:cs="Times New Roman"/>
        </w:rPr>
        <w:t xml:space="preserve">t the same time, there are so many comments in </w:t>
      </w:r>
      <w:r w:rsidR="00A24C65" w:rsidRPr="00AB69B5">
        <w:rPr>
          <w:rFonts w:ascii="Times New Roman" w:hAnsi="Times New Roman" w:cs="Times New Roman"/>
        </w:rPr>
        <w:t xml:space="preserve">the press </w:t>
      </w:r>
      <w:r w:rsidR="00480ED8" w:rsidRPr="00AB69B5">
        <w:rPr>
          <w:rFonts w:ascii="Times New Roman" w:hAnsi="Times New Roman" w:cs="Times New Roman"/>
        </w:rPr>
        <w:t xml:space="preserve">about </w:t>
      </w:r>
      <w:r w:rsidR="005C2B46" w:rsidRPr="00AB69B5">
        <w:rPr>
          <w:rFonts w:ascii="Times New Roman" w:hAnsi="Times New Roman" w:cs="Times New Roman"/>
        </w:rPr>
        <w:t xml:space="preserve">early </w:t>
      </w:r>
      <w:r w:rsidR="00480ED8" w:rsidRPr="00AB69B5">
        <w:rPr>
          <w:rFonts w:ascii="Times New Roman" w:hAnsi="Times New Roman" w:cs="Times New Roman"/>
        </w:rPr>
        <w:t xml:space="preserve">women lawyers </w:t>
      </w:r>
      <w:r w:rsidR="00480ED8" w:rsidRPr="00AB69B5">
        <w:rPr>
          <w:rFonts w:ascii="Times New Roman" w:hAnsi="Times New Roman" w:cs="Times New Roman"/>
          <w:i/>
        </w:rPr>
        <w:t>as</w:t>
      </w:r>
      <w:r w:rsidR="00480ED8" w:rsidRPr="00AB69B5">
        <w:rPr>
          <w:rFonts w:ascii="Times New Roman" w:hAnsi="Times New Roman" w:cs="Times New Roman"/>
        </w:rPr>
        <w:t xml:space="preserve"> </w:t>
      </w:r>
      <w:r w:rsidR="00480ED8" w:rsidRPr="00AB69B5">
        <w:rPr>
          <w:rFonts w:ascii="Times New Roman" w:hAnsi="Times New Roman" w:cs="Times New Roman"/>
          <w:i/>
        </w:rPr>
        <w:t>women</w:t>
      </w:r>
      <w:r w:rsidR="005C2B46" w:rsidRPr="00AB69B5">
        <w:rPr>
          <w:rFonts w:ascii="Times New Roman" w:hAnsi="Times New Roman" w:cs="Times New Roman"/>
        </w:rPr>
        <w:t xml:space="preserve">, including </w:t>
      </w:r>
      <w:r w:rsidR="00480ED8" w:rsidRPr="00AB69B5">
        <w:rPr>
          <w:rFonts w:ascii="Times New Roman" w:hAnsi="Times New Roman" w:cs="Times New Roman"/>
        </w:rPr>
        <w:t>expectations about their femininity, their appearance and their dress</w:t>
      </w:r>
      <w:r w:rsidR="005C2B46" w:rsidRPr="00AB69B5">
        <w:rPr>
          <w:rFonts w:ascii="Times New Roman" w:hAnsi="Times New Roman" w:cs="Times New Roman"/>
        </w:rPr>
        <w:t>,</w:t>
      </w:r>
      <w:r w:rsidR="00480ED8" w:rsidRPr="00AB69B5">
        <w:rPr>
          <w:rFonts w:ascii="Times New Roman" w:hAnsi="Times New Roman" w:cs="Times New Roman"/>
        </w:rPr>
        <w:t xml:space="preserve"> that </w:t>
      </w:r>
      <w:r w:rsidR="005C2B46" w:rsidRPr="00AB69B5">
        <w:rPr>
          <w:rFonts w:ascii="Times New Roman" w:hAnsi="Times New Roman" w:cs="Times New Roman"/>
        </w:rPr>
        <w:t>these women</w:t>
      </w:r>
      <w:r w:rsidR="0070088F" w:rsidRPr="00AB69B5">
        <w:rPr>
          <w:rFonts w:ascii="Times New Roman" w:hAnsi="Times New Roman" w:cs="Times New Roman"/>
        </w:rPr>
        <w:t xml:space="preserve"> must have been continually reminded </w:t>
      </w:r>
      <w:r w:rsidR="005C2B46" w:rsidRPr="00AB69B5">
        <w:rPr>
          <w:rFonts w:ascii="Times New Roman" w:hAnsi="Times New Roman" w:cs="Times New Roman"/>
        </w:rPr>
        <w:t xml:space="preserve">about </w:t>
      </w:r>
      <w:r w:rsidR="0070088F" w:rsidRPr="00AB69B5">
        <w:rPr>
          <w:rFonts w:ascii="Times New Roman" w:hAnsi="Times New Roman" w:cs="Times New Roman"/>
        </w:rPr>
        <w:t>their gender</w:t>
      </w:r>
      <w:r w:rsidR="005C2B46" w:rsidRPr="00AB69B5">
        <w:rPr>
          <w:rFonts w:ascii="Times New Roman" w:hAnsi="Times New Roman" w:cs="Times New Roman"/>
        </w:rPr>
        <w:t>; and most of the time, women lawyers made no public objection to these comments</w:t>
      </w:r>
      <w:r w:rsidR="0070088F" w:rsidRPr="00AB69B5">
        <w:rPr>
          <w:rFonts w:ascii="Times New Roman" w:hAnsi="Times New Roman" w:cs="Times New Roman"/>
        </w:rPr>
        <w:t>.</w:t>
      </w:r>
      <w:r w:rsidR="00D22132" w:rsidRPr="00AB69B5">
        <w:rPr>
          <w:rStyle w:val="FootnoteReference"/>
          <w:rFonts w:ascii="Times New Roman" w:hAnsi="Times New Roman" w:cs="Times New Roman"/>
        </w:rPr>
        <w:footnoteReference w:id="47"/>
      </w:r>
      <w:r w:rsidR="0070088F" w:rsidRPr="00AB69B5">
        <w:rPr>
          <w:rFonts w:ascii="Times New Roman" w:hAnsi="Times New Roman" w:cs="Times New Roman"/>
        </w:rPr>
        <w:t xml:space="preserve"> What is much less visible is</w:t>
      </w:r>
      <w:r w:rsidR="00A24C65" w:rsidRPr="00AB69B5">
        <w:rPr>
          <w:rFonts w:ascii="Times New Roman" w:hAnsi="Times New Roman" w:cs="Times New Roman"/>
        </w:rPr>
        <w:t xml:space="preserve"> </w:t>
      </w:r>
      <w:r w:rsidR="0070088F" w:rsidRPr="00AB69B5">
        <w:rPr>
          <w:rFonts w:ascii="Times New Roman" w:hAnsi="Times New Roman" w:cs="Times New Roman"/>
        </w:rPr>
        <w:t>how</w:t>
      </w:r>
      <w:r w:rsidR="001A23BB" w:rsidRPr="00AB69B5">
        <w:rPr>
          <w:rFonts w:ascii="Times New Roman" w:hAnsi="Times New Roman" w:cs="Times New Roman"/>
        </w:rPr>
        <w:t xml:space="preserve"> early women lawyers responded </w:t>
      </w:r>
      <w:r w:rsidR="005C2B46" w:rsidRPr="00AB69B5">
        <w:rPr>
          <w:rFonts w:ascii="Times New Roman" w:hAnsi="Times New Roman" w:cs="Times New Roman"/>
        </w:rPr>
        <w:t xml:space="preserve">more </w:t>
      </w:r>
      <w:r w:rsidR="001A23BB" w:rsidRPr="00AB69B5">
        <w:rPr>
          <w:rFonts w:ascii="Times New Roman" w:hAnsi="Times New Roman" w:cs="Times New Roman"/>
        </w:rPr>
        <w:t xml:space="preserve">privately to the tensions between their gender and legal professionalism. </w:t>
      </w:r>
      <w:r w:rsidR="0070088F" w:rsidRPr="00AB69B5">
        <w:rPr>
          <w:rFonts w:ascii="Times New Roman" w:hAnsi="Times New Roman" w:cs="Times New Roman"/>
        </w:rPr>
        <w:t xml:space="preserve">In this context, Michael Grossberg’s conclusion about early women lawyers </w:t>
      </w:r>
      <w:r w:rsidR="005C2B46" w:rsidRPr="00AB69B5">
        <w:rPr>
          <w:rFonts w:ascii="Times New Roman" w:hAnsi="Times New Roman" w:cs="Times New Roman"/>
        </w:rPr>
        <w:t xml:space="preserve">may be significant: </w:t>
      </w:r>
      <w:r w:rsidR="0070088F" w:rsidRPr="00AB69B5">
        <w:rPr>
          <w:rFonts w:ascii="Times New Roman" w:hAnsi="Times New Roman" w:cs="Times New Roman"/>
        </w:rPr>
        <w:t>as he stated, in relation to 19</w:t>
      </w:r>
      <w:r w:rsidR="0070088F" w:rsidRPr="00AB69B5">
        <w:rPr>
          <w:rFonts w:ascii="Times New Roman" w:hAnsi="Times New Roman" w:cs="Times New Roman"/>
          <w:vertAlign w:val="superscript"/>
        </w:rPr>
        <w:t>th</w:t>
      </w:r>
      <w:r w:rsidR="0070088F" w:rsidRPr="00AB69B5">
        <w:rPr>
          <w:rFonts w:ascii="Times New Roman" w:hAnsi="Times New Roman" w:cs="Times New Roman"/>
        </w:rPr>
        <w:t xml:space="preserve"> century women lawyers in the United States, ‘</w:t>
      </w:r>
      <w:r w:rsidR="0070088F" w:rsidRPr="00AB69B5">
        <w:rPr>
          <w:rFonts w:ascii="Times New Roman" w:hAnsi="Times New Roman" w:cs="Times New Roman"/>
          <w:i/>
        </w:rPr>
        <w:t>women</w:t>
      </w:r>
      <w:r w:rsidR="0070088F" w:rsidRPr="00AB69B5">
        <w:rPr>
          <w:rFonts w:ascii="Times New Roman" w:hAnsi="Times New Roman" w:cs="Times New Roman"/>
        </w:rPr>
        <w:t xml:space="preserve"> succeeded in becoming lawyers, but they never effectively challenged the </w:t>
      </w:r>
      <w:r w:rsidR="0070088F" w:rsidRPr="00AB69B5">
        <w:rPr>
          <w:rFonts w:ascii="Times New Roman" w:hAnsi="Times New Roman" w:cs="Times New Roman"/>
          <w:i/>
        </w:rPr>
        <w:t>gender</w:t>
      </w:r>
      <w:r w:rsidR="0070088F" w:rsidRPr="00AB69B5">
        <w:rPr>
          <w:rFonts w:ascii="Times New Roman" w:hAnsi="Times New Roman" w:cs="Times New Roman"/>
        </w:rPr>
        <w:t xml:space="preserve"> premises of law and the legal professions.’</w:t>
      </w:r>
      <w:r w:rsidR="00D22132" w:rsidRPr="00AB69B5">
        <w:rPr>
          <w:rStyle w:val="FootnoteReference"/>
          <w:rFonts w:ascii="Times New Roman" w:hAnsi="Times New Roman" w:cs="Times New Roman"/>
        </w:rPr>
        <w:footnoteReference w:id="48"/>
      </w:r>
    </w:p>
    <w:p w14:paraId="177294E3" w14:textId="06904049" w:rsidR="0070088F" w:rsidRPr="00AB69B5" w:rsidRDefault="0070088F" w:rsidP="00AB69B5">
      <w:pPr>
        <w:spacing w:after="0" w:line="480" w:lineRule="auto"/>
        <w:ind w:firstLine="720"/>
        <w:jc w:val="both"/>
        <w:rPr>
          <w:rFonts w:ascii="Times New Roman" w:hAnsi="Times New Roman" w:cs="Times New Roman"/>
        </w:rPr>
      </w:pPr>
      <w:r w:rsidRPr="00AB69B5">
        <w:rPr>
          <w:rFonts w:ascii="Times New Roman" w:hAnsi="Times New Roman" w:cs="Times New Roman"/>
        </w:rPr>
        <w:t xml:space="preserve">In </w:t>
      </w:r>
      <w:r w:rsidR="006475C9" w:rsidRPr="00AB69B5">
        <w:rPr>
          <w:rFonts w:ascii="Times New Roman" w:hAnsi="Times New Roman" w:cs="Times New Roman"/>
        </w:rPr>
        <w:t xml:space="preserve">this context, it may also be important to ask whether </w:t>
      </w:r>
      <w:r w:rsidRPr="00AB69B5">
        <w:rPr>
          <w:rFonts w:ascii="Times New Roman" w:hAnsi="Times New Roman" w:cs="Times New Roman"/>
        </w:rPr>
        <w:t xml:space="preserve">feminism </w:t>
      </w:r>
      <w:r w:rsidR="006475C9" w:rsidRPr="00AB69B5">
        <w:rPr>
          <w:rFonts w:ascii="Times New Roman" w:hAnsi="Times New Roman" w:cs="Times New Roman"/>
        </w:rPr>
        <w:t xml:space="preserve">is </w:t>
      </w:r>
      <w:r w:rsidRPr="00AB69B5">
        <w:rPr>
          <w:rFonts w:ascii="Times New Roman" w:hAnsi="Times New Roman" w:cs="Times New Roman"/>
        </w:rPr>
        <w:t>significant to assessing the first women lawyers? For example, how might feminist insights about gendered social roles assist us to better interpret their ‘choices’ to accept merely formal equality as members of the legal professions, even as they continued to experience unequal treatment? How do feminist critiques help to reveal the significance of their ‘silences’ about experiences of discrimination? Are feminist approaches useful in connecting exclusionary practices for the first women lawyers to the experiences of modern women lawyers?</w:t>
      </w:r>
      <w:r w:rsidR="006475C9" w:rsidRPr="00AB69B5">
        <w:rPr>
          <w:rStyle w:val="FootnoteReference"/>
          <w:rFonts w:ascii="Times New Roman" w:hAnsi="Times New Roman" w:cs="Times New Roman"/>
        </w:rPr>
        <w:footnoteReference w:id="49"/>
      </w:r>
      <w:r w:rsidRPr="00AB69B5">
        <w:rPr>
          <w:rFonts w:ascii="Times New Roman" w:hAnsi="Times New Roman" w:cs="Times New Roman"/>
        </w:rPr>
        <w:t xml:space="preserve"> </w:t>
      </w:r>
      <w:r w:rsidR="006475C9" w:rsidRPr="00AB69B5">
        <w:rPr>
          <w:rFonts w:ascii="Times New Roman" w:hAnsi="Times New Roman" w:cs="Times New Roman"/>
        </w:rPr>
        <w:t xml:space="preserve">Certainly, it seems clear that, </w:t>
      </w:r>
      <w:r w:rsidRPr="00AB69B5">
        <w:rPr>
          <w:rFonts w:ascii="Times New Roman" w:hAnsi="Times New Roman" w:cs="Times New Roman"/>
        </w:rPr>
        <w:t xml:space="preserve">in spite of increasing numerical equality in the legal professions, exclusionary practices (which are often still invisible) continue to exist, and elite networks still tend to </w:t>
      </w:r>
      <w:r w:rsidRPr="00AB69B5">
        <w:rPr>
          <w:rFonts w:ascii="Times New Roman" w:hAnsi="Times New Roman" w:cs="Times New Roman"/>
        </w:rPr>
        <w:lastRenderedPageBreak/>
        <w:t>advance men’s legal careers more often than women’s.</w:t>
      </w:r>
      <w:r w:rsidR="00F92842" w:rsidRPr="00AB69B5">
        <w:rPr>
          <w:rStyle w:val="FootnoteReference"/>
          <w:rFonts w:ascii="Times New Roman" w:hAnsi="Times New Roman" w:cs="Times New Roman"/>
        </w:rPr>
        <w:footnoteReference w:id="50"/>
      </w:r>
      <w:r w:rsidRPr="00AB69B5">
        <w:rPr>
          <w:rFonts w:ascii="Times New Roman" w:hAnsi="Times New Roman" w:cs="Times New Roman"/>
        </w:rPr>
        <w:t xml:space="preserve"> As Hilary Sommerlad and Peter Sanderson pointedly concluded in relation to the culture of legal practice, ‘masculinity per se remains </w:t>
      </w:r>
      <w:r w:rsidRPr="00AB69B5">
        <w:rPr>
          <w:rFonts w:ascii="Times New Roman" w:hAnsi="Times New Roman" w:cs="Times New Roman"/>
          <w:i/>
        </w:rPr>
        <w:t>the</w:t>
      </w:r>
      <w:r w:rsidRPr="00AB69B5">
        <w:rPr>
          <w:rFonts w:ascii="Times New Roman" w:hAnsi="Times New Roman" w:cs="Times New Roman"/>
        </w:rPr>
        <w:t xml:space="preserve"> core cultural capital of the profession.’</w:t>
      </w:r>
      <w:r w:rsidR="00F92842" w:rsidRPr="00AB69B5">
        <w:rPr>
          <w:rStyle w:val="FootnoteReference"/>
          <w:rFonts w:ascii="Times New Roman" w:hAnsi="Times New Roman" w:cs="Times New Roman"/>
        </w:rPr>
        <w:footnoteReference w:id="51"/>
      </w:r>
      <w:r w:rsidRPr="00AB69B5">
        <w:rPr>
          <w:rFonts w:ascii="Times New Roman" w:hAnsi="Times New Roman" w:cs="Times New Roman"/>
        </w:rPr>
        <w:t xml:space="preserve"> These are large questions</w:t>
      </w:r>
      <w:r w:rsidR="00F92842" w:rsidRPr="00AB69B5">
        <w:rPr>
          <w:rFonts w:ascii="Times New Roman" w:hAnsi="Times New Roman" w:cs="Times New Roman"/>
        </w:rPr>
        <w:t xml:space="preserve">, but we need to </w:t>
      </w:r>
      <w:r w:rsidRPr="00AB69B5">
        <w:rPr>
          <w:rFonts w:ascii="Times New Roman" w:hAnsi="Times New Roman" w:cs="Times New Roman"/>
        </w:rPr>
        <w:t xml:space="preserve">grapple with these and other issues about </w:t>
      </w:r>
      <w:r w:rsidR="008E0F3F" w:rsidRPr="00AB69B5">
        <w:rPr>
          <w:rFonts w:ascii="Times New Roman" w:hAnsi="Times New Roman" w:cs="Times New Roman"/>
        </w:rPr>
        <w:t xml:space="preserve">the history of </w:t>
      </w:r>
      <w:r w:rsidRPr="00AB69B5">
        <w:rPr>
          <w:rFonts w:ascii="Times New Roman" w:hAnsi="Times New Roman" w:cs="Times New Roman"/>
        </w:rPr>
        <w:t>women</w:t>
      </w:r>
      <w:r w:rsidR="00E40CCE" w:rsidRPr="00AB69B5">
        <w:rPr>
          <w:rFonts w:ascii="Times New Roman" w:hAnsi="Times New Roman" w:cs="Times New Roman"/>
        </w:rPr>
        <w:t xml:space="preserve"> members of the legal professions. </w:t>
      </w:r>
      <w:r w:rsidR="006935BC" w:rsidRPr="00AB69B5">
        <w:rPr>
          <w:rFonts w:ascii="Times New Roman" w:hAnsi="Times New Roman" w:cs="Times New Roman"/>
        </w:rPr>
        <w:t>As</w:t>
      </w:r>
      <w:r w:rsidR="00E40CCE" w:rsidRPr="00AB69B5">
        <w:rPr>
          <w:rFonts w:ascii="Times New Roman" w:hAnsi="Times New Roman" w:cs="Times New Roman"/>
        </w:rPr>
        <w:t xml:space="preserve"> I concluded in my 2006 study, the experiences of the first women lawyers ‘arguably remain </w:t>
      </w:r>
      <w:r w:rsidR="00F92842" w:rsidRPr="00AB69B5">
        <w:rPr>
          <w:rFonts w:ascii="Times New Roman" w:hAnsi="Times New Roman" w:cs="Times New Roman"/>
        </w:rPr>
        <w:t xml:space="preserve">‘profoundly significant for contemporary women lawyers’ and for legal professionalism </w:t>
      </w:r>
      <w:r w:rsidR="00E40CCE" w:rsidRPr="00AB69B5">
        <w:rPr>
          <w:rFonts w:ascii="Times New Roman" w:hAnsi="Times New Roman" w:cs="Times New Roman"/>
        </w:rPr>
        <w:t>in the 21</w:t>
      </w:r>
      <w:r w:rsidR="00E40CCE" w:rsidRPr="00AB69B5">
        <w:rPr>
          <w:rFonts w:ascii="Times New Roman" w:hAnsi="Times New Roman" w:cs="Times New Roman"/>
          <w:vertAlign w:val="superscript"/>
        </w:rPr>
        <w:t>st</w:t>
      </w:r>
      <w:r w:rsidR="00E40CCE" w:rsidRPr="00AB69B5">
        <w:rPr>
          <w:rFonts w:ascii="Times New Roman" w:hAnsi="Times New Roman" w:cs="Times New Roman"/>
        </w:rPr>
        <w:t xml:space="preserve"> century.’</w:t>
      </w:r>
      <w:r w:rsidR="00F92842" w:rsidRPr="00AB69B5">
        <w:rPr>
          <w:rStyle w:val="FootnoteReference"/>
          <w:rFonts w:ascii="Times New Roman" w:hAnsi="Times New Roman" w:cs="Times New Roman"/>
        </w:rPr>
        <w:footnoteReference w:id="52"/>
      </w:r>
    </w:p>
    <w:p w14:paraId="58B10DD8" w14:textId="77777777" w:rsidR="001A23BB" w:rsidRPr="00AB69B5" w:rsidRDefault="001A23BB" w:rsidP="00AB69B5">
      <w:pPr>
        <w:spacing w:after="0" w:line="480" w:lineRule="auto"/>
        <w:jc w:val="both"/>
        <w:rPr>
          <w:rFonts w:ascii="Times New Roman" w:hAnsi="Times New Roman" w:cs="Times New Roman"/>
        </w:rPr>
      </w:pPr>
    </w:p>
    <w:p w14:paraId="0143B583" w14:textId="52E4068E"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br w:type="page"/>
      </w:r>
    </w:p>
    <w:p w14:paraId="0C5EAC94" w14:textId="0D20EB61" w:rsidR="000A3232" w:rsidRPr="00F20CED" w:rsidRDefault="000A3232" w:rsidP="0008318F">
      <w:pPr>
        <w:spacing w:line="480" w:lineRule="auto"/>
        <w:jc w:val="center"/>
        <w:rPr>
          <w:rFonts w:ascii="Times New Roman" w:hAnsi="Times New Roman" w:cs="Times New Roman"/>
          <w:b/>
          <w:sz w:val="28"/>
          <w:szCs w:val="28"/>
        </w:rPr>
      </w:pPr>
      <w:r w:rsidRPr="00F20CED">
        <w:rPr>
          <w:rFonts w:ascii="Times New Roman" w:hAnsi="Times New Roman" w:cs="Times New Roman"/>
          <w:b/>
          <w:sz w:val="28"/>
          <w:szCs w:val="28"/>
        </w:rPr>
        <w:lastRenderedPageBreak/>
        <w:t xml:space="preserve">Women and the Professions in </w:t>
      </w:r>
      <w:r w:rsidR="0008318F" w:rsidRPr="00F20CED">
        <w:rPr>
          <w:rFonts w:ascii="Times New Roman" w:hAnsi="Times New Roman" w:cs="Times New Roman"/>
          <w:b/>
          <w:sz w:val="28"/>
          <w:szCs w:val="28"/>
        </w:rPr>
        <w:t>Early Twentieth Century Britain</w:t>
      </w:r>
    </w:p>
    <w:p w14:paraId="2944E731" w14:textId="7D39303D" w:rsidR="0008318F" w:rsidRPr="00AB69B5" w:rsidRDefault="0008318F" w:rsidP="0008318F">
      <w:pPr>
        <w:spacing w:line="480" w:lineRule="auto"/>
        <w:rPr>
          <w:rFonts w:ascii="Times New Roman" w:hAnsi="Times New Roman" w:cs="Times New Roman"/>
          <w:b/>
        </w:rPr>
      </w:pPr>
      <w:r>
        <w:rPr>
          <w:rFonts w:ascii="Times New Roman" w:hAnsi="Times New Roman" w:cs="Times New Roman"/>
          <w:b/>
        </w:rPr>
        <w:t>Professor Pat Thane, Institute of Contemporary British History, King’s College London</w:t>
      </w:r>
    </w:p>
    <w:p w14:paraId="270F6E2D" w14:textId="66FED502"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This paper is designed to briefly survey the background to the entry of women to the legal profession in Britain in 1919 and their experiences in the early years.</w:t>
      </w:r>
    </w:p>
    <w:p w14:paraId="160287F8" w14:textId="193A309C"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By the early nineteenth century women had always been excluded from the professions in Britain. From the middle of the century some of them began to demand access to equal education with males as both desirable in itself and the route to independent careers. Secondary education for girls- private high schools providing high quality education potentially fitting them for access to university or other further training - expanded through the second half of the century and access to universities slowly expanded also, initially in female-only institutions. In the 1840s two university colleges were founded for women in London, Bedford and Westfield Colleges</w:t>
      </w:r>
      <w:r w:rsidR="00E5248A">
        <w:rPr>
          <w:rFonts w:ascii="Times New Roman" w:hAnsi="Times New Roman" w:cs="Times New Roman"/>
        </w:rPr>
        <w:t>.</w:t>
      </w:r>
      <w:r w:rsidRPr="00AB69B5">
        <w:rPr>
          <w:rStyle w:val="FootnoteReference"/>
          <w:rFonts w:ascii="Times New Roman" w:hAnsi="Times New Roman" w:cs="Times New Roman"/>
        </w:rPr>
        <w:footnoteReference w:id="53"/>
      </w:r>
      <w:r w:rsidRPr="00AB69B5">
        <w:rPr>
          <w:rFonts w:ascii="Times New Roman" w:hAnsi="Times New Roman" w:cs="Times New Roman"/>
        </w:rPr>
        <w:t xml:space="preserve"> In 1873 the first women’s college was founded in Oxford or Cambridge, Girton College. Emily Davies who founded Girton was very explicit that she believed that females and males should have identical education and career opportunities</w:t>
      </w:r>
      <w:r w:rsidR="00E5248A">
        <w:rPr>
          <w:rFonts w:ascii="Times New Roman" w:hAnsi="Times New Roman" w:cs="Times New Roman"/>
        </w:rPr>
        <w:t>.</w:t>
      </w:r>
      <w:r w:rsidRPr="00AB69B5">
        <w:rPr>
          <w:rStyle w:val="FootnoteReference"/>
          <w:rFonts w:ascii="Times New Roman" w:hAnsi="Times New Roman" w:cs="Times New Roman"/>
        </w:rPr>
        <w:footnoteReference w:id="54"/>
      </w:r>
      <w:r w:rsidR="00E5248A">
        <w:rPr>
          <w:rFonts w:ascii="Times New Roman" w:hAnsi="Times New Roman" w:cs="Times New Roman"/>
        </w:rPr>
        <w:t xml:space="preserve"> </w:t>
      </w:r>
      <w:r w:rsidRPr="00AB69B5">
        <w:rPr>
          <w:rFonts w:ascii="Times New Roman" w:hAnsi="Times New Roman" w:cs="Times New Roman"/>
        </w:rPr>
        <w:t xml:space="preserve"> By 1919 there were two women’s colleges in Cambridge, four in Oxford. Women were allowed to study many subjects, to attend lectures and take exams, but not actually to receive degrees or appointments to academic posts from these august institution, until 1920 in Oxford, in Cambridge not until 1948. Not until the nineteen seventies, following the Sex Discrimination Act, 1975, did Oxbridge colleges begin to be co-educational. In 1878 University College London became the first co-educational institution, admitting women to most of its courses and to degrees, though not to medicine until 1917</w:t>
      </w:r>
      <w:r w:rsidR="00E5248A">
        <w:rPr>
          <w:rFonts w:ascii="Times New Roman" w:hAnsi="Times New Roman" w:cs="Times New Roman"/>
        </w:rPr>
        <w:t>.</w:t>
      </w:r>
      <w:r w:rsidRPr="00AB69B5">
        <w:rPr>
          <w:rStyle w:val="FootnoteReference"/>
          <w:rFonts w:ascii="Times New Roman" w:hAnsi="Times New Roman" w:cs="Times New Roman"/>
        </w:rPr>
        <w:footnoteReference w:id="55"/>
      </w:r>
      <w:r w:rsidRPr="00AB69B5">
        <w:rPr>
          <w:rFonts w:ascii="Times New Roman" w:hAnsi="Times New Roman" w:cs="Times New Roman"/>
        </w:rPr>
        <w:t xml:space="preserve"> Through the remainder of the century more universities were founded and most admitted women, though not always to all courses. By 1900 women </w:t>
      </w:r>
      <w:r w:rsidRPr="00AB69B5">
        <w:rPr>
          <w:rFonts w:ascii="Times New Roman" w:hAnsi="Times New Roman" w:cs="Times New Roman"/>
        </w:rPr>
        <w:lastRenderedPageBreak/>
        <w:t>were 16 per cent of all university students, though they were fewest in the sciences and in professional fields like medicine and law</w:t>
      </w:r>
      <w:r w:rsidR="00E5248A">
        <w:rPr>
          <w:rFonts w:ascii="Times New Roman" w:hAnsi="Times New Roman" w:cs="Times New Roman"/>
        </w:rPr>
        <w:t>.</w:t>
      </w:r>
      <w:r w:rsidRPr="00AB69B5">
        <w:rPr>
          <w:rStyle w:val="FootnoteReference"/>
          <w:rFonts w:ascii="Times New Roman" w:hAnsi="Times New Roman" w:cs="Times New Roman"/>
        </w:rPr>
        <w:footnoteReference w:id="56"/>
      </w:r>
    </w:p>
    <w:p w14:paraId="7A2703D7" w14:textId="6933B5B8"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This expansion of female education was associated with the growth of feminist activism in the nineteenth century and with the growth of a middle class- the two were closely linked. Middle class parents could afford to educate their daughters and they had a certain motivation to do so. Upper class families were much more resistant to educating their daughters, other than in the accomplishments that would fit them for marriage to a suitable husband. They did not want them prepared for occupational independence. Upper class girls were underrepresented in universities, including Oxford and Cambridge until as late as the 1960s and often faced strong family opposition if they wanted to go to university. Many middle class parents however had to face the reality that their daughters might not marry and that, unlike the very rich, they could not provide them with an income if they did not. The reason was that females were a majority of the population, as they had long been and still are. They outlived males at all ages and so could not always marry because there were too few men. The situation was aggravated by the fact that historically in Britain a certain proportion of men never married. This created was what was known in the late nineteenth century as the ‘surplus woman’ problem. It is sometimes thought that this occurred only after World War 1 due to the deaths of young men in the war, but this perpetuated the pre-war ‘surplus’ rather than creating it. However reluctantly, many middle class parents realized that the only solution was to educate their daughters so that, if necessary, they could be self-supporting. It was not always reluctant: some parents willingly educated their daughters</w:t>
      </w:r>
      <w:r w:rsidR="00E5248A">
        <w:rPr>
          <w:rFonts w:ascii="Times New Roman" w:hAnsi="Times New Roman" w:cs="Times New Roman"/>
        </w:rPr>
        <w:t>.</w:t>
      </w:r>
      <w:r w:rsidRPr="00AB69B5">
        <w:rPr>
          <w:rStyle w:val="FootnoteReference"/>
          <w:rFonts w:ascii="Times New Roman" w:hAnsi="Times New Roman" w:cs="Times New Roman"/>
        </w:rPr>
        <w:footnoteReference w:id="57"/>
      </w:r>
    </w:p>
    <w:p w14:paraId="45CB4BA3" w14:textId="36C02638"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They were not always keen, nor could they always afford, to educate them to a level at which  they could compete with men in middle class occupations, so girls were most likely to be educated through </w:t>
      </w:r>
      <w:r w:rsidRPr="00AB69B5">
        <w:rPr>
          <w:rFonts w:ascii="Times New Roman" w:hAnsi="Times New Roman" w:cs="Times New Roman"/>
        </w:rPr>
        <w:lastRenderedPageBreak/>
        <w:t>secondary school but discouraged from going further</w:t>
      </w:r>
      <w:r w:rsidR="00E5248A">
        <w:rPr>
          <w:rFonts w:ascii="Times New Roman" w:hAnsi="Times New Roman" w:cs="Times New Roman"/>
        </w:rPr>
        <w:t>.</w:t>
      </w:r>
      <w:r w:rsidRPr="00AB69B5">
        <w:rPr>
          <w:rStyle w:val="FootnoteReference"/>
          <w:rFonts w:ascii="Times New Roman" w:hAnsi="Times New Roman" w:cs="Times New Roman"/>
        </w:rPr>
        <w:footnoteReference w:id="58"/>
      </w:r>
      <w:r w:rsidRPr="00AB69B5">
        <w:rPr>
          <w:rFonts w:ascii="Times New Roman" w:hAnsi="Times New Roman" w:cs="Times New Roman"/>
        </w:rPr>
        <w:t xml:space="preserve"> If they went into further education it was most often to a specialist teacher training college, which remained the case for females until the nineteen seventies</w:t>
      </w:r>
      <w:r w:rsidR="00E5248A">
        <w:rPr>
          <w:rFonts w:ascii="Times New Roman" w:hAnsi="Times New Roman" w:cs="Times New Roman"/>
        </w:rPr>
        <w:t>.</w:t>
      </w:r>
      <w:r w:rsidRPr="00AB69B5">
        <w:rPr>
          <w:rStyle w:val="FootnoteReference"/>
          <w:rFonts w:ascii="Times New Roman" w:hAnsi="Times New Roman" w:cs="Times New Roman"/>
        </w:rPr>
        <w:footnoteReference w:id="59"/>
      </w:r>
      <w:r w:rsidRPr="00AB69B5">
        <w:rPr>
          <w:rFonts w:ascii="Times New Roman" w:hAnsi="Times New Roman" w:cs="Times New Roman"/>
        </w:rPr>
        <w:t xml:space="preserve"> The labour force at all levels was strictly gender-divided. Teaching - teaching girls- was regarded as the best job for an intelligent woman. Demand expanded as schooling expanded – state education for girls and boys became compulsory from 1880- and schools were gender divided. Even women graduates overwhelmingly entered teaching until the Second World War, often reluctantly because they found it was the only work easily available to them</w:t>
      </w:r>
      <w:r w:rsidR="00E5248A">
        <w:rPr>
          <w:rFonts w:ascii="Times New Roman" w:hAnsi="Times New Roman" w:cs="Times New Roman"/>
        </w:rPr>
        <w:t>.</w:t>
      </w:r>
      <w:r w:rsidRPr="00AB69B5">
        <w:rPr>
          <w:rStyle w:val="FootnoteReference"/>
          <w:rFonts w:ascii="Times New Roman" w:hAnsi="Times New Roman" w:cs="Times New Roman"/>
        </w:rPr>
        <w:footnoteReference w:id="60"/>
      </w:r>
      <w:r w:rsidRPr="00AB69B5">
        <w:rPr>
          <w:rFonts w:ascii="Times New Roman" w:hAnsi="Times New Roman" w:cs="Times New Roman"/>
        </w:rPr>
        <w:t xml:space="preserve"> Lower middle, even working class girls, could also aspire to teach. If they were successful at school, they could then become pupil-teachers, training at school on the job. An example is Helena Normanton, one of the first women barristers, who came from a far from prosperous lower middle class background in Brighton and was encouraged to aspire to a career by her widowed mother, who knew all too well that, even if a woman did marry, if the marriage was ended by death or separation (as many were) she needed to be able to support herself and children. Helena Normanton took the pupil-teacher route, later went to a training college and became a teacher before moving on to further training and to the bar</w:t>
      </w:r>
      <w:r w:rsidR="00E5248A">
        <w:rPr>
          <w:rFonts w:ascii="Times New Roman" w:hAnsi="Times New Roman" w:cs="Times New Roman"/>
        </w:rPr>
        <w:t>.</w:t>
      </w:r>
      <w:r w:rsidRPr="00AB69B5">
        <w:rPr>
          <w:rStyle w:val="FootnoteReference"/>
          <w:rFonts w:ascii="Times New Roman" w:hAnsi="Times New Roman" w:cs="Times New Roman"/>
        </w:rPr>
        <w:footnoteReference w:id="61"/>
      </w:r>
    </w:p>
    <w:p w14:paraId="232181DC" w14:textId="72F88EA9"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In the late nineteenth century more occupations opened to educated women, but the labour market remained gender-divided. As the civil service and the public sector generally, including local government, expanded, along with big business, they needed more white collar workers than men could supply. Also they took advantage of new technology, particularly typewriters and telephones, which it was decided were particularly suited for women’s work, not least because they did not obviously lead on to higher status managerial posts. So women became congregated, and segregated, in lower-status, lower-paid </w:t>
      </w:r>
      <w:r w:rsidRPr="00AB69B5">
        <w:rPr>
          <w:rFonts w:ascii="Times New Roman" w:hAnsi="Times New Roman" w:cs="Times New Roman"/>
        </w:rPr>
        <w:lastRenderedPageBreak/>
        <w:t>white collar work as typists, telephonists, secretaries</w:t>
      </w:r>
      <w:r w:rsidR="00E5248A">
        <w:rPr>
          <w:rFonts w:ascii="Times New Roman" w:hAnsi="Times New Roman" w:cs="Times New Roman"/>
        </w:rPr>
        <w:t>.</w:t>
      </w:r>
      <w:r w:rsidRPr="00AB69B5">
        <w:rPr>
          <w:rStyle w:val="FootnoteReference"/>
          <w:rFonts w:ascii="Times New Roman" w:hAnsi="Times New Roman" w:cs="Times New Roman"/>
        </w:rPr>
        <w:footnoteReference w:id="62"/>
      </w:r>
      <w:r w:rsidRPr="00AB69B5">
        <w:rPr>
          <w:rFonts w:ascii="Times New Roman" w:hAnsi="Times New Roman" w:cs="Times New Roman"/>
        </w:rPr>
        <w:t xml:space="preserve"> Still in 1950s female undergraduates at Cambridge were advised by the careers advisory service, the Appointments </w:t>
      </w:r>
      <w:r w:rsidR="00BF0BDC" w:rsidRPr="00AB69B5">
        <w:rPr>
          <w:rFonts w:ascii="Times New Roman" w:hAnsi="Times New Roman" w:cs="Times New Roman"/>
        </w:rPr>
        <w:t>Board that</w:t>
      </w:r>
      <w:r w:rsidRPr="00AB69B5">
        <w:rPr>
          <w:rFonts w:ascii="Times New Roman" w:hAnsi="Times New Roman" w:cs="Times New Roman"/>
        </w:rPr>
        <w:t xml:space="preserve"> their best career opportunities were in teaching or secretarial work</w:t>
      </w:r>
      <w:r w:rsidR="00E5248A">
        <w:rPr>
          <w:rFonts w:ascii="Times New Roman" w:hAnsi="Times New Roman" w:cs="Times New Roman"/>
        </w:rPr>
        <w:t>.</w:t>
      </w:r>
      <w:r w:rsidRPr="00AB69B5">
        <w:rPr>
          <w:rStyle w:val="FootnoteReference"/>
          <w:rFonts w:ascii="Times New Roman" w:hAnsi="Times New Roman" w:cs="Times New Roman"/>
        </w:rPr>
        <w:footnoteReference w:id="63"/>
      </w:r>
      <w:r w:rsidRPr="00AB69B5">
        <w:rPr>
          <w:rFonts w:ascii="Times New Roman" w:hAnsi="Times New Roman" w:cs="Times New Roman"/>
        </w:rPr>
        <w:t xml:space="preserve"> Women’s advancement in these occupations, including the civil service and teaching, was further constrained by the ‘marriage bar’, the rule that they had to retire on marriage. This was introduced in the late nineteenth century, as soon as women began to enter work in which they could conceivably compete with men for higher status positions. It was greatly extended between the wars and abolished in most occupations during and after World War 2 because there was a shortage of male labour during the war and in the post-war labour market and women, even married women, were needed</w:t>
      </w:r>
      <w:r w:rsidR="00E5248A">
        <w:rPr>
          <w:rFonts w:ascii="Times New Roman" w:hAnsi="Times New Roman" w:cs="Times New Roman"/>
        </w:rPr>
        <w:t>.</w:t>
      </w:r>
      <w:r w:rsidRPr="00AB69B5">
        <w:rPr>
          <w:rStyle w:val="FootnoteReference"/>
          <w:rFonts w:ascii="Times New Roman" w:hAnsi="Times New Roman" w:cs="Times New Roman"/>
        </w:rPr>
        <w:footnoteReference w:id="64"/>
      </w:r>
      <w:r w:rsidRPr="00AB69B5">
        <w:rPr>
          <w:rFonts w:ascii="Times New Roman" w:hAnsi="Times New Roman" w:cs="Times New Roman"/>
        </w:rPr>
        <w:t xml:space="preserve"> The exceptions were banking where the bar lingered until the 1960s and the diplomatic service where it survived until 1973</w:t>
      </w:r>
      <w:r w:rsidR="00E5248A">
        <w:rPr>
          <w:rFonts w:ascii="Times New Roman" w:hAnsi="Times New Roman" w:cs="Times New Roman"/>
        </w:rPr>
        <w:t>.</w:t>
      </w:r>
      <w:r w:rsidRPr="00AB69B5">
        <w:rPr>
          <w:rStyle w:val="FootnoteReference"/>
          <w:rFonts w:ascii="Times New Roman" w:hAnsi="Times New Roman" w:cs="Times New Roman"/>
        </w:rPr>
        <w:footnoteReference w:id="65"/>
      </w:r>
    </w:p>
    <w:p w14:paraId="577FA000" w14:textId="5FCFAACB"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In the later nineteenth century some women began to agitate for wider opportunities and entry to male-only professions, of which the most prominent were medicine, the law and the clergy. The beginnings of wider opportunities but continuing constraints stimulated the feminist movement. Women could not become Anglican clergy until 1994, or bishops until 2014, though they were campaigning for both from the late nineteenth century and were admitted as Baptist Ministers between the wars. They had a hard fight to gain training in medicine. Women interested in medicine were expected to take up nursing, another expanding, respectable, female -only profession in the late nineteenth century. We have seen how University College London, otherwise a pioneer of co-education, did not admit women to its medical school until 1917. Women started campaigning to enter medicine in the 1860s but, though some attended university medical courses, they were not allowed to qualify. Some determined women went abroad to </w:t>
      </w:r>
      <w:r w:rsidRPr="00AB69B5">
        <w:rPr>
          <w:rFonts w:ascii="Times New Roman" w:hAnsi="Times New Roman" w:cs="Times New Roman"/>
        </w:rPr>
        <w:lastRenderedPageBreak/>
        <w:t>more enlightened countries, including Switzerland, qualified and practiced back in Britain. Not until the mid- 1890s was the strong male opposition in medical schools overcome sufficiently for small numbers of women to enter and qualify. Scotland was marginally more receptive than England. In both countries women mainly entered single-sex medical schools founded by women, the Royal Free School of Medicine in London and Queen Margaret’s in Edinburgh. In 1891 there were twenty-five women on the UK medical register, most of them qualified abroad, one thousand by 1914. They faced considerable discrimination in the medical profession and serious opposition to working other than with women patients. Then came World War 1 which created a serious shortage of doctors in Britain since male doctors were urgently needed in the battle-zones. This forced medical schools to open up to women for the duration of the war, but then they were excluded again. There were strict, limited quotas on the numbers of women allowed to enter medical schools which survived until the Sex Discrimination Act, 1975, since when women have become a majority of medical students</w:t>
      </w:r>
      <w:r w:rsidR="00E5248A">
        <w:rPr>
          <w:rFonts w:ascii="Times New Roman" w:hAnsi="Times New Roman" w:cs="Times New Roman"/>
        </w:rPr>
        <w:t>.</w:t>
      </w:r>
      <w:r w:rsidRPr="00AB69B5">
        <w:rPr>
          <w:rStyle w:val="FootnoteReference"/>
          <w:rFonts w:ascii="Times New Roman" w:hAnsi="Times New Roman" w:cs="Times New Roman"/>
        </w:rPr>
        <w:footnoteReference w:id="66"/>
      </w:r>
    </w:p>
    <w:p w14:paraId="5629F9FD" w14:textId="5F40F588"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Women had an even harder and longer battle to enter the legal profession. As universities opened up to women, small numbers of them studied law, but they were not allowed to qualify as lawyers or to practice. At least one woman applied as early as 1879 to sit Law Society examinations but was refused. There were other failed attempts to enter both branches of the profession. In 1903, Bertha Cave appealed to the courts against the refusal of the benchers of Gray’s Inn to admit her as a bar student. She took it to the Court of Appeal but lost. In 1913 four women- Gwynneth Bebb, Karin Costelloe, Maude Ingram and Lucy Nettlefold- took the Law Society to court over its continued obstinacy. They were all graduates, better qualified academically than many men allowed by the Law Society to sit examinations and qualify as articled clerks. Many male solicitors and barristers were not graduates- it was not required and they trained on the job after leaving school. Again the women lost in the Court of Appeal which accepted the Law Society’s invoking of the authority of a medieval treatise, </w:t>
      </w:r>
      <w:r w:rsidRPr="00AB69B5">
        <w:rPr>
          <w:rFonts w:ascii="Times New Roman" w:hAnsi="Times New Roman" w:cs="Times New Roman"/>
          <w:i/>
        </w:rPr>
        <w:t xml:space="preserve">The Mirror of Justices, </w:t>
      </w:r>
      <w:r w:rsidRPr="00AB69B5">
        <w:rPr>
          <w:rFonts w:ascii="Times New Roman" w:hAnsi="Times New Roman" w:cs="Times New Roman"/>
        </w:rPr>
        <w:t xml:space="preserve">which stated that </w:t>
      </w:r>
      <w:r w:rsidRPr="00AB69B5">
        <w:rPr>
          <w:rFonts w:ascii="Times New Roman" w:hAnsi="Times New Roman" w:cs="Times New Roman"/>
        </w:rPr>
        <w:lastRenderedPageBreak/>
        <w:t>‘all who are not prohibited by law may be attorneys but the law will not suffer women to be attorneys nor infants nor serfs’. This put the four women in their place.</w:t>
      </w:r>
    </w:p>
    <w:p w14:paraId="23683E85" w14:textId="5A185A84"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Women could and did work in legal offices, often as secretaries but also giving legal advice when they were allowed. In 1913 a Legal Profession (Admission of Women) Bill was put before parliament by a backbencher, but the Law Society opposed it and it went nowhere. Then came the war which for a while at least muted campaigning by women on this and other issues. But in the law as in medicine, women played a vital role during the war, staffing legal offices and enabling legal work to continue in the absence of men. This work was appreciated in some sections of the profession. The </w:t>
      </w:r>
      <w:r w:rsidRPr="00AB69B5">
        <w:rPr>
          <w:rFonts w:ascii="Times New Roman" w:hAnsi="Times New Roman" w:cs="Times New Roman"/>
          <w:i/>
        </w:rPr>
        <w:t xml:space="preserve">Law Times </w:t>
      </w:r>
      <w:r w:rsidRPr="00AB69B5">
        <w:rPr>
          <w:rFonts w:ascii="Times New Roman" w:hAnsi="Times New Roman" w:cs="Times New Roman"/>
        </w:rPr>
        <w:t>declared on 1 Feb 1919:</w:t>
      </w:r>
    </w:p>
    <w:p w14:paraId="71334576" w14:textId="49C41357" w:rsidR="000A3232" w:rsidRPr="00AB69B5" w:rsidRDefault="000A3232" w:rsidP="00AB69B5">
      <w:pPr>
        <w:spacing w:line="480" w:lineRule="auto"/>
        <w:ind w:left="720"/>
        <w:jc w:val="both"/>
        <w:rPr>
          <w:rFonts w:ascii="Times New Roman" w:hAnsi="Times New Roman" w:cs="Times New Roman"/>
        </w:rPr>
      </w:pPr>
      <w:r w:rsidRPr="00E5248A">
        <w:rPr>
          <w:rFonts w:ascii="Times New Roman" w:hAnsi="Times New Roman" w:cs="Times New Roman"/>
          <w:i/>
        </w:rPr>
        <w:t>During the war we were strongly opposed to the admission of women to the profession and this view was generally held. But with the coming of peace the whole subject must be considered in view of the facts of the last four years and provided the interests of those students and younger members of both branches who have served their country are duly looked after, the time is arriving when the doors of the profession should be opened to all persons irrespective of sex</w:t>
      </w:r>
      <w:r w:rsidR="00E5248A">
        <w:rPr>
          <w:rFonts w:ascii="Times New Roman" w:hAnsi="Times New Roman" w:cs="Times New Roman"/>
        </w:rPr>
        <w:t>.</w:t>
      </w:r>
      <w:r w:rsidRPr="00AB69B5">
        <w:rPr>
          <w:rStyle w:val="FootnoteReference"/>
          <w:rFonts w:ascii="Times New Roman" w:hAnsi="Times New Roman" w:cs="Times New Roman"/>
        </w:rPr>
        <w:footnoteReference w:id="67"/>
      </w:r>
    </w:p>
    <w:p w14:paraId="56FCB534" w14:textId="0226D35D"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Lord Buckmaster introduced parliamentary Bills in 1917 and 1918 to allow women to be admitted as solicitors, both of which were unsuccessful. Buckmaster was a respected lawyer who had been Solicitor-General in the pre-war Liberal government and briefly Lord Chancellor during the war. In 1918 most women over age 30 gained the vote after a long campaign. Women, with some male support, still campaigned for admission to the bar. In 1919 the Law Society called a Special General Meeting which resolved by 59 votes to 38 that</w:t>
      </w:r>
      <w:r w:rsidR="00E5248A">
        <w:rPr>
          <w:rFonts w:ascii="Times New Roman" w:hAnsi="Times New Roman" w:cs="Times New Roman"/>
        </w:rPr>
        <w:t>:</w:t>
      </w:r>
    </w:p>
    <w:p w14:paraId="37C0771D" w14:textId="77777777" w:rsidR="000A3232" w:rsidRPr="00AB69B5" w:rsidRDefault="000A3232" w:rsidP="00AB69B5">
      <w:pPr>
        <w:spacing w:line="480" w:lineRule="auto"/>
        <w:ind w:left="720"/>
        <w:jc w:val="both"/>
        <w:rPr>
          <w:rFonts w:ascii="Times New Roman" w:hAnsi="Times New Roman" w:cs="Times New Roman"/>
        </w:rPr>
      </w:pPr>
      <w:r w:rsidRPr="00E5248A">
        <w:rPr>
          <w:rFonts w:ascii="Times New Roman" w:hAnsi="Times New Roman" w:cs="Times New Roman"/>
          <w:i/>
        </w:rPr>
        <w:t xml:space="preserve">In view of the present economic and political position of women, it is in the opinion of this meeting expedient that the existing obstacles to their entry to the legal profession should be </w:t>
      </w:r>
      <w:r w:rsidRPr="00E5248A">
        <w:rPr>
          <w:rFonts w:ascii="Times New Roman" w:hAnsi="Times New Roman" w:cs="Times New Roman"/>
          <w:i/>
        </w:rPr>
        <w:lastRenderedPageBreak/>
        <w:t xml:space="preserve">removed and the Council is requested to report this opinion to the Lord Chancellor in support of Lord Buckmaster’s Bill. </w:t>
      </w:r>
      <w:r w:rsidRPr="00AB69B5">
        <w:rPr>
          <w:rStyle w:val="FootnoteReference"/>
          <w:rFonts w:ascii="Times New Roman" w:hAnsi="Times New Roman" w:cs="Times New Roman"/>
        </w:rPr>
        <w:footnoteReference w:id="68"/>
      </w:r>
    </w:p>
    <w:p w14:paraId="6DA66A99" w14:textId="167FCDE2"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This was a third attempt by Buckmaster in 1919, but he dropped this Bill in favour of a government Bill which became the Sex Disqualification (Removal) Act 1919</w:t>
      </w:r>
      <w:r w:rsidR="00E5248A">
        <w:rPr>
          <w:rFonts w:ascii="Times New Roman" w:hAnsi="Times New Roman" w:cs="Times New Roman"/>
        </w:rPr>
        <w:t>.</w:t>
      </w:r>
      <w:r w:rsidRPr="00AB69B5">
        <w:rPr>
          <w:rStyle w:val="FootnoteReference"/>
          <w:rFonts w:ascii="Times New Roman" w:hAnsi="Times New Roman" w:cs="Times New Roman"/>
        </w:rPr>
        <w:footnoteReference w:id="69"/>
      </w:r>
      <w:r w:rsidRPr="00AB69B5">
        <w:rPr>
          <w:rFonts w:ascii="Times New Roman" w:hAnsi="Times New Roman" w:cs="Times New Roman"/>
        </w:rPr>
        <w:t xml:space="preserve"> As Mari Takayanagi describes, it did at last allow women to enter the legal profession and other professions from which they had previously been excluded, including accountancy, architecture, surveying, veterinary surgery and engineering. It also allowed women to sit on juries and become magistrates, giving them a quite unprecedented presence in courtrooms. This was important because previously, throughout history, if women faced trial in a court of law they were alone in a wholly male courtroom, where judge, jury, officials, police were all male, which surely made a very intimidating experience even more so. So much so, that at the beginning of the twentieth century women’s organizations won the right to sit with a woman in a courtroom so that she was not alone. There was considerable resistance to appointing women as magistrates and they were not allowed to form a majority of the three magistrates on each bench; the majority had to be male. Two hundred women magistrates were appointed in 1919-20, by the end of World War 2 there were 3700- in a total of 16,800. Nevertheless Anne Logan’s work on the first women magistrates indicates how effective they were in modernizing and improve an activity which was a crucial part of the justice system but was falling into disrepute, In particular women insisted on legal training for magistrates</w:t>
      </w:r>
      <w:r w:rsidR="00E5248A">
        <w:rPr>
          <w:rFonts w:ascii="Times New Roman" w:hAnsi="Times New Roman" w:cs="Times New Roman"/>
        </w:rPr>
        <w:t>.</w:t>
      </w:r>
      <w:r w:rsidRPr="00AB69B5">
        <w:rPr>
          <w:rStyle w:val="FootnoteReference"/>
          <w:rFonts w:ascii="Times New Roman" w:hAnsi="Times New Roman" w:cs="Times New Roman"/>
        </w:rPr>
        <w:footnoteReference w:id="70"/>
      </w:r>
    </w:p>
    <w:p w14:paraId="24547255" w14:textId="77777777"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Opportunities for middle class women were extended by the 1919 Act, at least partly because politicians were keen to win the votes of the new women voters. But in none of the occupations now opened to them did women have an easy time. Women lawyers faced a great deal of discrimination, as they did in other occupations. Also both branches of the law were hard to enter for anyone without a secure income to support them through the early years and sometimes longer. Only 382 women had qualified as solicitors </w:t>
      </w:r>
      <w:r w:rsidRPr="00AB69B5">
        <w:rPr>
          <w:rFonts w:ascii="Times New Roman" w:hAnsi="Times New Roman" w:cs="Times New Roman"/>
        </w:rPr>
        <w:lastRenderedPageBreak/>
        <w:t>by 1952; in 1946 only 164 women were practising as solicitors from a total of 17, 102; still in 1961 women were only 3.5 percent of the whole legal profession. Progress was slow. It speeded up somewhat following the Sex Discrimination Act 1975. In 1971 women were four per cent of all practising lawyers, by 1990 27 per cent and 50 per cent of entrants to the legal profession, though the numbers at the very top remain sparse, if slowly improving.</w:t>
      </w:r>
    </w:p>
    <w:p w14:paraId="56B2FF5E" w14:textId="47778BA0"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 xml:space="preserve">Another important set of changes after 1919 concerned reforms to the law as it particularly affected women. Some of the new women lawyers were very active in assisting women to make use of these changes to the law. In 1932 Helena Normanton published a book, </w:t>
      </w:r>
      <w:r w:rsidRPr="00AB69B5">
        <w:rPr>
          <w:rFonts w:ascii="Times New Roman" w:hAnsi="Times New Roman" w:cs="Times New Roman"/>
          <w:i/>
        </w:rPr>
        <w:t xml:space="preserve">Everyday Law for Women, </w:t>
      </w:r>
      <w:r w:rsidRPr="00AB69B5">
        <w:rPr>
          <w:rFonts w:ascii="Times New Roman" w:hAnsi="Times New Roman" w:cs="Times New Roman"/>
        </w:rPr>
        <w:t xml:space="preserve">as a guide. Most of the changes were due to campaigning by women’s organizations once they had the vote. It used to be argued that, once the campaign for the vote had partially succeeded in 1918, women sat back and stopped campaigning. Certainly women’s activism between the wars was less public and angry than that of the suffragettes before World War 1, but it certainly continued and was no less determined. Women did not think they had achieved everything when most women aged 30 gained the vote and they did not expect opposition to further gender equality to stop. Instead they lobbied circumspectly but effectively for changes in the law which would promote equality on the variety of fronts on which it was needed. The National Union of Women’s Suffrage Societies (NUWSS) the suffragist organization, led by Millicent Garrett Fawcett, which unlike the Pankhursts’ Women’s Social and Political Union (WSPU) remained active through the war and played an important part in bringing about the extension of the franchise, after the war changed its name to National Union of Societies for Equal Citizenship (NUSEC) and changed its role to helping women to use the vote now they had it. This included educating women on political issues and also assisting women’s organizations to draft reforming legislation and make contact with sympathetic MPs (generally men because few women were elected to parliament between the wars) who </w:t>
      </w:r>
      <w:r w:rsidRPr="00AB69B5">
        <w:rPr>
          <w:rFonts w:ascii="Times New Roman" w:hAnsi="Times New Roman" w:cs="Times New Roman"/>
        </w:rPr>
        <w:lastRenderedPageBreak/>
        <w:t>guided them through parliament. Though few women were elected to parliament- would-be candidates faced a lot of prejudice- through lobbying they had considerable impact on its work</w:t>
      </w:r>
      <w:r w:rsidR="00E5248A">
        <w:rPr>
          <w:rFonts w:ascii="Times New Roman" w:hAnsi="Times New Roman" w:cs="Times New Roman"/>
        </w:rPr>
        <w:t>.</w:t>
      </w:r>
      <w:r w:rsidRPr="00AB69B5">
        <w:rPr>
          <w:rStyle w:val="FootnoteReference"/>
          <w:rFonts w:ascii="Times New Roman" w:hAnsi="Times New Roman" w:cs="Times New Roman"/>
        </w:rPr>
        <w:footnoteReference w:id="71"/>
      </w:r>
    </w:p>
    <w:p w14:paraId="2BFBA6D8" w14:textId="581332D2"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The legislation included the Deceased Brother’s Widow’s Marriage Act, 1921, which enabled a woman to marry her deceased husband’s brother, removing the oddity that this had previously been prohibited, whilst men had the right to marry a deceased wife’s sister. This change was supported by the Women’s Freedom League and the Women’s National Liberal Federation. It was a measure which promoted gender equality and one of many of the period designed to stabilize family life, in this case by enabling a brother to support the family of a dead sibling.</w:t>
      </w:r>
    </w:p>
    <w:p w14:paraId="703C834F" w14:textId="73919813"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An important cause for a range of women’s associations in the inter-war years was the protection of women and children against sexual and physical exploitation and abuse, within and outside marriage. For this reason they campaigned for the appointment of women police who they believed would be more supportive of abused people than policemen. Women were appointed to police forces after WW1 and their numbers slowly increased between the wars</w:t>
      </w:r>
      <w:r w:rsidRPr="00AB69B5">
        <w:rPr>
          <w:rStyle w:val="FootnoteReference"/>
          <w:rFonts w:ascii="Times New Roman" w:hAnsi="Times New Roman" w:cs="Times New Roman"/>
        </w:rPr>
        <w:footnoteReference w:id="72"/>
      </w:r>
      <w:r w:rsidRPr="00AB69B5">
        <w:rPr>
          <w:rFonts w:ascii="Times New Roman" w:hAnsi="Times New Roman" w:cs="Times New Roman"/>
        </w:rPr>
        <w:t>. These campaigns contributed to the passing of the Criminal Law Amendment Act, 1922, which raised the age of consent in cases of indecent assault from 13 to 16 to match the age of consent for consensual sexual relations. In 1929 another anomaly was removed when the age of permissible marriage, with parental consent, for both sexes was raised to match the age of consent. Previously the age at which marriage was permissible was twelve for females (though consummation was prohibited until age thirteen) and fourteen for males. In the 1920s about twenty-four girls each year were married before the age of sixteen, most of them pregnant. This legal change owed much to the work of NUSEC, the Catholic St Joan’s Social and Political Union and the YWCA.</w:t>
      </w:r>
    </w:p>
    <w:p w14:paraId="5C865B8B" w14:textId="3383FF6C" w:rsidR="000A3232" w:rsidRPr="00AB69B5" w:rsidRDefault="000A3232" w:rsidP="00E5248A">
      <w:pPr>
        <w:spacing w:line="480" w:lineRule="auto"/>
        <w:jc w:val="both"/>
        <w:rPr>
          <w:rFonts w:ascii="Times New Roman" w:hAnsi="Times New Roman" w:cs="Times New Roman"/>
        </w:rPr>
      </w:pPr>
      <w:r w:rsidRPr="00AB69B5">
        <w:rPr>
          <w:rFonts w:ascii="Times New Roman" w:hAnsi="Times New Roman" w:cs="Times New Roman"/>
        </w:rPr>
        <w:t xml:space="preserve">In 1922 the level of maintenance allowed to a woman and her children under a separation order was increased, giving further support to women needing to escape from intolerable, often violent, marriages. </w:t>
      </w:r>
      <w:r w:rsidRPr="00AB69B5">
        <w:rPr>
          <w:rFonts w:ascii="Times New Roman" w:hAnsi="Times New Roman" w:cs="Times New Roman"/>
        </w:rPr>
        <w:lastRenderedPageBreak/>
        <w:t>Further legislation in 1925 extended the grounds on which either partner could obtain a separation, to include cruelty and habitual drunkenness, and abolished the requirement that the wife must leave the marital home before applying for a separation order. This had prevented many women leaving intolerable marriages because they had nowhere to go. NUSEC believed that separation, with adequate financial safeguards, was ‘the women’s issue par excellence’, because economic dependence upon men made women vulnerable to abuse. These legislative changes were supported by a diverse set of women’s associations including the Catholic Women’s Suffrage Society, the Conservative Women’s Reform association, the Women’s Group of the Fabian Society, the Women’s Co-operative Guild, the radical Women’s Freedom League and the Union of Jewish Women.</w:t>
      </w:r>
    </w:p>
    <w:p w14:paraId="2972C86D" w14:textId="016E2A45"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Particularly important was the Matrimonial Causes Act, 1923, which brought gender equality closer in the English divorce laws. This was introduced in parliament by Lord Buckmaster, again. He had long been a supporter of divorce reform. Previously, since divorce at last became legally possible in England and Wales in 1857, men had been able to divorce their wives for adultery alone, whereas wives had to prove not only adultery but a further fault such as rape, or cruelty. The 1923 Act relieved wives of the necessity to prove faults in addition to adultery as grounds for divorce, thus bringing gender equality in the divorce courts closer. Men could now be divorced for adultery alone. NUSEC played an important role in drafting and promoting the legislation. The law was further eased in 1937 to allow husband or wife to obtain a divorce on the grounds of desertion for at least 3 years. England and Wales at last achieved the gender equality in divorce which had been the case in Scotland from before the Reformation. But the problem remained that divorce was expensive and poorer people could not afford it before the introduction of legal aid in 1948. Mechanisms for formal separation with maintenance, introduced following feminist campaigns in the 1870s, were particularly important to enable working class women to escape failed marriages when divorce was too expensive</w:t>
      </w:r>
      <w:r w:rsidR="00E5248A">
        <w:rPr>
          <w:rFonts w:ascii="Times New Roman" w:hAnsi="Times New Roman" w:cs="Times New Roman"/>
        </w:rPr>
        <w:t>.</w:t>
      </w:r>
      <w:r w:rsidRPr="00AB69B5">
        <w:rPr>
          <w:rStyle w:val="FootnoteReference"/>
          <w:rFonts w:ascii="Times New Roman" w:hAnsi="Times New Roman" w:cs="Times New Roman"/>
        </w:rPr>
        <w:footnoteReference w:id="73"/>
      </w:r>
    </w:p>
    <w:p w14:paraId="337FCAC6" w14:textId="65C8DF9D" w:rsidR="000A3232" w:rsidRPr="00AB69B5" w:rsidRDefault="00E5248A" w:rsidP="00E5248A">
      <w:pPr>
        <w:spacing w:line="480" w:lineRule="auto"/>
        <w:jc w:val="both"/>
        <w:rPr>
          <w:rFonts w:ascii="Times New Roman" w:hAnsi="Times New Roman" w:cs="Times New Roman"/>
        </w:rPr>
      </w:pPr>
      <w:r>
        <w:rPr>
          <w:rFonts w:ascii="Times New Roman" w:hAnsi="Times New Roman" w:cs="Times New Roman"/>
        </w:rPr>
        <w:lastRenderedPageBreak/>
        <w:t>T</w:t>
      </w:r>
      <w:r w:rsidR="000A3232" w:rsidRPr="00AB69B5">
        <w:rPr>
          <w:rFonts w:ascii="Times New Roman" w:hAnsi="Times New Roman" w:cs="Times New Roman"/>
        </w:rPr>
        <w:t>he Bastardy Act, 1923, enabled children to be recognized as legitimate on the subsequent marriage of their parents, escaping the serious stigma of illegitimacy and also securing their inheritance rights, though parliament refused to allow titles to be inherited in such cases- that was a step too far. The Bastardy Act also improved procedures enabling unmarried mothers to claim maintenance from the fathers of their children and doubled the maximum sum payable as maintenance.  The National Council for the Unmarried Mother and her Child had been founded in 1918 primarily to promote such changes, with the support of prominent women’s organizations. It drafted the legislation and worked with MPs to get it through parliament. Neville Chamberlain played a major role</w:t>
      </w:r>
      <w:r>
        <w:rPr>
          <w:rFonts w:ascii="Times New Roman" w:hAnsi="Times New Roman" w:cs="Times New Roman"/>
        </w:rPr>
        <w:t>.</w:t>
      </w:r>
      <w:r w:rsidR="000A3232" w:rsidRPr="00AB69B5">
        <w:rPr>
          <w:rStyle w:val="FootnoteReference"/>
          <w:rFonts w:ascii="Times New Roman" w:hAnsi="Times New Roman" w:cs="Times New Roman"/>
        </w:rPr>
        <w:footnoteReference w:id="74"/>
      </w:r>
    </w:p>
    <w:p w14:paraId="4892EB37" w14:textId="7918B65A" w:rsidR="000A3232" w:rsidRPr="00AB69B5" w:rsidRDefault="000A3232" w:rsidP="00E5248A">
      <w:pPr>
        <w:spacing w:line="480" w:lineRule="auto"/>
        <w:jc w:val="both"/>
        <w:rPr>
          <w:rFonts w:ascii="Times New Roman" w:hAnsi="Times New Roman" w:cs="Times New Roman"/>
        </w:rPr>
      </w:pPr>
      <w:r w:rsidRPr="00AB69B5">
        <w:rPr>
          <w:rFonts w:ascii="Times New Roman" w:hAnsi="Times New Roman" w:cs="Times New Roman"/>
        </w:rPr>
        <w:t>The Adoption Act, 1926, for the first time introduced legal adoption procedures. Adoption of children had always taken place in practice, but it had no legal standing. There was no supervision or protection of children who suffered abuse as a result. Now there were some safeguards, though they were inadequate for many years. The new law also made it possible for the first time for unmarried mothers formally to adopt their children, thereby legitimizing them, giving them legal status they otherwise lacked, and enabling them to inherit should the mother die intestate</w:t>
      </w:r>
      <w:r w:rsidR="00E5248A">
        <w:rPr>
          <w:rFonts w:ascii="Times New Roman" w:hAnsi="Times New Roman" w:cs="Times New Roman"/>
        </w:rPr>
        <w:t>.</w:t>
      </w:r>
      <w:r w:rsidRPr="00AB69B5">
        <w:rPr>
          <w:rStyle w:val="FootnoteReference"/>
          <w:rFonts w:ascii="Times New Roman" w:hAnsi="Times New Roman" w:cs="Times New Roman"/>
        </w:rPr>
        <w:footnoteReference w:id="75"/>
      </w:r>
      <w:r w:rsidRPr="00AB69B5">
        <w:rPr>
          <w:rFonts w:ascii="Times New Roman" w:hAnsi="Times New Roman" w:cs="Times New Roman"/>
        </w:rPr>
        <w:t xml:space="preserve">  In 1924 women acquired the right to apply for custody of their children following the break-up of a marriage. Previously only the father had such rights to children over age 7. This was another disincentive to women leaving abusive marriages- they could lose custody of their children</w:t>
      </w:r>
    </w:p>
    <w:p w14:paraId="47567C4A" w14:textId="6AC27772"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The Infanticide Act, 1922, removed another grievance long highlighted by women’s organisations by eliminating the charge of murder, with the danger of capital punishment, for a woman guilty of killing her infant, where it could be shown that she was suffering from the effects of her confinement</w:t>
      </w:r>
      <w:r w:rsidR="00E5248A">
        <w:rPr>
          <w:rFonts w:ascii="Times New Roman" w:hAnsi="Times New Roman" w:cs="Times New Roman"/>
        </w:rPr>
        <w:t>.</w:t>
      </w:r>
      <w:r w:rsidRPr="00AB69B5">
        <w:rPr>
          <w:rStyle w:val="FootnoteReference"/>
          <w:rFonts w:ascii="Times New Roman" w:hAnsi="Times New Roman" w:cs="Times New Roman"/>
        </w:rPr>
        <w:footnoteReference w:id="76"/>
      </w:r>
      <w:r w:rsidRPr="00AB69B5">
        <w:rPr>
          <w:rFonts w:ascii="Times New Roman" w:hAnsi="Times New Roman" w:cs="Times New Roman"/>
        </w:rPr>
        <w:t xml:space="preserve"> In the same year, the long process of equalising property rights went a step further in the Law of Property Act, which enabled a husband and wife equally to inherit each other’s property if they died intestate and granted them </w:t>
      </w:r>
      <w:r w:rsidRPr="00AB69B5">
        <w:rPr>
          <w:rFonts w:ascii="Times New Roman" w:hAnsi="Times New Roman" w:cs="Times New Roman"/>
        </w:rPr>
        <w:lastRenderedPageBreak/>
        <w:t>equal rights to inherit the property of intestate children. Previously only the husband had inheritance rights in such cases. The New English Law of Property, 1926, allowed both married and single women to hold and dispose of all their property, real and personal, on the same terms as men. Scottish property law was similarly amended and improved married women’s inheritance rights.  Further legislation in 1935 empowered a married woman to dispose of her property in her will as though she were single; and, taking gender equality a logical step further, abolished the husband’s liability for his wife’s debts. This mass of inter-war legislation went a long way to, at last, eliminating the age-old rule that when a woman married everything about her, including her children and her income, became the property of her husband</w:t>
      </w:r>
      <w:r w:rsidR="00E5248A">
        <w:rPr>
          <w:rFonts w:ascii="Times New Roman" w:hAnsi="Times New Roman" w:cs="Times New Roman"/>
        </w:rPr>
        <w:t>.</w:t>
      </w:r>
      <w:r w:rsidRPr="00AB69B5">
        <w:rPr>
          <w:rStyle w:val="FootnoteReference"/>
          <w:rFonts w:ascii="Times New Roman" w:hAnsi="Times New Roman" w:cs="Times New Roman"/>
        </w:rPr>
        <w:footnoteReference w:id="77"/>
      </w:r>
    </w:p>
    <w:p w14:paraId="5BEAFE85" w14:textId="464C232A" w:rsidR="000A3232" w:rsidRPr="00AB69B5" w:rsidRDefault="000A3232" w:rsidP="00E5248A">
      <w:pPr>
        <w:spacing w:line="480" w:lineRule="auto"/>
        <w:jc w:val="both"/>
        <w:rPr>
          <w:rFonts w:ascii="Times New Roman" w:hAnsi="Times New Roman" w:cs="Times New Roman"/>
        </w:rPr>
      </w:pPr>
      <w:r w:rsidRPr="00AB69B5">
        <w:rPr>
          <w:rFonts w:ascii="Times New Roman" w:hAnsi="Times New Roman" w:cs="Times New Roman"/>
        </w:rPr>
        <w:t>In 1925 civilian Widows and Orphans Pensions were introduced, following pensions granted to war widows during World War1.  By 1933 these gave pensions to 725, 000 women and 340, 000 children.  This was an important campaigning issue for NUSEC and other groups, assisting what was then the largest group of single mothers, who were often in extreme poverty because women had such difficulty finding work at pay adequate to support a  family.</w:t>
      </w:r>
    </w:p>
    <w:p w14:paraId="613313C6" w14:textId="17D7A4CD"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t>This was an impressive succession of legal reforms, following very quickly on women gaining the vote and owing a lot to their campaigns</w:t>
      </w:r>
      <w:r w:rsidRPr="00AB69B5">
        <w:rPr>
          <w:rStyle w:val="FootnoteReference"/>
          <w:rFonts w:ascii="Times New Roman" w:hAnsi="Times New Roman" w:cs="Times New Roman"/>
        </w:rPr>
        <w:footnoteReference w:id="78"/>
      </w:r>
      <w:r w:rsidRPr="00AB69B5">
        <w:rPr>
          <w:rFonts w:ascii="Times New Roman" w:hAnsi="Times New Roman" w:cs="Times New Roman"/>
        </w:rPr>
        <w:t>. The changes amounted to significant improvements in women’s legal rights, especially in relation to marriage, though there was still much room for further improvement. But women, especially poorer women, were not always aware of their rights, nor did they necessarily have access to legal advice or the means to pay for it, though the inter-war years saw the emergence of free legal advice centres to meet this need, e,g; in settlement houses such as Toynbee Hall in East London</w:t>
      </w:r>
      <w:r w:rsidR="00E5248A">
        <w:rPr>
          <w:rFonts w:ascii="Times New Roman" w:hAnsi="Times New Roman" w:cs="Times New Roman"/>
        </w:rPr>
        <w:t>.</w:t>
      </w:r>
      <w:r w:rsidRPr="00AB69B5">
        <w:rPr>
          <w:rStyle w:val="FootnoteReference"/>
          <w:rFonts w:ascii="Times New Roman" w:hAnsi="Times New Roman" w:cs="Times New Roman"/>
        </w:rPr>
        <w:footnoteReference w:id="79"/>
      </w:r>
      <w:r w:rsidRPr="00AB69B5">
        <w:rPr>
          <w:rFonts w:ascii="Times New Roman" w:hAnsi="Times New Roman" w:cs="Times New Roman"/>
        </w:rPr>
        <w:t xml:space="preserve"> It would be interesting to know more than we do about the involvement of legally trained women in these centres.</w:t>
      </w:r>
    </w:p>
    <w:p w14:paraId="7F8A7C80" w14:textId="4EE4C873"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lastRenderedPageBreak/>
        <w:t>Women’s opportunities in Britain grew between the end of nineteenth  century and the middle of the twentieth, including in the legal profession and concerning their legal rights, generally due to women’s own campaigns, but they still had, and have, a distance to go to achieve gender equality.</w:t>
      </w:r>
    </w:p>
    <w:p w14:paraId="7ED73814" w14:textId="77777777" w:rsidR="000A3232" w:rsidRPr="00AB69B5" w:rsidRDefault="000A3232" w:rsidP="00AB69B5">
      <w:pPr>
        <w:spacing w:line="480" w:lineRule="auto"/>
        <w:jc w:val="both"/>
        <w:rPr>
          <w:rFonts w:ascii="Times New Roman" w:hAnsi="Times New Roman" w:cs="Times New Roman"/>
        </w:rPr>
      </w:pPr>
    </w:p>
    <w:p w14:paraId="218F4197" w14:textId="77777777" w:rsidR="000A3232" w:rsidRPr="00AB69B5" w:rsidRDefault="000A3232" w:rsidP="00AB69B5">
      <w:pPr>
        <w:spacing w:line="480" w:lineRule="auto"/>
        <w:jc w:val="both"/>
        <w:rPr>
          <w:rFonts w:ascii="Times New Roman" w:hAnsi="Times New Roman" w:cs="Times New Roman"/>
        </w:rPr>
      </w:pPr>
    </w:p>
    <w:p w14:paraId="10DC6648" w14:textId="05CEBF04" w:rsidR="000A3232" w:rsidRPr="00AB69B5" w:rsidRDefault="000A3232" w:rsidP="00AB69B5">
      <w:pPr>
        <w:spacing w:line="480" w:lineRule="auto"/>
        <w:jc w:val="both"/>
        <w:rPr>
          <w:rFonts w:ascii="Times New Roman" w:hAnsi="Times New Roman" w:cs="Times New Roman"/>
        </w:rPr>
      </w:pPr>
      <w:r w:rsidRPr="00AB69B5">
        <w:rPr>
          <w:rFonts w:ascii="Times New Roman" w:hAnsi="Times New Roman" w:cs="Times New Roman"/>
        </w:rPr>
        <w:br w:type="page"/>
      </w:r>
    </w:p>
    <w:p w14:paraId="3149C27E" w14:textId="77777777" w:rsidR="005607D6" w:rsidRPr="00756EFA" w:rsidRDefault="005607D6" w:rsidP="00756EFA">
      <w:pPr>
        <w:spacing w:line="480" w:lineRule="auto"/>
        <w:jc w:val="center"/>
        <w:rPr>
          <w:rFonts w:ascii="Times New Roman" w:hAnsi="Times New Roman" w:cs="Times New Roman"/>
          <w:b/>
          <w:sz w:val="28"/>
          <w:szCs w:val="28"/>
        </w:rPr>
      </w:pPr>
      <w:r w:rsidRPr="00756EFA">
        <w:rPr>
          <w:rFonts w:ascii="Times New Roman" w:hAnsi="Times New Roman" w:cs="Times New Roman"/>
          <w:b/>
          <w:sz w:val="28"/>
          <w:szCs w:val="28"/>
        </w:rPr>
        <w:lastRenderedPageBreak/>
        <w:t>Establishing the Known: the Parliamentary passage of the Sex Disqualification (Removal) Act 1919</w:t>
      </w:r>
    </w:p>
    <w:p w14:paraId="75B73BAE" w14:textId="362C5672" w:rsidR="005607D6" w:rsidRPr="00AB69B5" w:rsidRDefault="005607D6" w:rsidP="00AB69B5">
      <w:pPr>
        <w:spacing w:line="480" w:lineRule="auto"/>
        <w:jc w:val="both"/>
        <w:rPr>
          <w:rFonts w:ascii="Times New Roman" w:hAnsi="Times New Roman" w:cs="Times New Roman"/>
          <w:b/>
        </w:rPr>
      </w:pPr>
      <w:r w:rsidRPr="00AB69B5">
        <w:rPr>
          <w:rFonts w:ascii="Times New Roman" w:hAnsi="Times New Roman" w:cs="Times New Roman"/>
          <w:b/>
        </w:rPr>
        <w:t>Dr</w:t>
      </w:r>
      <w:r w:rsidR="00BF0B6C">
        <w:rPr>
          <w:rFonts w:ascii="Times New Roman" w:hAnsi="Times New Roman" w:cs="Times New Roman"/>
          <w:b/>
        </w:rPr>
        <w:t>.</w:t>
      </w:r>
      <w:r w:rsidRPr="00AB69B5">
        <w:rPr>
          <w:rFonts w:ascii="Times New Roman" w:hAnsi="Times New Roman" w:cs="Times New Roman"/>
          <w:b/>
        </w:rPr>
        <w:t xml:space="preserve"> Mari Takayanagi, </w:t>
      </w:r>
      <w:r w:rsidR="0008318F">
        <w:rPr>
          <w:rFonts w:ascii="Times New Roman" w:hAnsi="Times New Roman" w:cs="Times New Roman"/>
          <w:b/>
        </w:rPr>
        <w:t xml:space="preserve">Historian and Senior Archivist at the </w:t>
      </w:r>
      <w:r w:rsidRPr="00AB69B5">
        <w:rPr>
          <w:rFonts w:ascii="Times New Roman" w:hAnsi="Times New Roman" w:cs="Times New Roman"/>
          <w:b/>
        </w:rPr>
        <w:t>Parliamentary Archives</w:t>
      </w:r>
    </w:p>
    <w:p w14:paraId="7AAD0F5C" w14:textId="77777777" w:rsidR="005607D6" w:rsidRPr="00AB69B5" w:rsidRDefault="005607D6" w:rsidP="00AB69B5">
      <w:pPr>
        <w:spacing w:line="480" w:lineRule="auto"/>
        <w:jc w:val="both"/>
        <w:rPr>
          <w:rFonts w:ascii="Times New Roman" w:hAnsi="Times New Roman" w:cs="Times New Roman"/>
          <w:b/>
        </w:rPr>
      </w:pPr>
      <w:r w:rsidRPr="00AB69B5">
        <w:rPr>
          <w:rFonts w:ascii="Times New Roman" w:hAnsi="Times New Roman" w:cs="Times New Roman"/>
          <w:b/>
        </w:rPr>
        <w:t>Introduction</w:t>
      </w:r>
    </w:p>
    <w:p w14:paraId="32C3CDCE" w14:textId="39EAC26A"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Sex Disqualification (Removal) Act 1919 marked the beginning of women's acceptance into the legal profession, by stating that a person would not be disqualified by sex from exercising any public function.</w:t>
      </w:r>
      <w:r w:rsidRPr="00AB69B5">
        <w:rPr>
          <w:rStyle w:val="FootnoteReference"/>
          <w:rFonts w:ascii="Times New Roman" w:hAnsi="Times New Roman" w:cs="Times New Roman"/>
        </w:rPr>
        <w:t xml:space="preserve"> </w:t>
      </w:r>
      <w:r w:rsidRPr="00AB69B5">
        <w:rPr>
          <w:rStyle w:val="FootnoteReference"/>
          <w:rFonts w:ascii="Times New Roman" w:hAnsi="Times New Roman" w:cs="Times New Roman"/>
        </w:rPr>
        <w:footnoteReference w:id="80"/>
      </w:r>
      <w:r w:rsidRPr="00AB69B5">
        <w:rPr>
          <w:rFonts w:ascii="Times New Roman" w:hAnsi="Times New Roman" w:cs="Times New Roman"/>
        </w:rPr>
        <w:t xml:space="preserve"> It therefore enabled women to become barristers, solicitors, jurors and magistrates.  It also enabled women to enter other professions such as accountancy, and went some way to allowing women into the higher ranks of the Civil Service.</w:t>
      </w:r>
    </w:p>
    <w:p w14:paraId="1CBB1EB8" w14:textId="77777777" w:rsidR="005607D6" w:rsidRPr="00AB69B5" w:rsidRDefault="005607D6" w:rsidP="00AB69B5">
      <w:pPr>
        <w:spacing w:line="480" w:lineRule="auto"/>
        <w:jc w:val="both"/>
        <w:rPr>
          <w:rFonts w:ascii="Times New Roman" w:hAnsi="Times New Roman" w:cs="Times New Roman"/>
        </w:rPr>
      </w:pPr>
    </w:p>
    <w:p w14:paraId="51964C3D" w14:textId="7E311FCA"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However, the background and Parliamentary history of the Act is much less well known than its achievements.  The Act was a government substitution for a more radical private members’ bill, the Women’s Emancipation Bill, which sought also to equalise the franchise and admit women to the House of Lords. The Women’s Emancipation Bill passed successfully through the House of Commons against whipped Government opposition, but fell in the Lords.  Despite attempts by sympathetic Members of Parliament to reinstate them, the more radical clauses were deleted from the Sex Disqualification (Removal) Bill before and during its passage through Parliament.   Women had to wait until 1928 for equal franchise and 1958 to enter the House of Lords.</w:t>
      </w:r>
      <w:r w:rsidRPr="00AB69B5">
        <w:rPr>
          <w:rStyle w:val="FootnoteReference"/>
          <w:rFonts w:ascii="Times New Roman" w:hAnsi="Times New Roman" w:cs="Times New Roman"/>
        </w:rPr>
        <w:t xml:space="preserve"> </w:t>
      </w:r>
      <w:r w:rsidRPr="00AB69B5">
        <w:rPr>
          <w:rStyle w:val="FootnoteReference"/>
          <w:rFonts w:ascii="Times New Roman" w:hAnsi="Times New Roman" w:cs="Times New Roman"/>
        </w:rPr>
        <w:footnoteReference w:id="81"/>
      </w:r>
      <w:r w:rsidRPr="00AB69B5">
        <w:rPr>
          <w:rFonts w:ascii="Times New Roman" w:hAnsi="Times New Roman" w:cs="Times New Roman"/>
        </w:rPr>
        <w:t xml:space="preserve">  Furthermore, the 1919 Act was an enabling Act; it allowed the appointment and holding of posts, but did not affect the employer’s ability to dismiss women or give rights to the employee. Some historians assessing the significance of the Act for the </w:t>
      </w:r>
      <w:r w:rsidRPr="00AB69B5">
        <w:rPr>
          <w:rFonts w:ascii="Times New Roman" w:hAnsi="Times New Roman" w:cs="Times New Roman"/>
        </w:rPr>
        <w:lastRenderedPageBreak/>
        <w:t>women's movement in Britain give it a lukewarm reception for this reason.  For example, Martin Pugh calls it 'a broken reed in the face of the resurrection of obstacles such as the bar on married women and further protective legislation'.</w:t>
      </w:r>
      <w:r w:rsidRPr="00AB69B5">
        <w:rPr>
          <w:rStyle w:val="FootnoteReference"/>
          <w:rFonts w:ascii="Times New Roman" w:hAnsi="Times New Roman" w:cs="Times New Roman"/>
        </w:rPr>
        <w:footnoteReference w:id="82"/>
      </w:r>
    </w:p>
    <w:p w14:paraId="0DF7A05F" w14:textId="77777777" w:rsidR="005607D6" w:rsidRPr="00AB69B5" w:rsidRDefault="005607D6" w:rsidP="00AB69B5">
      <w:pPr>
        <w:spacing w:line="480" w:lineRule="auto"/>
        <w:jc w:val="both"/>
        <w:rPr>
          <w:rFonts w:ascii="Times New Roman" w:hAnsi="Times New Roman" w:cs="Times New Roman"/>
        </w:rPr>
      </w:pPr>
    </w:p>
    <w:p w14:paraId="6FD018AD"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But the MPs who passed first the Women’s Emancipation Bill and then the Sex Disqualification (Removal) Act did not intend to pass a 'broken reed'; they saw themselves as passing a powerful weapon for women. By tracing the passage of the two bills through the House of Commons and House of Lords using parliamentary debates, government records and the papers of MPs and women's organisations, this paper argues that the negative judgment of historians overlooks the positive intentions of many MPs at the time; that the Act was a considerable achievement for the circumstances in 1919; that it provided some valuable changes in the law for women in the context of the time; and that although government and the civil service can be shown to have restricted the reform, Parliament did not.</w:t>
      </w:r>
    </w:p>
    <w:p w14:paraId="1D4F9F95" w14:textId="77777777" w:rsidR="005607D6" w:rsidRPr="00AB69B5" w:rsidRDefault="005607D6" w:rsidP="00AB69B5">
      <w:pPr>
        <w:spacing w:line="480" w:lineRule="auto"/>
        <w:jc w:val="both"/>
        <w:rPr>
          <w:rFonts w:ascii="Times New Roman" w:hAnsi="Times New Roman" w:cs="Times New Roman"/>
        </w:rPr>
      </w:pPr>
    </w:p>
    <w:p w14:paraId="12A9DEFD" w14:textId="77777777" w:rsidR="005607D6" w:rsidRPr="00AB69B5" w:rsidRDefault="005607D6" w:rsidP="00AB69B5">
      <w:pPr>
        <w:spacing w:line="480" w:lineRule="auto"/>
        <w:jc w:val="both"/>
        <w:rPr>
          <w:rFonts w:ascii="Times New Roman" w:hAnsi="Times New Roman" w:cs="Times New Roman"/>
          <w:b/>
        </w:rPr>
      </w:pPr>
      <w:r w:rsidRPr="00AB69B5">
        <w:rPr>
          <w:rFonts w:ascii="Times New Roman" w:hAnsi="Times New Roman" w:cs="Times New Roman"/>
          <w:b/>
        </w:rPr>
        <w:t>The Women's Emancipation Bill</w:t>
      </w:r>
    </w:p>
    <w:p w14:paraId="19DC4ACE" w14:textId="77777777" w:rsidR="005607D6" w:rsidRPr="00AB69B5" w:rsidRDefault="005607D6" w:rsidP="00AB69B5">
      <w:pPr>
        <w:spacing w:line="480" w:lineRule="auto"/>
        <w:jc w:val="both"/>
        <w:rPr>
          <w:rFonts w:ascii="Times New Roman" w:hAnsi="Times New Roman" w:cs="Times New Roman"/>
        </w:rPr>
      </w:pPr>
    </w:p>
    <w:p w14:paraId="332E91D6"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Women’s Emancipation Bill was introduced by the Labour Party on 21 March 1919, ‘To remove certain restraints and disabilities imposed on women’.</w:t>
      </w:r>
      <w:r w:rsidRPr="00AB69B5">
        <w:rPr>
          <w:rStyle w:val="FootnoteReference"/>
          <w:rFonts w:ascii="Times New Roman" w:hAnsi="Times New Roman" w:cs="Times New Roman"/>
        </w:rPr>
        <w:footnoteReference w:id="83"/>
      </w:r>
      <w:r w:rsidRPr="00AB69B5">
        <w:rPr>
          <w:rFonts w:ascii="Times New Roman" w:hAnsi="Times New Roman" w:cs="Times New Roman"/>
        </w:rPr>
        <w:t xml:space="preserve">  This bill contained three clauses: to remove the disqualification of women for holding civil and judicial appointments; to include women on the franchise on the same terms as men; and to allow women to sit and vote in the House of Lords.  In this period the Labour Party were in opposition against a Conservative-dominated Coalition government.  As today, backbench MPs had the opportunity to enter a ballot to introduce bills (private Members' bills) on a Friday, which were frequently aimed at attracting publicity and discussion, but might also be a method of </w:t>
      </w:r>
      <w:r w:rsidRPr="00AB69B5">
        <w:rPr>
          <w:rFonts w:ascii="Times New Roman" w:hAnsi="Times New Roman" w:cs="Times New Roman"/>
        </w:rPr>
        <w:lastRenderedPageBreak/>
        <w:t>getting legislation passed.</w:t>
      </w:r>
      <w:r w:rsidRPr="00AB69B5">
        <w:rPr>
          <w:rStyle w:val="FootnoteReference"/>
          <w:rFonts w:ascii="Times New Roman" w:hAnsi="Times New Roman" w:cs="Times New Roman"/>
        </w:rPr>
        <w:footnoteReference w:id="84"/>
      </w:r>
      <w:r w:rsidRPr="00AB69B5">
        <w:rPr>
          <w:rFonts w:ascii="Times New Roman" w:hAnsi="Times New Roman" w:cs="Times New Roman"/>
        </w:rPr>
        <w:t xml:space="preserve"> Labour used their second place on the ballot that year to introduce the Women’s Emancipation Bill.</w:t>
      </w:r>
    </w:p>
    <w:p w14:paraId="1C9D7FC8" w14:textId="77777777" w:rsidR="005607D6" w:rsidRPr="00AB69B5" w:rsidRDefault="005607D6" w:rsidP="00AB69B5">
      <w:pPr>
        <w:spacing w:line="480" w:lineRule="auto"/>
        <w:jc w:val="both"/>
        <w:rPr>
          <w:rFonts w:ascii="Times New Roman" w:hAnsi="Times New Roman" w:cs="Times New Roman"/>
        </w:rPr>
      </w:pPr>
    </w:p>
    <w:p w14:paraId="613BE89B" w14:textId="3D9D8CEE"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It had its second reading debate on 4 April 1919.  The arguments here are important as second reading is when the principles of a bill are discussed.  However the Sex Disqualification (Removal) Bill did not have any second reading debate, so effectively the principles of both bills were debated here.  Twenty-seven MPs spoke over sixty-seven columns of debate, and the tone of the debate is remarkably sympathetic to the bill.</w:t>
      </w:r>
      <w:r w:rsidRPr="00AB69B5">
        <w:rPr>
          <w:rStyle w:val="FootnoteReference"/>
          <w:rFonts w:ascii="Times New Roman" w:hAnsi="Times New Roman" w:cs="Times New Roman"/>
        </w:rPr>
        <w:footnoteReference w:id="85"/>
      </w:r>
      <w:r w:rsidRPr="00AB69B5">
        <w:rPr>
          <w:rFonts w:ascii="Times New Roman" w:hAnsi="Times New Roman" w:cs="Times New Roman"/>
        </w:rPr>
        <w:t xml:space="preserve">  Only seven MPs made any arguments against it and all these were about the franchise clause; virtually nothing was said against the civil and judicial appointments clause, the one relevant to allowing women into the legal profession.  Several MPs stated that they themselves were magistrates or lawyers, and particularly supported the idea of women in these roles.  Liberal MP J Bertram Watson, lawyer, councillor and later police magistrate, said, 'I have never been able to see any good and valid reason why women should not be able to practise either as solicitors or as members of the bar.'</w:t>
      </w:r>
      <w:r w:rsidRPr="00AB69B5">
        <w:rPr>
          <w:rStyle w:val="FootnoteReference"/>
          <w:rFonts w:ascii="Times New Roman" w:hAnsi="Times New Roman" w:cs="Times New Roman"/>
        </w:rPr>
        <w:footnoteReference w:id="86"/>
      </w:r>
      <w:r w:rsidRPr="00AB69B5">
        <w:rPr>
          <w:rFonts w:ascii="Times New Roman" w:hAnsi="Times New Roman" w:cs="Times New Roman"/>
        </w:rPr>
        <w:t xml:space="preserve">  Coalition MP Captain Loseby, a schoolmaster and barrister, cited the example of his six 'shabby genteel' sisters who had the options only of being governesses, nurses, or schoolmistresses, which were honourable but 'underpaid, overworked and ill-fed professions… all other avenues were closed'.</w:t>
      </w:r>
      <w:r w:rsidRPr="00AB69B5">
        <w:rPr>
          <w:rStyle w:val="FootnoteReference"/>
          <w:rFonts w:ascii="Times New Roman" w:hAnsi="Times New Roman" w:cs="Times New Roman"/>
        </w:rPr>
        <w:footnoteReference w:id="87"/>
      </w:r>
    </w:p>
    <w:p w14:paraId="5257710D" w14:textId="77777777" w:rsidR="005607D6" w:rsidRPr="00AB69B5" w:rsidRDefault="005607D6" w:rsidP="00AB69B5">
      <w:pPr>
        <w:spacing w:line="480" w:lineRule="auto"/>
        <w:jc w:val="both"/>
        <w:rPr>
          <w:rFonts w:ascii="Times New Roman" w:hAnsi="Times New Roman" w:cs="Times New Roman"/>
        </w:rPr>
      </w:pPr>
    </w:p>
    <w:p w14:paraId="7F98EB64" w14:textId="60346CBD"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 xml:space="preserve">In contrast to lawyers in the ranks of the Liberals and Conservatives, it is noticeable that virtually all the Labour MPs who spoke in strong support of the bill came from a mining background.  They included William Adamson, a miner for twenty-seven years; William Carter; William Lunn who had begun his </w:t>
      </w:r>
      <w:r w:rsidRPr="00AB69B5">
        <w:rPr>
          <w:rFonts w:ascii="Times New Roman" w:hAnsi="Times New Roman" w:cs="Times New Roman"/>
        </w:rPr>
        <w:lastRenderedPageBreak/>
        <w:t>mining career at age twelve; and Tom Cape at age thirteen.</w:t>
      </w:r>
      <w:r w:rsidRPr="00AB69B5">
        <w:rPr>
          <w:rStyle w:val="FootnoteReference"/>
          <w:rFonts w:ascii="Times New Roman" w:hAnsi="Times New Roman" w:cs="Times New Roman"/>
        </w:rPr>
        <w:footnoteReference w:id="88"/>
      </w:r>
      <w:r w:rsidRPr="00AB69B5">
        <w:rPr>
          <w:rFonts w:ascii="Times New Roman" w:hAnsi="Times New Roman" w:cs="Times New Roman"/>
        </w:rPr>
        <w:t xml:space="preserve">  Lunn spoke in favour of female magistrates: 'For two years during the War I sat as Chairman of the Council upon the Bench of magistrates in Leeds. There were many occasions upon which I saw how necessary it was that women should be mixed with men upon that bench. Husbands often sent their wives to appear for them. They often put their wives into it if there is nasty work to do. There are delicate questions of sex that come before benches in which a woman's presence would be very useful.'</w:t>
      </w:r>
      <w:r w:rsidRPr="00AB69B5">
        <w:rPr>
          <w:rStyle w:val="FootnoteReference"/>
          <w:rFonts w:ascii="Times New Roman" w:hAnsi="Times New Roman" w:cs="Times New Roman"/>
        </w:rPr>
        <w:footnoteReference w:id="89"/>
      </w:r>
      <w:r w:rsidRPr="00AB69B5">
        <w:rPr>
          <w:rFonts w:ascii="Times New Roman" w:hAnsi="Times New Roman" w:cs="Times New Roman"/>
        </w:rPr>
        <w:t xml:space="preserve">  Benjamin Spoor, who introduced the bill, represented the strong mining constituency of Bishops Auckland.  It is noteworthy to find all these Labour mining MPs in Parliament in 1919 when post-war reconstruction and unemployment must surely have been foremost in their minds, promoting a bill which would allow middle-class women to become lawyers and accountants.  Indeed it may be seen as ironic, given that later the same year they would be pressing for the Restoration of Pre-War Practices Bill which was in part aimed at removing women from industry.</w:t>
      </w:r>
      <w:r w:rsidRPr="00AB69B5">
        <w:rPr>
          <w:rStyle w:val="FootnoteReference"/>
          <w:rFonts w:ascii="Times New Roman" w:hAnsi="Times New Roman" w:cs="Times New Roman"/>
        </w:rPr>
        <w:footnoteReference w:id="90"/>
      </w:r>
      <w:r w:rsidRPr="00AB69B5">
        <w:rPr>
          <w:rFonts w:ascii="Times New Roman" w:hAnsi="Times New Roman" w:cs="Times New Roman"/>
        </w:rPr>
        <w:t xml:space="preserve"> However the Labour party’s election manifesto in 1918 had included a statement that 'the Labour Party </w:t>
      </w:r>
      <w:r w:rsidRPr="00AB69B5">
        <w:rPr>
          <w:rFonts w:ascii="Times New Roman" w:hAnsi="Times New Roman" w:cs="Times New Roman"/>
          <w:i/>
        </w:rPr>
        <w:t>is</w:t>
      </w:r>
      <w:r w:rsidRPr="00AB69B5">
        <w:rPr>
          <w:rFonts w:ascii="Times New Roman" w:hAnsi="Times New Roman" w:cs="Times New Roman"/>
        </w:rPr>
        <w:t xml:space="preserve"> the Women’s Party,'</w:t>
      </w:r>
      <w:r w:rsidRPr="00AB69B5">
        <w:rPr>
          <w:rStyle w:val="FootnoteReference"/>
          <w:rFonts w:ascii="Times New Roman" w:hAnsi="Times New Roman" w:cs="Times New Roman"/>
        </w:rPr>
        <w:footnoteReference w:id="91"/>
      </w:r>
      <w:r w:rsidRPr="00AB69B5">
        <w:rPr>
          <w:rFonts w:ascii="Times New Roman" w:hAnsi="Times New Roman" w:cs="Times New Roman"/>
        </w:rPr>
        <w:t xml:space="preserve"> and by introducing the Women’s Emancipation Bill early in the new Parliament, Labour were able to use this as a demonstration of their good will, stealing a march on the government.</w:t>
      </w:r>
    </w:p>
    <w:p w14:paraId="288B5C35" w14:textId="77777777" w:rsidR="005607D6" w:rsidRPr="00AB69B5" w:rsidRDefault="005607D6" w:rsidP="00AB69B5">
      <w:pPr>
        <w:spacing w:line="480" w:lineRule="auto"/>
        <w:jc w:val="both"/>
        <w:rPr>
          <w:rFonts w:ascii="Times New Roman" w:hAnsi="Times New Roman" w:cs="Times New Roman"/>
        </w:rPr>
      </w:pPr>
    </w:p>
    <w:p w14:paraId="055D20EB" w14:textId="563C662D"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admission of women to the legal profession was in fact the least controversial part of the bill. A separate Barristers &amp; Solicitors (Qualification of Women) Bill had passed the House of Lords with almost no opposition less than a month before, and a Justices of the Peace (Qualification of Women) Bill passed the Lords later in 1919.</w:t>
      </w:r>
      <w:r w:rsidRPr="00AB69B5">
        <w:rPr>
          <w:rStyle w:val="FootnoteReference"/>
          <w:rFonts w:ascii="Times New Roman" w:hAnsi="Times New Roman" w:cs="Times New Roman"/>
        </w:rPr>
        <w:footnoteReference w:id="92"/>
      </w:r>
      <w:r w:rsidRPr="00AB69B5">
        <w:rPr>
          <w:rFonts w:ascii="Times New Roman" w:hAnsi="Times New Roman" w:cs="Times New Roman"/>
        </w:rPr>
        <w:t xml:space="preserve">  These bills were both rendered unnecessary by the passage of the Sex Disqualification (Removal) Act. Lord Buckmaster reassured the Lords at the time that, 'Nobody thinks </w:t>
      </w:r>
      <w:r w:rsidRPr="00AB69B5">
        <w:rPr>
          <w:rFonts w:ascii="Times New Roman" w:hAnsi="Times New Roman" w:cs="Times New Roman"/>
        </w:rPr>
        <w:lastRenderedPageBreak/>
        <w:t>that this bill is going to flood the legal profession with women. It will enable a few women, who are peculiarly qualified, to earn an honourable living.'</w:t>
      </w:r>
      <w:r w:rsidRPr="00AB69B5">
        <w:rPr>
          <w:rStyle w:val="FootnoteReference"/>
          <w:rFonts w:ascii="Times New Roman" w:hAnsi="Times New Roman" w:cs="Times New Roman"/>
        </w:rPr>
        <w:footnoteReference w:id="93"/>
      </w:r>
      <w:r w:rsidRPr="00AB69B5">
        <w:rPr>
          <w:rFonts w:ascii="Times New Roman" w:hAnsi="Times New Roman" w:cs="Times New Roman"/>
        </w:rPr>
        <w:t xml:space="preserve"> But the lack of controversy in debate on these issues should not detract from the significance of the achievement.  Before 1919, women had no role in court other than as defendant or witness. The whole idea of allowing women entry to 'the professions' such as law, is significant in that the word 'professional' in this period implied 'male', and carried connotations of higher social status and political citizenship.</w:t>
      </w:r>
      <w:r w:rsidRPr="00AB69B5">
        <w:rPr>
          <w:rStyle w:val="FootnoteReference"/>
          <w:rFonts w:ascii="Times New Roman" w:hAnsi="Times New Roman" w:cs="Times New Roman"/>
        </w:rPr>
        <w:footnoteReference w:id="94"/>
      </w:r>
    </w:p>
    <w:p w14:paraId="60C48BAB" w14:textId="77777777" w:rsidR="005607D6" w:rsidRPr="00AB69B5" w:rsidRDefault="005607D6" w:rsidP="00AB69B5">
      <w:pPr>
        <w:spacing w:line="480" w:lineRule="auto"/>
        <w:jc w:val="both"/>
        <w:rPr>
          <w:rFonts w:ascii="Times New Roman" w:hAnsi="Times New Roman" w:cs="Times New Roman"/>
        </w:rPr>
      </w:pPr>
    </w:p>
    <w:p w14:paraId="6F2F1714"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Women’s Emancipation Bill passed resoundingly on second reading in the House of Commons with 119 votes to 32.</w:t>
      </w:r>
      <w:r w:rsidRPr="00AB69B5">
        <w:rPr>
          <w:rStyle w:val="FootnoteReference"/>
          <w:rFonts w:ascii="Times New Roman" w:hAnsi="Times New Roman" w:cs="Times New Roman"/>
        </w:rPr>
        <w:footnoteReference w:id="95"/>
      </w:r>
      <w:r w:rsidRPr="00AB69B5">
        <w:rPr>
          <w:rFonts w:ascii="Times New Roman" w:hAnsi="Times New Roman" w:cs="Times New Roman"/>
        </w:rPr>
        <w:t xml:space="preserve">  This was a major triumph for a private member's bill, and a narrow victory in that a private member's bill had to get 100 votes in favour to avoid closure. The Bill then passed committee stage without amendment on 14 May 1919.</w:t>
      </w:r>
      <w:r w:rsidRPr="00AB69B5">
        <w:rPr>
          <w:rStyle w:val="FootnoteReference"/>
          <w:rFonts w:ascii="Times New Roman" w:hAnsi="Times New Roman" w:cs="Times New Roman"/>
        </w:rPr>
        <w:footnoteReference w:id="96"/>
      </w:r>
      <w:r w:rsidRPr="00AB69B5">
        <w:rPr>
          <w:rFonts w:ascii="Times New Roman" w:hAnsi="Times New Roman" w:cs="Times New Roman"/>
        </w:rPr>
        <w:t xml:space="preserve"> Two days later, the Bill finally made it onto the government agenda.  It was discussed in the War Cabinet Committee of Home Affairs on 16 and 28 May as the government pondered what to do at the approaching third reading.  The civil service expressed two major concerns about women entering its senior ranks, firstly about women working after marriage and secondly about the possibility of women serving overseas.  The cabinet committee concluded that they should draft a completely new bill taking account of these objections.</w:t>
      </w:r>
      <w:r w:rsidRPr="00AB69B5">
        <w:rPr>
          <w:rStyle w:val="FootnoteReference"/>
          <w:rFonts w:ascii="Times New Roman" w:hAnsi="Times New Roman" w:cs="Times New Roman"/>
        </w:rPr>
        <w:footnoteReference w:id="97"/>
      </w:r>
    </w:p>
    <w:p w14:paraId="7C95530C" w14:textId="77777777" w:rsidR="005607D6" w:rsidRPr="00AB69B5" w:rsidRDefault="005607D6" w:rsidP="00AB69B5">
      <w:pPr>
        <w:spacing w:line="480" w:lineRule="auto"/>
        <w:jc w:val="both"/>
        <w:rPr>
          <w:rFonts w:ascii="Times New Roman" w:hAnsi="Times New Roman" w:cs="Times New Roman"/>
        </w:rPr>
      </w:pPr>
    </w:p>
    <w:p w14:paraId="079FEC13"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 xml:space="preserve">So at the third reading of the Women’s Emancipation Bill on 4 July the government finally weighed in against it, explaining that it would introduce its own bill which would maintain the clauses about civil and </w:t>
      </w:r>
      <w:r w:rsidRPr="00AB69B5">
        <w:rPr>
          <w:rFonts w:ascii="Times New Roman" w:hAnsi="Times New Roman" w:cs="Times New Roman"/>
        </w:rPr>
        <w:lastRenderedPageBreak/>
        <w:t>judicial appointments and woman peers only.   The equal franchise clause would be deleted. However, they faced opposition; nineteen MPs spoke over seventy-three columns of debate and the speeches were almost entirely in favour of the Women’s Emancipation Bill as it stood.  Women’s organisations, previously caught by surprise at Labour’s introduction of this bill, had rallied to lobby sympathetic MPs. For example the papers of William Wedgwood Benn, a Liberal MP and supporter of women’s causes generally, show correspondence and circulars from a number of different women’s organisations urging him to be present and support the Bill on 4 July.</w:t>
      </w:r>
      <w:r w:rsidRPr="00AB69B5">
        <w:rPr>
          <w:rStyle w:val="FootnoteReference"/>
          <w:rFonts w:ascii="Times New Roman" w:hAnsi="Times New Roman" w:cs="Times New Roman"/>
        </w:rPr>
        <w:footnoteReference w:id="98"/>
      </w:r>
      <w:r w:rsidRPr="00AB69B5">
        <w:rPr>
          <w:rFonts w:ascii="Times New Roman" w:hAnsi="Times New Roman" w:cs="Times New Roman"/>
        </w:rPr>
        <w:t xml:space="preserve"> Also willing to lend his support against the government was the influential Conservative Lord Robert Cecil.</w:t>
      </w:r>
      <w:r w:rsidRPr="00AB69B5">
        <w:rPr>
          <w:rStyle w:val="FootnoteReference"/>
          <w:rFonts w:ascii="Times New Roman" w:hAnsi="Times New Roman" w:cs="Times New Roman"/>
        </w:rPr>
        <w:footnoteReference w:id="99"/>
      </w:r>
      <w:r w:rsidRPr="00AB69B5">
        <w:rPr>
          <w:rFonts w:ascii="Times New Roman" w:hAnsi="Times New Roman" w:cs="Times New Roman"/>
        </w:rPr>
        <w:t xml:space="preserve"> The result was an unusual victory for a private member's bill in the face of government hostility.  In the division the government was defeated 100 to 85, amid calls of 'Resign, resign!'</w:t>
      </w:r>
      <w:r w:rsidRPr="00AB69B5">
        <w:rPr>
          <w:rStyle w:val="FootnoteReference"/>
          <w:rFonts w:ascii="Times New Roman" w:hAnsi="Times New Roman" w:cs="Times New Roman"/>
        </w:rPr>
        <w:footnoteReference w:id="100"/>
      </w:r>
    </w:p>
    <w:p w14:paraId="1D3039FF" w14:textId="77777777" w:rsidR="005607D6" w:rsidRPr="00AB69B5" w:rsidRDefault="005607D6" w:rsidP="00AB69B5">
      <w:pPr>
        <w:spacing w:line="480" w:lineRule="auto"/>
        <w:jc w:val="both"/>
        <w:rPr>
          <w:rFonts w:ascii="Times New Roman" w:hAnsi="Times New Roman" w:cs="Times New Roman"/>
        </w:rPr>
      </w:pPr>
    </w:p>
    <w:p w14:paraId="5E2D9BBD"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Although the Women’s Emancipation Bill had successfully passed all its hurdles in the Commons, it now moved on to the Lords; and by now the government had drafted its own bill, the Sex Disqualification (Removal) Bill.  This had its second reading on 22 July and the introductory speech by the Lord Chancellor, Lord Birkenhead, left peers in no doubt that this new bill was intended to kill off the Women’s Emancipation Bill.</w:t>
      </w:r>
      <w:r w:rsidRPr="00AB69B5">
        <w:rPr>
          <w:rStyle w:val="FootnoteReference"/>
          <w:rFonts w:ascii="Times New Roman" w:hAnsi="Times New Roman" w:cs="Times New Roman"/>
        </w:rPr>
        <w:footnoteReference w:id="101"/>
      </w:r>
      <w:r w:rsidRPr="00AB69B5">
        <w:rPr>
          <w:rFonts w:ascii="Times New Roman" w:hAnsi="Times New Roman" w:cs="Times New Roman"/>
        </w:rPr>
        <w:t xml:space="preserve">  Lord Kimberley, who was due shortly to introduce it, was taken by surprise, saying ‘I was not in the least prepared to hear my “baby” – my Bill – torn to pieces by the noble and learned Lord on the Woolsack tonight.’</w:t>
      </w:r>
      <w:r w:rsidRPr="00AB69B5">
        <w:rPr>
          <w:rStyle w:val="FootnoteReference"/>
          <w:rFonts w:ascii="Times New Roman" w:hAnsi="Times New Roman" w:cs="Times New Roman"/>
        </w:rPr>
        <w:footnoteReference w:id="102"/>
      </w:r>
      <w:r w:rsidRPr="00AB69B5">
        <w:rPr>
          <w:rFonts w:ascii="Times New Roman" w:hAnsi="Times New Roman" w:cs="Times New Roman"/>
        </w:rPr>
        <w:t xml:space="preserve">  The Women’s Emancipation Bill did have its supporters in the Lords who did their best to move it on, and with the moral authority of its passage in the Commons, if </w:t>
      </w:r>
      <w:r w:rsidRPr="00AB69B5">
        <w:rPr>
          <w:rFonts w:ascii="Times New Roman" w:hAnsi="Times New Roman" w:cs="Times New Roman"/>
        </w:rPr>
        <w:lastRenderedPageBreak/>
        <w:t>it had still been the only such bill on the table they might well have made progress; but the existence of the government rival bill by this time meant they really had no chance.</w:t>
      </w:r>
    </w:p>
    <w:p w14:paraId="16BC9308" w14:textId="77777777" w:rsidR="005607D6" w:rsidRPr="00AB69B5" w:rsidRDefault="005607D6" w:rsidP="00AB69B5">
      <w:pPr>
        <w:spacing w:line="480" w:lineRule="auto"/>
        <w:jc w:val="both"/>
        <w:rPr>
          <w:rFonts w:ascii="Times New Roman" w:hAnsi="Times New Roman" w:cs="Times New Roman"/>
        </w:rPr>
      </w:pPr>
    </w:p>
    <w:p w14:paraId="5B614690" w14:textId="77777777" w:rsidR="005607D6" w:rsidRPr="00AB69B5" w:rsidRDefault="005607D6" w:rsidP="00AB69B5">
      <w:pPr>
        <w:spacing w:line="480" w:lineRule="auto"/>
        <w:jc w:val="both"/>
        <w:rPr>
          <w:rFonts w:ascii="Times New Roman" w:hAnsi="Times New Roman" w:cs="Times New Roman"/>
          <w:b/>
        </w:rPr>
      </w:pPr>
      <w:r w:rsidRPr="00AB69B5">
        <w:rPr>
          <w:rFonts w:ascii="Times New Roman" w:hAnsi="Times New Roman" w:cs="Times New Roman"/>
          <w:b/>
        </w:rPr>
        <w:t>The Sex Disqualification (Removal) Bill</w:t>
      </w:r>
    </w:p>
    <w:p w14:paraId="3DDCE60B" w14:textId="6628AC2E" w:rsidR="005607D6" w:rsidRPr="00AB69B5" w:rsidRDefault="005607D6" w:rsidP="00AB69B5">
      <w:pPr>
        <w:spacing w:line="480" w:lineRule="auto"/>
        <w:jc w:val="both"/>
        <w:rPr>
          <w:rFonts w:ascii="Times New Roman" w:hAnsi="Times New Roman" w:cs="Times New Roman"/>
        </w:rPr>
      </w:pPr>
    </w:p>
    <w:p w14:paraId="5E7204C4"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Sex Disqualification (Removal) Bill initially consisted of the following two clauses with provisos:</w:t>
      </w:r>
    </w:p>
    <w:p w14:paraId="572DCC10" w14:textId="77777777" w:rsidR="005607D6" w:rsidRPr="00AB69B5" w:rsidRDefault="005607D6" w:rsidP="00AB69B5">
      <w:pPr>
        <w:spacing w:line="480" w:lineRule="auto"/>
        <w:jc w:val="both"/>
        <w:rPr>
          <w:rFonts w:ascii="Times New Roman" w:hAnsi="Times New Roman" w:cs="Times New Roman"/>
        </w:rPr>
      </w:pPr>
    </w:p>
    <w:p w14:paraId="12FA5B21" w14:textId="77777777" w:rsidR="005607D6" w:rsidRPr="00AB69B5" w:rsidRDefault="005607D6" w:rsidP="00AB69B5">
      <w:pPr>
        <w:spacing w:line="480" w:lineRule="auto"/>
        <w:ind w:left="720"/>
        <w:jc w:val="both"/>
        <w:rPr>
          <w:rFonts w:ascii="Times New Roman" w:hAnsi="Times New Roman" w:cs="Times New Roman"/>
        </w:rPr>
      </w:pPr>
      <w:r w:rsidRPr="00AB69B5">
        <w:rPr>
          <w:rFonts w:ascii="Times New Roman" w:hAnsi="Times New Roman" w:cs="Times New Roman"/>
        </w:rPr>
        <w:t>Clause 1 – a person would not be disqualified by sex [marriage was not mentioned] from exercising any public function, or serving on juries, with two provisos:</w:t>
      </w:r>
    </w:p>
    <w:p w14:paraId="2986C83F" w14:textId="77777777" w:rsidR="005607D6" w:rsidRPr="00AB69B5" w:rsidRDefault="005607D6" w:rsidP="00AB69B5">
      <w:pPr>
        <w:spacing w:line="480" w:lineRule="auto"/>
        <w:ind w:left="720"/>
        <w:jc w:val="both"/>
        <w:rPr>
          <w:rFonts w:ascii="Times New Roman" w:hAnsi="Times New Roman" w:cs="Times New Roman"/>
        </w:rPr>
      </w:pPr>
      <w:r w:rsidRPr="00AB69B5">
        <w:rPr>
          <w:rFonts w:ascii="Times New Roman" w:hAnsi="Times New Roman" w:cs="Times New Roman"/>
        </w:rPr>
        <w:t>Proviso (a) - regulations might be made prescribing the mode of admission to the civil service, and excluding women from certain branches;</w:t>
      </w:r>
    </w:p>
    <w:p w14:paraId="32BCE8C3" w14:textId="77777777" w:rsidR="005607D6" w:rsidRPr="00AB69B5" w:rsidRDefault="005607D6" w:rsidP="00AB69B5">
      <w:pPr>
        <w:spacing w:line="480" w:lineRule="auto"/>
        <w:ind w:left="720"/>
        <w:jc w:val="both"/>
        <w:rPr>
          <w:rFonts w:ascii="Times New Roman" w:hAnsi="Times New Roman" w:cs="Times New Roman"/>
        </w:rPr>
      </w:pPr>
      <w:r w:rsidRPr="00AB69B5">
        <w:rPr>
          <w:rFonts w:ascii="Times New Roman" w:hAnsi="Times New Roman" w:cs="Times New Roman"/>
        </w:rPr>
        <w:t>Proviso (b) - judges might exempt women from jury service by reason of the nature of evidence or issues.</w:t>
      </w:r>
    </w:p>
    <w:p w14:paraId="143A4C72" w14:textId="77777777" w:rsidR="005607D6" w:rsidRPr="00AB69B5" w:rsidRDefault="005607D6" w:rsidP="00AB69B5">
      <w:pPr>
        <w:spacing w:line="480" w:lineRule="auto"/>
        <w:ind w:left="720"/>
        <w:jc w:val="both"/>
        <w:rPr>
          <w:rFonts w:ascii="Times New Roman" w:hAnsi="Times New Roman" w:cs="Times New Roman"/>
        </w:rPr>
      </w:pPr>
      <w:r w:rsidRPr="00AB69B5">
        <w:rPr>
          <w:rFonts w:ascii="Times New Roman" w:hAnsi="Times New Roman" w:cs="Times New Roman"/>
        </w:rPr>
        <w:t>Clause 2 – allowed peeresses in their own right to sit in the House of Lords.</w:t>
      </w:r>
    </w:p>
    <w:p w14:paraId="1B936F75" w14:textId="77777777" w:rsidR="005607D6" w:rsidRPr="00AB69B5" w:rsidRDefault="005607D6" w:rsidP="00AB69B5">
      <w:pPr>
        <w:spacing w:line="480" w:lineRule="auto"/>
        <w:jc w:val="both"/>
        <w:rPr>
          <w:rFonts w:ascii="Times New Roman" w:hAnsi="Times New Roman" w:cs="Times New Roman"/>
        </w:rPr>
      </w:pPr>
    </w:p>
    <w:p w14:paraId="02279E45" w14:textId="416246C3"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feminist campaigner Ray Strachey commented, 'In its first form this Bill did little more than open the legal profession to women'.</w:t>
      </w:r>
      <w:r w:rsidRPr="00AB69B5">
        <w:rPr>
          <w:rStyle w:val="FootnoteReference"/>
          <w:rFonts w:ascii="Times New Roman" w:hAnsi="Times New Roman" w:cs="Times New Roman"/>
        </w:rPr>
        <w:footnoteReference w:id="103"/>
      </w:r>
      <w:r w:rsidRPr="00AB69B5">
        <w:rPr>
          <w:rFonts w:ascii="Times New Roman" w:hAnsi="Times New Roman" w:cs="Times New Roman"/>
        </w:rPr>
        <w:t xml:space="preserve">  Whilst allowing for her disappointment in losing the Women’s Emancipation Bill, this is still a harsh judgement; it is clear that in its first form the bill was intended to open not only the legal profession but also the civil service and other public offices, and jury service. The franchise clause had been removed but the peeresses clause was still there - although not for long, as it </w:t>
      </w:r>
      <w:r w:rsidRPr="00AB69B5">
        <w:rPr>
          <w:rFonts w:ascii="Times New Roman" w:hAnsi="Times New Roman" w:cs="Times New Roman"/>
        </w:rPr>
        <w:lastRenderedPageBreak/>
        <w:t>turned out.  Most debate in the House of Lords focussed on the peeresses' clause, which was dropped at committee stage without a division.</w:t>
      </w:r>
      <w:r w:rsidRPr="00AB69B5">
        <w:rPr>
          <w:rStyle w:val="FootnoteReference"/>
          <w:rFonts w:ascii="Times New Roman" w:hAnsi="Times New Roman" w:cs="Times New Roman"/>
        </w:rPr>
        <w:footnoteReference w:id="104"/>
      </w:r>
    </w:p>
    <w:p w14:paraId="44EF6A79" w14:textId="77777777" w:rsidR="005607D6" w:rsidRPr="00AB69B5" w:rsidRDefault="005607D6" w:rsidP="00AB69B5">
      <w:pPr>
        <w:spacing w:line="480" w:lineRule="auto"/>
        <w:jc w:val="both"/>
        <w:rPr>
          <w:rFonts w:ascii="Times New Roman" w:hAnsi="Times New Roman" w:cs="Times New Roman"/>
        </w:rPr>
      </w:pPr>
    </w:p>
    <w:p w14:paraId="2FD480A6"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Now that the Women’s Emancipation bill was dead, the attention of women lobbyists and the peers and MPs sympathetic to them switched to attempts to amend the Sex Disqualification (Removal) Bill to make it as acceptable as possible.  Some amendments were relatively straightforward and successful, for example the inclusion of a phrase to ensure the admittance of women to incorporated professional societies. This was added at committee stage following lobbying by the Society of Accountants and the Faculty of Actuaries in Edinburgh.</w:t>
      </w:r>
      <w:r w:rsidRPr="00AB69B5">
        <w:rPr>
          <w:rStyle w:val="FootnoteReference"/>
          <w:rFonts w:ascii="Times New Roman" w:hAnsi="Times New Roman" w:cs="Times New Roman"/>
        </w:rPr>
        <w:footnoteReference w:id="105"/>
      </w:r>
      <w:r w:rsidRPr="00AB69B5">
        <w:rPr>
          <w:rFonts w:ascii="Times New Roman" w:hAnsi="Times New Roman" w:cs="Times New Roman"/>
        </w:rPr>
        <w:t xml:space="preserve">  It was a good victory for pressure groups and made a real difference to some individual women.</w:t>
      </w:r>
      <w:r w:rsidRPr="00AB69B5">
        <w:rPr>
          <w:rStyle w:val="FootnoteReference"/>
          <w:rFonts w:ascii="Times New Roman" w:hAnsi="Times New Roman" w:cs="Times New Roman"/>
        </w:rPr>
        <w:footnoteReference w:id="106"/>
      </w:r>
      <w:r w:rsidRPr="00AB69B5">
        <w:rPr>
          <w:rFonts w:ascii="Times New Roman" w:hAnsi="Times New Roman" w:cs="Times New Roman"/>
        </w:rPr>
        <w:t xml:space="preserve"> The bill next came for detailed consideration in the Commons at committee stage on 27 October. Again some amendments were made with little controversy, including a clause stating that universities had the power to admit women to membership or degrees.</w:t>
      </w:r>
      <w:r w:rsidRPr="00AB69B5">
        <w:rPr>
          <w:rStyle w:val="FootnoteReference"/>
          <w:rFonts w:ascii="Times New Roman" w:hAnsi="Times New Roman" w:cs="Times New Roman"/>
        </w:rPr>
        <w:footnoteReference w:id="107"/>
      </w:r>
      <w:r w:rsidRPr="00AB69B5">
        <w:rPr>
          <w:rFonts w:ascii="Times New Roman" w:hAnsi="Times New Roman" w:cs="Times New Roman"/>
        </w:rPr>
        <w:t xml:space="preserve">  As a direct result of this, within a year Oxford chose to admit women to degrees, though Cambridge did not do so until 1948.</w:t>
      </w:r>
    </w:p>
    <w:p w14:paraId="06581EE0" w14:textId="77777777" w:rsidR="005607D6" w:rsidRPr="00AB69B5" w:rsidRDefault="005607D6" w:rsidP="00AB69B5">
      <w:pPr>
        <w:spacing w:line="480" w:lineRule="auto"/>
        <w:jc w:val="both"/>
        <w:rPr>
          <w:rFonts w:ascii="Times New Roman" w:hAnsi="Times New Roman" w:cs="Times New Roman"/>
        </w:rPr>
      </w:pPr>
    </w:p>
    <w:p w14:paraId="7DA51E2F" w14:textId="72418FD0"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 xml:space="preserve">There was more debate on other issues.  One symbolically important amendment was successfully introduced by Major Hills so the bill began 'A person shall not be disqualified by sex </w:t>
      </w:r>
      <w:r w:rsidRPr="00AB69B5">
        <w:rPr>
          <w:rFonts w:ascii="Times New Roman" w:hAnsi="Times New Roman" w:cs="Times New Roman"/>
          <w:i/>
        </w:rPr>
        <w:t>or marriage</w:t>
      </w:r>
      <w:r w:rsidRPr="00AB69B5">
        <w:rPr>
          <w:rFonts w:ascii="Times New Roman" w:hAnsi="Times New Roman" w:cs="Times New Roman"/>
        </w:rPr>
        <w:t xml:space="preserve">'. John </w:t>
      </w:r>
      <w:r w:rsidRPr="00AB69B5">
        <w:rPr>
          <w:rFonts w:ascii="Times New Roman" w:hAnsi="Times New Roman" w:cs="Times New Roman"/>
        </w:rPr>
        <w:lastRenderedPageBreak/>
        <w:t>Waller Hills was a Liberal Unionist (later Conservative) MP, and a loyal friend to women's causes over the years from 1918, particularly in favour of equality in the civil service.  This point about marriage was resurrected from the Women’s Emancipation Bill, and it is clear from the debate that Hills’s intention was to remove the marriage bar.</w:t>
      </w:r>
      <w:r w:rsidRPr="00AB69B5">
        <w:rPr>
          <w:rStyle w:val="FootnoteReference"/>
          <w:rFonts w:ascii="Times New Roman" w:hAnsi="Times New Roman" w:cs="Times New Roman"/>
        </w:rPr>
        <w:t xml:space="preserve"> </w:t>
      </w:r>
      <w:r w:rsidRPr="00AB69B5">
        <w:rPr>
          <w:rStyle w:val="FootnoteReference"/>
          <w:rFonts w:ascii="Times New Roman" w:hAnsi="Times New Roman" w:cs="Times New Roman"/>
        </w:rPr>
        <w:footnoteReference w:id="108"/>
      </w:r>
      <w:r w:rsidRPr="00AB69B5">
        <w:rPr>
          <w:rFonts w:ascii="Times New Roman" w:hAnsi="Times New Roman" w:cs="Times New Roman"/>
        </w:rPr>
        <w:t xml:space="preserve">  This did not happen in practice; the continuing existence of the marriage bar, which forced female employees in the civil service to resign their position on marriage, remained a thorn in the side of women’s organisations until after the Second World War.</w:t>
      </w:r>
      <w:r w:rsidRPr="00AB69B5">
        <w:rPr>
          <w:rStyle w:val="FootnoteReference"/>
          <w:rFonts w:ascii="Times New Roman" w:hAnsi="Times New Roman" w:cs="Times New Roman"/>
        </w:rPr>
        <w:footnoteReference w:id="109"/>
      </w:r>
      <w:r w:rsidRPr="00AB69B5">
        <w:rPr>
          <w:rFonts w:ascii="Times New Roman" w:hAnsi="Times New Roman" w:cs="Times New Roman"/>
        </w:rPr>
        <w:t xml:space="preserve">  Yet it is difficult to see what else could have been done in 1919.  Neither the much lauded Women’s Emancipation Bill nor the Sex Disqualification (Removal) Bill were drafted in terms of explicitly giving married women the right to work.  Hills had managed to get the ‘or marriage’ incorporated in the Bill and at the time, that seemed as if it would be enough.</w:t>
      </w:r>
    </w:p>
    <w:p w14:paraId="4283F4B9" w14:textId="58370AC2" w:rsidR="005607D6" w:rsidRPr="00AB69B5" w:rsidRDefault="005607D6" w:rsidP="00AB69B5">
      <w:pPr>
        <w:spacing w:line="480" w:lineRule="auto"/>
        <w:jc w:val="both"/>
        <w:rPr>
          <w:rFonts w:ascii="Times New Roman" w:hAnsi="Times New Roman" w:cs="Times New Roman"/>
        </w:rPr>
      </w:pPr>
    </w:p>
    <w:p w14:paraId="5B503C97" w14:textId="52A4996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main concern expressed by women’s organisations at the time was about proviso (a), allowing regulations to be made on the civil service, as this would enable authorities to bar women from some parts of the civil service.</w:t>
      </w:r>
      <w:r w:rsidRPr="00AB69B5">
        <w:rPr>
          <w:rStyle w:val="FootnoteReference"/>
          <w:rFonts w:ascii="Times New Roman" w:hAnsi="Times New Roman" w:cs="Times New Roman"/>
        </w:rPr>
        <w:footnoteReference w:id="110"/>
      </w:r>
      <w:r w:rsidRPr="00AB69B5">
        <w:rPr>
          <w:rFonts w:ascii="Times New Roman" w:hAnsi="Times New Roman" w:cs="Times New Roman"/>
        </w:rPr>
        <w:t xml:space="preserve"> The government got their way on this; an amendment proposed by Conservative MP Samuel Hoare was lost 189 to 101.</w:t>
      </w:r>
      <w:r w:rsidRPr="00AB69B5">
        <w:rPr>
          <w:rStyle w:val="FootnoteReference"/>
          <w:rFonts w:ascii="Times New Roman" w:hAnsi="Times New Roman" w:cs="Times New Roman"/>
        </w:rPr>
        <w:footnoteReference w:id="111"/>
      </w:r>
      <w:r w:rsidRPr="00AB69B5">
        <w:rPr>
          <w:rFonts w:ascii="Times New Roman" w:hAnsi="Times New Roman" w:cs="Times New Roman"/>
        </w:rPr>
        <w:t xml:space="preserve"> A number of orders in council were duly made which confirmed the fears of the women campaigners, reserving to men posts in the diplomatic consular services, the colonies and protectorates.  Women were barred from these areas until 1946.</w:t>
      </w:r>
      <w:r w:rsidRPr="00AB69B5">
        <w:rPr>
          <w:rStyle w:val="FootnoteReference"/>
          <w:rFonts w:ascii="Times New Roman" w:hAnsi="Times New Roman" w:cs="Times New Roman"/>
        </w:rPr>
        <w:footnoteReference w:id="112"/>
      </w:r>
      <w:r w:rsidRPr="00AB69B5">
        <w:rPr>
          <w:rFonts w:ascii="Times New Roman" w:hAnsi="Times New Roman" w:cs="Times New Roman"/>
        </w:rPr>
        <w:t xml:space="preserve"> Nevertheless </w:t>
      </w:r>
      <w:r w:rsidRPr="00AB69B5">
        <w:rPr>
          <w:rFonts w:ascii="Times New Roman" w:hAnsi="Times New Roman" w:cs="Times New Roman"/>
        </w:rPr>
        <w:lastRenderedPageBreak/>
        <w:t>women were for the first time admitted to the first division of the home civil service by open examination. Numbers were very small for years, yet the principle, at least, was won.</w:t>
      </w:r>
      <w:r w:rsidRPr="00AB69B5">
        <w:rPr>
          <w:rStyle w:val="FootnoteReference"/>
          <w:rFonts w:ascii="Times New Roman" w:hAnsi="Times New Roman" w:cs="Times New Roman"/>
        </w:rPr>
        <w:footnoteReference w:id="113"/>
      </w:r>
    </w:p>
    <w:p w14:paraId="30314F76" w14:textId="77777777" w:rsidR="005607D6" w:rsidRPr="00AB69B5" w:rsidRDefault="005607D6" w:rsidP="00AB69B5">
      <w:pPr>
        <w:spacing w:line="480" w:lineRule="auto"/>
        <w:jc w:val="both"/>
        <w:rPr>
          <w:rFonts w:ascii="Times New Roman" w:hAnsi="Times New Roman" w:cs="Times New Roman"/>
        </w:rPr>
      </w:pPr>
    </w:p>
    <w:p w14:paraId="6EC23D34"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One important difference between the Women's Emancipation Bill and the Sex Disqualification (Removal) Bill resulting from government drafting was the specific mention of juries. This was not uncontroversial; Sir E Hume-Williams (a KC) declared in the House of Commons, 'I cannot imagine anything more awful for a judge... than to have to deal with a jury wholly of women or party of men and partly of women.'</w:t>
      </w:r>
      <w:r w:rsidRPr="00AB69B5">
        <w:rPr>
          <w:rStyle w:val="FootnoteReference"/>
          <w:rFonts w:ascii="Times New Roman" w:hAnsi="Times New Roman" w:cs="Times New Roman"/>
        </w:rPr>
        <w:footnoteReference w:id="114"/>
      </w:r>
      <w:r w:rsidRPr="00AB69B5">
        <w:rPr>
          <w:rFonts w:ascii="Times New Roman" w:hAnsi="Times New Roman" w:cs="Times New Roman"/>
        </w:rPr>
        <w:t xml:space="preserve"> Parliamentary counsel Hugh Godley had realised it might be an issue, and the attorney-general advised that it was legally necessary to mention it specifically, as they would need to repeal the Juries Act 1870.</w:t>
      </w:r>
      <w:r w:rsidRPr="00AB69B5">
        <w:rPr>
          <w:rStyle w:val="FootnoteReference"/>
          <w:rFonts w:ascii="Times New Roman" w:hAnsi="Times New Roman" w:cs="Times New Roman"/>
        </w:rPr>
        <w:footnoteReference w:id="115"/>
      </w:r>
      <w:r w:rsidRPr="00AB69B5">
        <w:rPr>
          <w:rFonts w:ascii="Times New Roman" w:hAnsi="Times New Roman" w:cs="Times New Roman"/>
        </w:rPr>
        <w:t xml:space="preserve">  This shows that the Women’s Emancipation Bill as passed by the Commons would not actually have allowed women to be jurors, as it did not explicitly mention this. Edward Shortt (Home Secretary and also a KC) remarked 'he did not like the idea, but if women were going to be judges there was no reason why they should not sit on juries'.</w:t>
      </w:r>
      <w:r w:rsidRPr="00AB69B5">
        <w:rPr>
          <w:rStyle w:val="FootnoteReference"/>
          <w:rFonts w:ascii="Times New Roman" w:hAnsi="Times New Roman" w:cs="Times New Roman"/>
        </w:rPr>
        <w:footnoteReference w:id="116"/>
      </w:r>
      <w:r w:rsidRPr="00AB69B5">
        <w:rPr>
          <w:rFonts w:ascii="Times New Roman" w:hAnsi="Times New Roman" w:cs="Times New Roman"/>
        </w:rPr>
        <w:t xml:space="preserve">  Following pressure from individuals including Helena Normanton, women duly did became jurors after the Act was passed, once rules had been drafted for their selection in 1920.</w:t>
      </w:r>
      <w:r w:rsidRPr="00AB69B5">
        <w:rPr>
          <w:rStyle w:val="FootnoteReference"/>
          <w:rFonts w:ascii="Times New Roman" w:hAnsi="Times New Roman" w:cs="Times New Roman"/>
        </w:rPr>
        <w:footnoteReference w:id="117"/>
      </w:r>
    </w:p>
    <w:p w14:paraId="2CB2DDD7" w14:textId="77777777" w:rsidR="005607D6" w:rsidRPr="00AB69B5" w:rsidRDefault="005607D6" w:rsidP="00AB69B5">
      <w:pPr>
        <w:spacing w:line="480" w:lineRule="auto"/>
        <w:jc w:val="both"/>
        <w:rPr>
          <w:rFonts w:ascii="Times New Roman" w:hAnsi="Times New Roman" w:cs="Times New Roman"/>
        </w:rPr>
      </w:pPr>
    </w:p>
    <w:p w14:paraId="64F554F3"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lastRenderedPageBreak/>
        <w:t>However the effect of women on juries was mitigated by proviso (b) that there could be single sex juries.  Hills proposed an amendment to omit this,</w:t>
      </w:r>
      <w:r w:rsidRPr="00AB69B5">
        <w:rPr>
          <w:rStyle w:val="FootnoteReference"/>
          <w:rFonts w:ascii="Times New Roman" w:hAnsi="Times New Roman" w:cs="Times New Roman"/>
        </w:rPr>
        <w:footnoteReference w:id="118"/>
      </w:r>
      <w:r w:rsidRPr="00AB69B5">
        <w:rPr>
          <w:rFonts w:ascii="Times New Roman" w:hAnsi="Times New Roman" w:cs="Times New Roman"/>
        </w:rPr>
        <w:t xml:space="preserve"> but did not succeed. Applications for all male or all female juries could be made to the judge one day before a hearing, or at the trial if necessary. The exclusion of women jurors from a sex assault case at the Old Bailey in 1929 was described in a feminist journal as ‘An anachronism that defeated the express intentions of Parliament'.</w:t>
      </w:r>
      <w:r w:rsidRPr="00AB69B5">
        <w:rPr>
          <w:rStyle w:val="FootnoteReference"/>
          <w:rFonts w:ascii="Times New Roman" w:hAnsi="Times New Roman" w:cs="Times New Roman"/>
        </w:rPr>
        <w:footnoteReference w:id="119"/>
      </w:r>
      <w:r w:rsidRPr="00AB69B5">
        <w:rPr>
          <w:rFonts w:ascii="Times New Roman" w:hAnsi="Times New Roman" w:cs="Times New Roman"/>
        </w:rPr>
        <w:t xml:space="preserve">  Doubtless such cases were widespread, and indeed as Anne Logan has shown, there are examples of female magistrates similarly being excluded from the bench.  Women magistrates were often able to resist this kind of pressure; women jurors would not have had the chance. The judge’s discretionary right to exclude women from juries continued until 1972.</w:t>
      </w:r>
      <w:r w:rsidRPr="00AB69B5">
        <w:rPr>
          <w:rStyle w:val="FootnoteReference"/>
          <w:rFonts w:ascii="Times New Roman" w:hAnsi="Times New Roman" w:cs="Times New Roman"/>
        </w:rPr>
        <w:footnoteReference w:id="120"/>
      </w:r>
    </w:p>
    <w:p w14:paraId="32C8D1EF" w14:textId="77777777" w:rsidR="005607D6" w:rsidRPr="00AB69B5" w:rsidRDefault="005607D6" w:rsidP="00AB69B5">
      <w:pPr>
        <w:spacing w:line="480" w:lineRule="auto"/>
        <w:jc w:val="both"/>
        <w:rPr>
          <w:rFonts w:ascii="Times New Roman" w:hAnsi="Times New Roman" w:cs="Times New Roman"/>
        </w:rPr>
      </w:pPr>
    </w:p>
    <w:p w14:paraId="5D2A87A1" w14:textId="77777777" w:rsidR="005607D6" w:rsidRPr="00AB69B5" w:rsidRDefault="005607D6" w:rsidP="00AB69B5">
      <w:pPr>
        <w:spacing w:line="480" w:lineRule="auto"/>
        <w:jc w:val="both"/>
        <w:rPr>
          <w:rFonts w:ascii="Times New Roman" w:hAnsi="Times New Roman" w:cs="Times New Roman"/>
          <w:b/>
        </w:rPr>
      </w:pPr>
      <w:r w:rsidRPr="00AB69B5">
        <w:rPr>
          <w:rFonts w:ascii="Times New Roman" w:hAnsi="Times New Roman" w:cs="Times New Roman"/>
          <w:b/>
        </w:rPr>
        <w:t>Conclusion</w:t>
      </w:r>
    </w:p>
    <w:p w14:paraId="43A2021B" w14:textId="77777777" w:rsidR="005607D6" w:rsidRPr="00AB69B5" w:rsidRDefault="005607D6" w:rsidP="00AB69B5">
      <w:pPr>
        <w:spacing w:line="480" w:lineRule="auto"/>
        <w:jc w:val="both"/>
        <w:rPr>
          <w:rFonts w:ascii="Times New Roman" w:hAnsi="Times New Roman" w:cs="Times New Roman"/>
        </w:rPr>
      </w:pPr>
    </w:p>
    <w:p w14:paraId="39379EC0"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The Sex Disqualification (Removal) Act received royal assent on 23 December 1919, the last day of the parliamentary session.  It was a government replacement for a more radical private members' bill, and as such it was a compromise. The two really radical clauses on the franchise and woman peers were lost.  The act has been cited by some historians as evidence in a wider historical judgement that feminist achievements in the inter-war period were insignificant ; that the reforms which were achieved were 'guided by non-feminist forces' and therefore channelled women into maintaining their more traditional place in society.</w:t>
      </w:r>
      <w:r w:rsidRPr="00AB69B5">
        <w:rPr>
          <w:rStyle w:val="FootnoteReference"/>
          <w:rFonts w:ascii="Times New Roman" w:hAnsi="Times New Roman" w:cs="Times New Roman"/>
        </w:rPr>
        <w:footnoteReference w:id="121"/>
      </w:r>
    </w:p>
    <w:p w14:paraId="25D1F688" w14:textId="77777777" w:rsidR="005607D6" w:rsidRPr="00AB69B5" w:rsidRDefault="005607D6" w:rsidP="00AB69B5">
      <w:pPr>
        <w:spacing w:line="480" w:lineRule="auto"/>
        <w:jc w:val="both"/>
        <w:rPr>
          <w:rFonts w:ascii="Times New Roman" w:hAnsi="Times New Roman" w:cs="Times New Roman"/>
        </w:rPr>
      </w:pPr>
    </w:p>
    <w:p w14:paraId="02EB7D87"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lastRenderedPageBreak/>
        <w:t>However the negative verdict from some historians and commentators obscures the positive spirit that the Women’s Emancipation Bill was passed in, it overlooks the genuine achievements of the Sex Disqualification (Removal) Act, and assumes standards that fail to take into account the situation in 1919.  As Brian Harrison has commented, the achievements of feminists in the inter-war period ‘took place within a most unfavourable political, international, intellectual and economic climate; it must not be judged by some abstract standard, but in relation to the difficulties faced’.</w:t>
      </w:r>
      <w:r w:rsidRPr="00AB69B5">
        <w:rPr>
          <w:rStyle w:val="FootnoteReference"/>
          <w:rFonts w:ascii="Times New Roman" w:hAnsi="Times New Roman" w:cs="Times New Roman"/>
        </w:rPr>
        <w:footnoteReference w:id="122"/>
      </w:r>
      <w:r w:rsidRPr="00AB69B5">
        <w:rPr>
          <w:rFonts w:ascii="Times New Roman" w:hAnsi="Times New Roman" w:cs="Times New Roman"/>
        </w:rPr>
        <w:t xml:space="preserve">  The Sex Disqualification (Removal) Act was passed only a year after the end of the Great War, with the peace settlement ongoing, trouble in Ireland, returning soldiers - the government had very many other priorities and it is surely remarkable that such a bill was able to progress at all.  It was only a year after women had been given the limited franchise, only a few years after the suffragettes had been barracking parliament; it was only now that women in parliament were voters and MPs, and not potential trouble-makers capable of violence.</w:t>
      </w:r>
    </w:p>
    <w:p w14:paraId="1F3B4769" w14:textId="77777777" w:rsidR="005607D6" w:rsidRPr="00AB69B5" w:rsidRDefault="005607D6" w:rsidP="00AB69B5">
      <w:pPr>
        <w:spacing w:line="480" w:lineRule="auto"/>
        <w:jc w:val="both"/>
        <w:rPr>
          <w:rFonts w:ascii="Times New Roman" w:hAnsi="Times New Roman" w:cs="Times New Roman"/>
        </w:rPr>
      </w:pPr>
    </w:p>
    <w:p w14:paraId="402F56CC" w14:textId="0F9DF7F6"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It is true that feminist groups enthusiastically supported the Women’s Emancipation Bill, preferred it over the Sex Disqualification (Removal) Bill and were bitterly disappointed when the Women’s Emancipation Bill fell.</w:t>
      </w:r>
      <w:r w:rsidRPr="00AB69B5">
        <w:rPr>
          <w:rFonts w:ascii="Times New Roman" w:hAnsi="Times New Roman" w:cs="Times New Roman"/>
          <w:b/>
        </w:rPr>
        <w:t xml:space="preserve">  </w:t>
      </w:r>
      <w:r w:rsidRPr="00AB69B5">
        <w:rPr>
          <w:rFonts w:ascii="Times New Roman" w:hAnsi="Times New Roman" w:cs="Times New Roman"/>
        </w:rPr>
        <w:t xml:space="preserve">Nevertheless it is misleading to argue that the Sex Disqualification (Removal) Bill was ‘opposed’ by feminist groups.  Campaigners such as Ray Strachey did work vigorously to amend it both during and after its passage, and this should be viewed not as negative action but as positive, constructive, realistic work towards achievable goals.  The Act marked the beginning of the battle with civil servants for equality, not the end.  But overall the victories won by the Act were worth having.  And although the government and the civil service have been shown to have limited the extent of reform achieved, parliament did not.  Careful consideration of the debates show real attempts by both peers and MPs, firstly to try and get the Women’s Emancipation Bill through, and secondly to make the Sex Disqualification (Removal) Bill work, mitigating the effect of regulations which would hamper women.  </w:t>
      </w:r>
      <w:r w:rsidRPr="00AB69B5">
        <w:rPr>
          <w:rFonts w:ascii="Times New Roman" w:hAnsi="Times New Roman" w:cs="Times New Roman"/>
        </w:rPr>
        <w:lastRenderedPageBreak/>
        <w:t>In particular cross-party support from men of diverse parties and backgrounds is striking, from the long-serving miner William Adamson to the high-born Lord Robert Cecil.</w:t>
      </w:r>
    </w:p>
    <w:p w14:paraId="73219DCF" w14:textId="77777777" w:rsidR="005607D6" w:rsidRPr="00AB69B5" w:rsidRDefault="005607D6" w:rsidP="00AB69B5">
      <w:pPr>
        <w:spacing w:line="480" w:lineRule="auto"/>
        <w:jc w:val="both"/>
        <w:rPr>
          <w:rFonts w:ascii="Times New Roman" w:hAnsi="Times New Roman" w:cs="Times New Roman"/>
        </w:rPr>
      </w:pPr>
    </w:p>
    <w:p w14:paraId="6BAFF5E6" w14:textId="77777777"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t xml:space="preserve">Finally, even in its revised form, the Sex Disqualification (Removal) Act really was a significant advance on the previous situation. In particular, women were now allowed into many professions including law, and into professional bodies. Virginia Woolf in her essay </w:t>
      </w:r>
      <w:r w:rsidRPr="00AB69B5">
        <w:rPr>
          <w:rFonts w:ascii="Times New Roman" w:hAnsi="Times New Roman" w:cs="Times New Roman"/>
          <w:i/>
        </w:rPr>
        <w:t>Three Guineas</w:t>
      </w:r>
      <w:r w:rsidRPr="00AB69B5">
        <w:rPr>
          <w:rFonts w:ascii="Times New Roman" w:hAnsi="Times New Roman" w:cs="Times New Roman"/>
        </w:rPr>
        <w:t xml:space="preserve"> refers to the Sex Disqualification (Removal) Act as a real turning point, when 'The door of the private house was thrown open' and middle-class women, the 'daughters of educated men' had the right to earn their own living.</w:t>
      </w:r>
      <w:r w:rsidRPr="00AB69B5">
        <w:rPr>
          <w:rStyle w:val="FootnoteReference"/>
          <w:rFonts w:ascii="Times New Roman" w:hAnsi="Times New Roman" w:cs="Times New Roman"/>
        </w:rPr>
        <w:footnoteReference w:id="123"/>
      </w:r>
      <w:r w:rsidRPr="00AB69B5">
        <w:rPr>
          <w:rFonts w:ascii="Times New Roman" w:hAnsi="Times New Roman" w:cs="Times New Roman"/>
        </w:rPr>
        <w:t xml:space="preserve"> Women would no longer only be seen in court in the dock or witness stand. The way was now open for Ada Summers to become the first woman Justice of the Peace; for Carrie Morrison, Ivy Williams, Helena Normanton and other pioneers to enter the legal profession; and for ordinary women everywhere to serve on juries. Even the Lord Chancellor, who gave the impression throughout the passage of the bill that the whole issue was most distasteful to him, observed 'the current development of events have plainly so proceeded to produce, whether we wish it or whether we do not wish it, a complete revolution in the position of women'.</w:t>
      </w:r>
      <w:r w:rsidRPr="00AB69B5">
        <w:rPr>
          <w:rStyle w:val="FootnoteReference"/>
          <w:rFonts w:ascii="Times New Roman" w:hAnsi="Times New Roman" w:cs="Times New Roman"/>
        </w:rPr>
        <w:footnoteReference w:id="124"/>
      </w:r>
    </w:p>
    <w:p w14:paraId="6782A0F1" w14:textId="18B2A050" w:rsidR="005607D6" w:rsidRPr="00AB69B5" w:rsidRDefault="005607D6" w:rsidP="00AB69B5">
      <w:pPr>
        <w:spacing w:line="480" w:lineRule="auto"/>
        <w:jc w:val="both"/>
        <w:rPr>
          <w:rFonts w:ascii="Times New Roman" w:hAnsi="Times New Roman" w:cs="Times New Roman"/>
        </w:rPr>
      </w:pPr>
      <w:r w:rsidRPr="00AB69B5">
        <w:rPr>
          <w:rFonts w:ascii="Times New Roman" w:hAnsi="Times New Roman" w:cs="Times New Roman"/>
        </w:rPr>
        <w:br w:type="page"/>
      </w:r>
    </w:p>
    <w:p w14:paraId="50476CBC" w14:textId="77777777" w:rsidR="00094615" w:rsidRPr="007900C7" w:rsidRDefault="00094615" w:rsidP="007900C7">
      <w:pPr>
        <w:spacing w:after="0" w:line="480" w:lineRule="auto"/>
        <w:jc w:val="center"/>
        <w:rPr>
          <w:rFonts w:ascii="Times New Roman" w:hAnsi="Times New Roman" w:cs="Times New Roman"/>
          <w:b/>
          <w:sz w:val="28"/>
          <w:szCs w:val="28"/>
        </w:rPr>
      </w:pPr>
      <w:r w:rsidRPr="007900C7">
        <w:rPr>
          <w:rFonts w:ascii="Times New Roman" w:hAnsi="Times New Roman" w:cs="Times New Roman"/>
          <w:b/>
          <w:sz w:val="28"/>
          <w:szCs w:val="28"/>
        </w:rPr>
        <w:lastRenderedPageBreak/>
        <w:t>Calling Time at the Bar: Helena Normanton</w:t>
      </w:r>
    </w:p>
    <w:p w14:paraId="5F233BD7" w14:textId="69CC6990" w:rsidR="00094615" w:rsidRPr="00094615" w:rsidRDefault="00094615" w:rsidP="00094615">
      <w:pPr>
        <w:spacing w:after="0" w:line="480" w:lineRule="auto"/>
        <w:jc w:val="both"/>
        <w:rPr>
          <w:rFonts w:ascii="Times New Roman" w:hAnsi="Times New Roman" w:cs="Times New Roman"/>
          <w:b/>
        </w:rPr>
      </w:pPr>
      <w:r w:rsidRPr="00094615">
        <w:rPr>
          <w:rFonts w:ascii="Times New Roman" w:hAnsi="Times New Roman" w:cs="Times New Roman"/>
          <w:b/>
        </w:rPr>
        <w:t>Dr</w:t>
      </w:r>
      <w:r w:rsidR="007900C7">
        <w:rPr>
          <w:rFonts w:ascii="Times New Roman" w:hAnsi="Times New Roman" w:cs="Times New Roman"/>
          <w:b/>
        </w:rPr>
        <w:t>.</w:t>
      </w:r>
      <w:r w:rsidRPr="00094615">
        <w:rPr>
          <w:rFonts w:ascii="Times New Roman" w:hAnsi="Times New Roman" w:cs="Times New Roman"/>
          <w:b/>
        </w:rPr>
        <w:t xml:space="preserve"> Judith Bourne, Barrister (non-practising), LL.B (Hons), LL.M, Ph.D, SFHEA, Lecturer St. Mary’s University, Twickenham.</w:t>
      </w:r>
    </w:p>
    <w:p w14:paraId="65BB9540" w14:textId="77777777" w:rsidR="00094615" w:rsidRPr="00094615" w:rsidRDefault="00094615" w:rsidP="00094615">
      <w:pPr>
        <w:spacing w:after="0" w:line="480" w:lineRule="auto"/>
        <w:jc w:val="both"/>
        <w:rPr>
          <w:rFonts w:ascii="Times New Roman" w:hAnsi="Times New Roman" w:cs="Times New Roman"/>
        </w:rPr>
      </w:pPr>
    </w:p>
    <w:p w14:paraId="68599289"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“…only exceptional women will be admitted.”</w:t>
      </w:r>
      <w:r w:rsidRPr="00341D0B">
        <w:rPr>
          <w:rFonts w:ascii="Times New Roman" w:hAnsi="Times New Roman" w:cs="Times New Roman"/>
          <w:b/>
          <w:vertAlign w:val="superscript"/>
        </w:rPr>
        <w:footnoteReference w:id="125"/>
      </w:r>
    </w:p>
    <w:p w14:paraId="4F578D40" w14:textId="32CC6A5E" w:rsid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This was written by Holford Knight in 1913.  Knight was a barrister and an MP, but most importantly a leading proponent of women’s admission to the bar.  Did he write this to placate opponents to women’s entry to the bar or did he genuinely mean it?  And if he did mean it, what exactly did it mean?  Were only exceptional men practising as barristers in 1913?  Knight proposed motions to the General Council of the Bar’s AGM asking for women to be admitted to the bar, and on each occasion was overwhelmingly rejected.</w:t>
      </w:r>
      <w:r w:rsidRPr="00094615">
        <w:rPr>
          <w:rFonts w:ascii="Times New Roman" w:hAnsi="Times New Roman" w:cs="Times New Roman"/>
          <w:vertAlign w:val="superscript"/>
        </w:rPr>
        <w:footnoteReference w:id="126"/>
      </w:r>
      <w:r w:rsidRPr="00094615">
        <w:rPr>
          <w:rFonts w:ascii="Times New Roman" w:hAnsi="Times New Roman" w:cs="Times New Roman"/>
        </w:rPr>
        <w:t xml:space="preserve">  If we take his words at face value we can see that even supporters of women’s entry were </w:t>
      </w:r>
      <w:r w:rsidR="007900C7">
        <w:rPr>
          <w:rFonts w:ascii="Times New Roman" w:hAnsi="Times New Roman" w:cs="Times New Roman"/>
        </w:rPr>
        <w:t xml:space="preserve">of the opinion that women </w:t>
      </w:r>
      <w:r w:rsidRPr="00094615">
        <w:rPr>
          <w:rFonts w:ascii="Times New Roman" w:hAnsi="Times New Roman" w:cs="Times New Roman"/>
        </w:rPr>
        <w:t>were not up to the job; his statement is loaded with prejudice and pre-conceived ideas about women.</w:t>
      </w:r>
    </w:p>
    <w:p w14:paraId="325B26AF" w14:textId="77777777" w:rsidR="00341D0B" w:rsidRPr="00094615" w:rsidRDefault="00341D0B" w:rsidP="00094615">
      <w:pPr>
        <w:spacing w:after="0" w:line="480" w:lineRule="auto"/>
        <w:jc w:val="both"/>
        <w:rPr>
          <w:rFonts w:ascii="Times New Roman" w:hAnsi="Times New Roman" w:cs="Times New Roman"/>
        </w:rPr>
      </w:pPr>
    </w:p>
    <w:p w14:paraId="6CD2B746" w14:textId="2E10E86B" w:rsidR="00094615" w:rsidRPr="00094615" w:rsidRDefault="007900C7" w:rsidP="00094615">
      <w:pPr>
        <w:spacing w:after="0" w:line="480" w:lineRule="auto"/>
        <w:jc w:val="both"/>
        <w:rPr>
          <w:rFonts w:ascii="Times New Roman" w:hAnsi="Times New Roman" w:cs="Times New Roman"/>
        </w:rPr>
      </w:pPr>
      <w:r>
        <w:rPr>
          <w:rFonts w:ascii="Times New Roman" w:hAnsi="Times New Roman" w:cs="Times New Roman"/>
        </w:rPr>
        <w:t>Tho</w:t>
      </w:r>
      <w:r w:rsidR="00094615" w:rsidRPr="00094615">
        <w:rPr>
          <w:rFonts w:ascii="Times New Roman" w:hAnsi="Times New Roman" w:cs="Times New Roman"/>
        </w:rPr>
        <w:t>se prej</w:t>
      </w:r>
      <w:r>
        <w:rPr>
          <w:rFonts w:ascii="Times New Roman" w:hAnsi="Times New Roman" w:cs="Times New Roman"/>
        </w:rPr>
        <w:t>udices and pre-conceptions remain</w:t>
      </w:r>
      <w:r w:rsidR="00094615" w:rsidRPr="00094615">
        <w:rPr>
          <w:rFonts w:ascii="Times New Roman" w:hAnsi="Times New Roman" w:cs="Times New Roman"/>
        </w:rPr>
        <w:t xml:space="preserve"> today</w:t>
      </w:r>
      <w:r>
        <w:rPr>
          <w:rFonts w:ascii="Times New Roman" w:hAnsi="Times New Roman" w:cs="Times New Roman"/>
        </w:rPr>
        <w:t xml:space="preserve"> as can be seen </w:t>
      </w:r>
      <w:r w:rsidR="00094615" w:rsidRPr="00094615">
        <w:rPr>
          <w:rFonts w:ascii="Times New Roman" w:hAnsi="Times New Roman" w:cs="Times New Roman"/>
        </w:rPr>
        <w:t>in recent newspaper headlines:</w:t>
      </w:r>
    </w:p>
    <w:p w14:paraId="6ACDEF44" w14:textId="77777777" w:rsidR="00094615" w:rsidRPr="00094615" w:rsidRDefault="00094615" w:rsidP="00341D0B">
      <w:pPr>
        <w:spacing w:after="0" w:line="480" w:lineRule="auto"/>
        <w:ind w:left="720"/>
        <w:jc w:val="both"/>
        <w:rPr>
          <w:rFonts w:ascii="Times New Roman" w:hAnsi="Times New Roman" w:cs="Times New Roman"/>
        </w:rPr>
      </w:pPr>
      <w:r w:rsidRPr="00094615">
        <w:rPr>
          <w:rFonts w:ascii="Times New Roman" w:hAnsi="Times New Roman" w:cs="Times New Roman"/>
        </w:rPr>
        <w:t xml:space="preserve">“Equal Pay for Men and Women Lawyers forecast for 2021” 16 June 2015 </w:t>
      </w:r>
      <w:r w:rsidRPr="00094615">
        <w:rPr>
          <w:rFonts w:ascii="Times New Roman" w:hAnsi="Times New Roman" w:cs="Times New Roman"/>
          <w:i/>
        </w:rPr>
        <w:t>Solicitors Journal</w:t>
      </w:r>
      <w:r w:rsidRPr="00094615">
        <w:rPr>
          <w:rFonts w:ascii="Times New Roman" w:hAnsi="Times New Roman" w:cs="Times New Roman"/>
          <w:vertAlign w:val="superscript"/>
        </w:rPr>
        <w:footnoteReference w:id="127"/>
      </w:r>
      <w:r w:rsidRPr="00094615">
        <w:rPr>
          <w:rFonts w:ascii="Times New Roman" w:hAnsi="Times New Roman" w:cs="Times New Roman"/>
        </w:rPr>
        <w:t xml:space="preserve"> (women should reach pay parity by 2021 – the gap is shrinking by 4% each year).</w:t>
      </w:r>
    </w:p>
    <w:p w14:paraId="6DE7DCB1" w14:textId="77777777" w:rsidR="00341D0B" w:rsidRDefault="00341D0B" w:rsidP="00094615">
      <w:pPr>
        <w:spacing w:after="0" w:line="480" w:lineRule="auto"/>
        <w:jc w:val="both"/>
        <w:rPr>
          <w:rFonts w:ascii="Times New Roman" w:hAnsi="Times New Roman" w:cs="Times New Roman"/>
        </w:rPr>
      </w:pPr>
    </w:p>
    <w:p w14:paraId="7960E0D6" w14:textId="77777777" w:rsidR="00094615" w:rsidRPr="00094615" w:rsidRDefault="00094615" w:rsidP="00341D0B">
      <w:pPr>
        <w:spacing w:after="0" w:line="480" w:lineRule="auto"/>
        <w:ind w:firstLine="720"/>
        <w:jc w:val="both"/>
        <w:rPr>
          <w:rFonts w:ascii="Times New Roman" w:hAnsi="Times New Roman" w:cs="Times New Roman"/>
        </w:rPr>
      </w:pPr>
      <w:r w:rsidRPr="00094615">
        <w:rPr>
          <w:rFonts w:ascii="Times New Roman" w:hAnsi="Times New Roman" w:cs="Times New Roman"/>
        </w:rPr>
        <w:t xml:space="preserve">“Female Lawyers Paid Significantly Less than Male Counterparts” 31 July 2015 </w:t>
      </w:r>
      <w:r w:rsidRPr="00094615">
        <w:rPr>
          <w:rFonts w:ascii="Times New Roman" w:hAnsi="Times New Roman" w:cs="Times New Roman"/>
          <w:i/>
        </w:rPr>
        <w:t>Herald Scotland</w:t>
      </w:r>
    </w:p>
    <w:p w14:paraId="730A5953" w14:textId="77777777" w:rsidR="00341D0B" w:rsidRDefault="00341D0B" w:rsidP="00094615">
      <w:pPr>
        <w:spacing w:after="0" w:line="480" w:lineRule="auto"/>
        <w:jc w:val="both"/>
        <w:rPr>
          <w:rFonts w:ascii="Times New Roman" w:hAnsi="Times New Roman" w:cs="Times New Roman"/>
        </w:rPr>
      </w:pPr>
    </w:p>
    <w:p w14:paraId="149E698E" w14:textId="77777777" w:rsidR="00094615" w:rsidRPr="00094615" w:rsidRDefault="00094615" w:rsidP="00341D0B">
      <w:pPr>
        <w:spacing w:after="0" w:line="480" w:lineRule="auto"/>
        <w:ind w:firstLine="720"/>
        <w:jc w:val="both"/>
        <w:rPr>
          <w:rFonts w:ascii="Times New Roman" w:hAnsi="Times New Roman" w:cs="Times New Roman"/>
        </w:rPr>
      </w:pPr>
      <w:r w:rsidRPr="00094615">
        <w:rPr>
          <w:rFonts w:ascii="Times New Roman" w:hAnsi="Times New Roman" w:cs="Times New Roman"/>
        </w:rPr>
        <w:lastRenderedPageBreak/>
        <w:t xml:space="preserve">“O’Loan: ‘Unacceptable’ Lack of Senior Women Judges” 24 August 2015 </w:t>
      </w:r>
      <w:r w:rsidRPr="00094615">
        <w:rPr>
          <w:rFonts w:ascii="Times New Roman" w:hAnsi="Times New Roman" w:cs="Times New Roman"/>
          <w:i/>
        </w:rPr>
        <w:t xml:space="preserve">The Irish News </w:t>
      </w:r>
    </w:p>
    <w:p w14:paraId="6F11BC10" w14:textId="77777777" w:rsidR="00341D0B" w:rsidRDefault="00341D0B" w:rsidP="00094615">
      <w:pPr>
        <w:spacing w:after="0" w:line="480" w:lineRule="auto"/>
        <w:jc w:val="both"/>
        <w:rPr>
          <w:rFonts w:ascii="Times New Roman" w:hAnsi="Times New Roman" w:cs="Times New Roman"/>
        </w:rPr>
      </w:pPr>
    </w:p>
    <w:p w14:paraId="1C443126" w14:textId="77777777" w:rsidR="00094615" w:rsidRPr="00094615" w:rsidRDefault="00094615" w:rsidP="00341D0B">
      <w:pPr>
        <w:spacing w:after="0" w:line="480" w:lineRule="auto"/>
        <w:ind w:left="720"/>
        <w:jc w:val="both"/>
        <w:rPr>
          <w:rFonts w:ascii="Times New Roman" w:hAnsi="Times New Roman" w:cs="Times New Roman"/>
        </w:rPr>
      </w:pPr>
      <w:r w:rsidRPr="00094615">
        <w:rPr>
          <w:rFonts w:ascii="Times New Roman" w:hAnsi="Times New Roman" w:cs="Times New Roman"/>
        </w:rPr>
        <w:t xml:space="preserve">“Female Barristers Subjected to Shocking Levels of Rampant Sexism, Says Bar Report” 24 August 2015 </w:t>
      </w:r>
      <w:r w:rsidRPr="00094615">
        <w:rPr>
          <w:rFonts w:ascii="Times New Roman" w:hAnsi="Times New Roman" w:cs="Times New Roman"/>
          <w:i/>
        </w:rPr>
        <w:t>The Independent</w:t>
      </w:r>
      <w:r w:rsidRPr="00094615">
        <w:rPr>
          <w:rFonts w:ascii="Times New Roman" w:hAnsi="Times New Roman" w:cs="Times New Roman"/>
          <w:i/>
          <w:vertAlign w:val="superscript"/>
        </w:rPr>
        <w:footnoteReference w:id="128"/>
      </w:r>
      <w:r w:rsidRPr="00094615">
        <w:rPr>
          <w:rFonts w:ascii="Times New Roman" w:hAnsi="Times New Roman" w:cs="Times New Roman"/>
          <w:i/>
        </w:rPr>
        <w:t xml:space="preserve"> </w:t>
      </w:r>
    </w:p>
    <w:p w14:paraId="166895D8" w14:textId="77777777" w:rsidR="00341D0B" w:rsidRDefault="00341D0B" w:rsidP="00094615">
      <w:pPr>
        <w:spacing w:after="0" w:line="480" w:lineRule="auto"/>
        <w:jc w:val="both"/>
        <w:rPr>
          <w:rFonts w:ascii="Times New Roman" w:hAnsi="Times New Roman" w:cs="Times New Roman"/>
        </w:rPr>
      </w:pPr>
    </w:p>
    <w:p w14:paraId="7F1E39FF" w14:textId="77777777" w:rsidR="00094615" w:rsidRPr="00094615" w:rsidRDefault="00094615" w:rsidP="00341D0B">
      <w:pPr>
        <w:spacing w:after="0" w:line="480" w:lineRule="auto"/>
        <w:ind w:firstLine="720"/>
        <w:jc w:val="both"/>
        <w:rPr>
          <w:rFonts w:ascii="Times New Roman" w:hAnsi="Times New Roman" w:cs="Times New Roman"/>
        </w:rPr>
      </w:pPr>
      <w:r w:rsidRPr="00094615">
        <w:rPr>
          <w:rFonts w:ascii="Times New Roman" w:hAnsi="Times New Roman" w:cs="Times New Roman"/>
        </w:rPr>
        <w:t xml:space="preserve">“UK’s most senior female judge calls for more diversity at the top” 21 February 2013 </w:t>
      </w:r>
      <w:r w:rsidRPr="00094615">
        <w:rPr>
          <w:rFonts w:ascii="Times New Roman" w:hAnsi="Times New Roman" w:cs="Times New Roman"/>
          <w:i/>
        </w:rPr>
        <w:t>The Guardian</w:t>
      </w:r>
    </w:p>
    <w:p w14:paraId="454945D4" w14:textId="77777777" w:rsidR="00341D0B" w:rsidRDefault="00341D0B" w:rsidP="00094615">
      <w:pPr>
        <w:spacing w:after="0" w:line="480" w:lineRule="auto"/>
        <w:jc w:val="both"/>
        <w:rPr>
          <w:rFonts w:ascii="Times New Roman" w:hAnsi="Times New Roman" w:cs="Times New Roman"/>
        </w:rPr>
      </w:pPr>
    </w:p>
    <w:p w14:paraId="45A3D882" w14:textId="77777777" w:rsidR="00094615" w:rsidRPr="00094615" w:rsidRDefault="00094615" w:rsidP="00341D0B">
      <w:pPr>
        <w:spacing w:after="0" w:line="480" w:lineRule="auto"/>
        <w:ind w:left="720"/>
        <w:jc w:val="both"/>
        <w:rPr>
          <w:rFonts w:ascii="Times New Roman" w:hAnsi="Times New Roman" w:cs="Times New Roman"/>
        </w:rPr>
      </w:pPr>
      <w:r w:rsidRPr="00094615">
        <w:rPr>
          <w:rFonts w:ascii="Times New Roman" w:hAnsi="Times New Roman" w:cs="Times New Roman"/>
        </w:rPr>
        <w:t xml:space="preserve">‘“More women judges will improve the law”: Britain’s only female Supreme Court judge calls for more diversity’ 20 August 2015 </w:t>
      </w:r>
      <w:r w:rsidRPr="00094615">
        <w:rPr>
          <w:rFonts w:ascii="Times New Roman" w:hAnsi="Times New Roman" w:cs="Times New Roman"/>
          <w:i/>
        </w:rPr>
        <w:t>The Independent</w:t>
      </w:r>
    </w:p>
    <w:p w14:paraId="27089EFF" w14:textId="77777777" w:rsidR="00341D0B" w:rsidRDefault="00341D0B" w:rsidP="00094615">
      <w:pPr>
        <w:spacing w:after="0" w:line="480" w:lineRule="auto"/>
        <w:jc w:val="both"/>
        <w:rPr>
          <w:rFonts w:ascii="Times New Roman" w:hAnsi="Times New Roman" w:cs="Times New Roman"/>
        </w:rPr>
      </w:pPr>
    </w:p>
    <w:p w14:paraId="39B5CA38" w14:textId="77777777" w:rsidR="00094615" w:rsidRPr="00094615" w:rsidRDefault="00094615" w:rsidP="00341D0B">
      <w:pPr>
        <w:spacing w:after="0" w:line="480" w:lineRule="auto"/>
        <w:ind w:firstLine="720"/>
        <w:jc w:val="both"/>
        <w:rPr>
          <w:rFonts w:ascii="Times New Roman" w:hAnsi="Times New Roman" w:cs="Times New Roman"/>
        </w:rPr>
      </w:pPr>
      <w:r w:rsidRPr="00094615">
        <w:rPr>
          <w:rFonts w:ascii="Times New Roman" w:hAnsi="Times New Roman" w:cs="Times New Roman"/>
        </w:rPr>
        <w:t xml:space="preserve">“Boris Johnson Criticised Over ‘Women Crying’ Remarks” 16 June 2015 </w:t>
      </w:r>
      <w:r w:rsidRPr="00094615">
        <w:rPr>
          <w:rFonts w:ascii="Times New Roman" w:hAnsi="Times New Roman" w:cs="Times New Roman"/>
          <w:i/>
        </w:rPr>
        <w:t>The Guardian</w:t>
      </w:r>
      <w:r w:rsidRPr="00094615">
        <w:rPr>
          <w:rFonts w:ascii="Times New Roman" w:hAnsi="Times New Roman" w:cs="Times New Roman"/>
        </w:rPr>
        <w:t xml:space="preserve"> </w:t>
      </w:r>
    </w:p>
    <w:p w14:paraId="10C87355" w14:textId="77777777" w:rsidR="00341D0B" w:rsidRDefault="00341D0B" w:rsidP="00094615">
      <w:pPr>
        <w:spacing w:after="0" w:line="480" w:lineRule="auto"/>
        <w:jc w:val="both"/>
        <w:rPr>
          <w:rFonts w:ascii="Times New Roman" w:hAnsi="Times New Roman" w:cs="Times New Roman"/>
        </w:rPr>
      </w:pPr>
    </w:p>
    <w:p w14:paraId="0E1B9BC4" w14:textId="730CD112"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We are not surprised by these headlines, but what is surprising about these reports is that not one of them mentions the past because “those who don’t know history are condemned to repeat it”.</w:t>
      </w:r>
      <w:r w:rsidRPr="00094615">
        <w:rPr>
          <w:rFonts w:ascii="Times New Roman" w:hAnsi="Times New Roman" w:cs="Times New Roman"/>
          <w:vertAlign w:val="superscript"/>
        </w:rPr>
        <w:footnoteReference w:id="129"/>
      </w:r>
      <w:r w:rsidRPr="00094615">
        <w:rPr>
          <w:rFonts w:ascii="Times New Roman" w:hAnsi="Times New Roman" w:cs="Times New Roman"/>
        </w:rPr>
        <w:t xml:space="preserve">  Without knowing and understanding the history of women’s entry into the professions we cannot produce “a more complete and truthful explanation of how things were, and [most importantly] how they are now”.</w:t>
      </w:r>
      <w:r w:rsidRPr="00094615">
        <w:rPr>
          <w:rFonts w:ascii="Times New Roman" w:hAnsi="Times New Roman" w:cs="Times New Roman"/>
          <w:vertAlign w:val="superscript"/>
        </w:rPr>
        <w:footnoteReference w:id="130"/>
      </w:r>
      <w:r w:rsidRPr="00094615">
        <w:rPr>
          <w:rFonts w:ascii="Times New Roman" w:hAnsi="Times New Roman" w:cs="Times New Roman"/>
        </w:rPr>
        <w:t xml:space="preserve">  There should be no astonishment in newspaper headlines about women’s current position because if those journalists traced the history back to the first cohort of women they would understand this fact: women lawyers were not welcomed into the legal profession in 1919.  The 1919 Act was not a benevolent gesture on the part of men to women that we should be thankful for.  Women were and are entitled to practice law.  Nor was the 1919 legislation passed with an apology for past woeful behaviour by men.  Women </w:t>
      </w:r>
      <w:r w:rsidRPr="00094615">
        <w:rPr>
          <w:rFonts w:ascii="Times New Roman" w:hAnsi="Times New Roman" w:cs="Times New Roman"/>
        </w:rPr>
        <w:lastRenderedPageBreak/>
        <w:t>were grudgingly allowed to enter the legal profession in 1919 and certainly were not encouraged to stay in practice, a problem that still exists today.  The profession was barred by an invisible door, that only the very rare woman, such as Rose Heilbron,</w:t>
      </w:r>
      <w:r w:rsidRPr="00094615">
        <w:rPr>
          <w:rFonts w:ascii="Times New Roman" w:hAnsi="Times New Roman" w:cs="Times New Roman"/>
          <w:vertAlign w:val="superscript"/>
        </w:rPr>
        <w:footnoteReference w:id="131"/>
      </w:r>
      <w:r w:rsidRPr="00094615">
        <w:rPr>
          <w:rFonts w:ascii="Times New Roman" w:hAnsi="Times New Roman" w:cs="Times New Roman"/>
        </w:rPr>
        <w:t xml:space="preserve"> was allowed to enter.</w:t>
      </w:r>
      <w:r w:rsidR="007900C7">
        <w:rPr>
          <w:rFonts w:ascii="Times New Roman" w:hAnsi="Times New Roman" w:cs="Times New Roman"/>
        </w:rPr>
        <w:t xml:space="preserve">  The s</w:t>
      </w:r>
      <w:r w:rsidR="007900C7" w:rsidRPr="007900C7">
        <w:rPr>
          <w:rFonts w:ascii="Times New Roman" w:hAnsi="Times New Roman" w:cs="Times New Roman"/>
        </w:rPr>
        <w:t xml:space="preserve">truggle to join the professions in England and Wales was </w:t>
      </w:r>
      <w:r w:rsidR="007900C7">
        <w:rPr>
          <w:rFonts w:ascii="Times New Roman" w:hAnsi="Times New Roman" w:cs="Times New Roman"/>
        </w:rPr>
        <w:t xml:space="preserve">not </w:t>
      </w:r>
      <w:r w:rsidR="007900C7" w:rsidRPr="007900C7">
        <w:rPr>
          <w:rFonts w:ascii="Times New Roman" w:hAnsi="Times New Roman" w:cs="Times New Roman"/>
        </w:rPr>
        <w:t>over in 1919 with the passing of the Sex Disqualification (Removal) Act</w:t>
      </w:r>
      <w:r w:rsidR="007900C7">
        <w:rPr>
          <w:rFonts w:ascii="Times New Roman" w:hAnsi="Times New Roman" w:cs="Times New Roman"/>
        </w:rPr>
        <w:t>, although i</w:t>
      </w:r>
      <w:r w:rsidR="007900C7" w:rsidRPr="007900C7">
        <w:rPr>
          <w:rFonts w:ascii="Times New Roman" w:hAnsi="Times New Roman" w:cs="Times New Roman"/>
        </w:rPr>
        <w:t xml:space="preserve">t is tempting to see 1919 as the end point of women’s struggle in terms of women joining the legal profession.  </w:t>
      </w:r>
    </w:p>
    <w:p w14:paraId="74FD3D6C" w14:textId="77777777" w:rsidR="00341D0B" w:rsidRDefault="00341D0B" w:rsidP="00094615">
      <w:pPr>
        <w:spacing w:after="0" w:line="480" w:lineRule="auto"/>
        <w:jc w:val="both"/>
        <w:rPr>
          <w:rFonts w:ascii="Times New Roman" w:hAnsi="Times New Roman" w:cs="Times New Roman"/>
        </w:rPr>
      </w:pPr>
    </w:p>
    <w:p w14:paraId="54336460" w14:textId="693B881D"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It is not only newspapers who fa</w:t>
      </w:r>
      <w:r w:rsidR="007900C7">
        <w:rPr>
          <w:rFonts w:ascii="Times New Roman" w:hAnsi="Times New Roman" w:cs="Times New Roman"/>
        </w:rPr>
        <w:t>il to acknowledge this</w:t>
      </w:r>
      <w:r w:rsidRPr="00094615">
        <w:rPr>
          <w:rFonts w:ascii="Times New Roman" w:hAnsi="Times New Roman" w:cs="Times New Roman"/>
        </w:rPr>
        <w:t>, but also conventional writers, for example Cretney.</w:t>
      </w:r>
      <w:r w:rsidRPr="00094615">
        <w:rPr>
          <w:rFonts w:ascii="Times New Roman" w:hAnsi="Times New Roman" w:cs="Times New Roman"/>
          <w:vertAlign w:val="superscript"/>
        </w:rPr>
        <w:footnoteReference w:id="132"/>
      </w:r>
      <w:r w:rsidRPr="00094615">
        <w:rPr>
          <w:rFonts w:ascii="Times New Roman" w:hAnsi="Times New Roman" w:cs="Times New Roman"/>
        </w:rPr>
        <w:t xml:space="preserve">  He narrates women’s entry into the legal profession as something granted to women, a continuous straight line through history, mentioning the passing of the Act, but </w:t>
      </w:r>
      <w:r w:rsidR="007900C7">
        <w:rPr>
          <w:rFonts w:ascii="Times New Roman" w:hAnsi="Times New Roman" w:cs="Times New Roman"/>
        </w:rPr>
        <w:t xml:space="preserve">with </w:t>
      </w:r>
      <w:r w:rsidRPr="00094615">
        <w:rPr>
          <w:rFonts w:ascii="Times New Roman" w:hAnsi="Times New Roman" w:cs="Times New Roman"/>
        </w:rPr>
        <w:t>no explanation of the struggle to achieve it.  The actual situation was more complicated, as an examination of the lives of any of those ‘first women lawyers’ demonstrate.  And the reaction to women’s admission was far from grateful acceptance.</w:t>
      </w:r>
    </w:p>
    <w:p w14:paraId="529E9D3A" w14:textId="77777777" w:rsidR="00094615" w:rsidRPr="00094615" w:rsidRDefault="00094615" w:rsidP="00094615">
      <w:pPr>
        <w:spacing w:after="0" w:line="480" w:lineRule="auto"/>
        <w:jc w:val="both"/>
        <w:rPr>
          <w:rFonts w:ascii="Times New Roman" w:hAnsi="Times New Roman" w:cs="Times New Roman"/>
        </w:rPr>
      </w:pPr>
    </w:p>
    <w:p w14:paraId="2A02988E" w14:textId="6E821904"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This paper will argue that the sex discrimination experienced by women barristers today did not begin in the 1960s or 1970s</w:t>
      </w:r>
      <w:r w:rsidR="007900C7">
        <w:rPr>
          <w:rFonts w:ascii="Times New Roman" w:hAnsi="Times New Roman" w:cs="Times New Roman"/>
        </w:rPr>
        <w:t>, r</w:t>
      </w:r>
      <w:r w:rsidRPr="00094615">
        <w:rPr>
          <w:rFonts w:ascii="Times New Roman" w:hAnsi="Times New Roman" w:cs="Times New Roman"/>
        </w:rPr>
        <w:t xml:space="preserve">ather it was deliberately instigated in 1919 by male barristers resistant to women when ‘their’ profession was forced to accept women.  </w:t>
      </w:r>
      <w:r w:rsidR="007900C7">
        <w:rPr>
          <w:rFonts w:ascii="Times New Roman" w:hAnsi="Times New Roman" w:cs="Times New Roman"/>
        </w:rPr>
        <w:t xml:space="preserve">It was instigated to protect their monopoly.  The </w:t>
      </w:r>
      <w:r w:rsidRPr="00094615">
        <w:rPr>
          <w:rFonts w:ascii="Times New Roman" w:hAnsi="Times New Roman" w:cs="Times New Roman"/>
        </w:rPr>
        <w:t xml:space="preserve">focus </w:t>
      </w:r>
      <w:r w:rsidR="007900C7">
        <w:rPr>
          <w:rFonts w:ascii="Times New Roman" w:hAnsi="Times New Roman" w:cs="Times New Roman"/>
        </w:rPr>
        <w:t xml:space="preserve">of this paper is </w:t>
      </w:r>
      <w:r w:rsidRPr="00094615">
        <w:rPr>
          <w:rFonts w:ascii="Times New Roman" w:hAnsi="Times New Roman" w:cs="Times New Roman"/>
        </w:rPr>
        <w:t>on Helena Normanton</w:t>
      </w:r>
      <w:r w:rsidRPr="00094615">
        <w:rPr>
          <w:rFonts w:ascii="Times New Roman" w:hAnsi="Times New Roman" w:cs="Times New Roman"/>
          <w:vertAlign w:val="superscript"/>
        </w:rPr>
        <w:footnoteReference w:id="133"/>
      </w:r>
      <w:r w:rsidRPr="00094615">
        <w:rPr>
          <w:rFonts w:ascii="Times New Roman" w:hAnsi="Times New Roman" w:cs="Times New Roman"/>
        </w:rPr>
        <w:t xml:space="preserve"> the first woman to be admitted to an Inn of Court and the only woman of that 1922 cohort who managed to practice until retirement.</w:t>
      </w:r>
      <w:r w:rsidR="00E23493">
        <w:rPr>
          <w:rStyle w:val="FootnoteReference"/>
          <w:rFonts w:ascii="Times New Roman" w:hAnsi="Times New Roman" w:cs="Times New Roman"/>
        </w:rPr>
        <w:footnoteReference w:id="134"/>
      </w:r>
      <w:r w:rsidRPr="00094615">
        <w:rPr>
          <w:rFonts w:ascii="Times New Roman" w:hAnsi="Times New Roman" w:cs="Times New Roman"/>
        </w:rPr>
        <w:t xml:space="preserve">  Her archives enable us to use her as an example of one of the ‘first’ women lawyers in an area of history that has forgotten</w:t>
      </w:r>
      <w:r w:rsidR="00247CEC">
        <w:rPr>
          <w:rFonts w:ascii="Times New Roman" w:hAnsi="Times New Roman" w:cs="Times New Roman"/>
        </w:rPr>
        <w:t>,</w:t>
      </w:r>
      <w:r w:rsidRPr="00094615">
        <w:rPr>
          <w:rFonts w:ascii="Times New Roman" w:hAnsi="Times New Roman" w:cs="Times New Roman"/>
        </w:rPr>
        <w:t xml:space="preserve"> or at </w:t>
      </w:r>
      <w:r w:rsidRPr="00094615">
        <w:rPr>
          <w:rFonts w:ascii="Times New Roman" w:hAnsi="Times New Roman" w:cs="Times New Roman"/>
        </w:rPr>
        <w:lastRenderedPageBreak/>
        <w:t>best ignored</w:t>
      </w:r>
      <w:r w:rsidR="00247CEC">
        <w:rPr>
          <w:rFonts w:ascii="Times New Roman" w:hAnsi="Times New Roman" w:cs="Times New Roman"/>
        </w:rPr>
        <w:t>,</w:t>
      </w:r>
      <w:r w:rsidRPr="00094615">
        <w:rPr>
          <w:rFonts w:ascii="Times New Roman" w:hAnsi="Times New Roman" w:cs="Times New Roman"/>
        </w:rPr>
        <w:t xml:space="preserve"> women.  All of the 12 called in 1922</w:t>
      </w:r>
      <w:r w:rsidRPr="00094615">
        <w:rPr>
          <w:rFonts w:ascii="Times New Roman" w:hAnsi="Times New Roman" w:cs="Times New Roman"/>
          <w:vertAlign w:val="superscript"/>
        </w:rPr>
        <w:footnoteReference w:id="135"/>
      </w:r>
      <w:r w:rsidRPr="00094615">
        <w:rPr>
          <w:rFonts w:ascii="Times New Roman" w:hAnsi="Times New Roman" w:cs="Times New Roman"/>
        </w:rPr>
        <w:t xml:space="preserve"> would have faced similar prejudice.  How did that discrimination manifest itself in Normanton’s career?  It is evident from her initial struggle to enter the Bar; in the disciplinary proceedings she was subjected too; by her treatment, as reported, in court, by judges and male opponents; by the rejection of her applications to join the judiciary; the failure of male instructing solicitors to brief her; the blackballing of her attempt to join the Western Circuit;</w:t>
      </w:r>
      <w:r w:rsidRPr="00094615">
        <w:rPr>
          <w:rFonts w:ascii="Times New Roman" w:hAnsi="Times New Roman" w:cs="Times New Roman"/>
          <w:vertAlign w:val="superscript"/>
        </w:rPr>
        <w:footnoteReference w:id="136"/>
      </w:r>
      <w:r w:rsidRPr="00094615">
        <w:rPr>
          <w:rFonts w:ascii="Times New Roman" w:hAnsi="Times New Roman" w:cs="Times New Roman"/>
        </w:rPr>
        <w:t xml:space="preserve"> and her long wait to be made a KC.</w:t>
      </w:r>
      <w:r w:rsidRPr="00094615">
        <w:rPr>
          <w:rFonts w:ascii="Times New Roman" w:hAnsi="Times New Roman" w:cs="Times New Roman"/>
          <w:vertAlign w:val="superscript"/>
        </w:rPr>
        <w:footnoteReference w:id="137"/>
      </w:r>
      <w:r w:rsidRPr="00094615">
        <w:rPr>
          <w:rFonts w:ascii="Times New Roman" w:hAnsi="Times New Roman" w:cs="Times New Roman"/>
        </w:rPr>
        <w:t xml:space="preserve">  This paper, due to time constraints will focus on her struggle to join Middle Temple and the disciplinary proceedings she experienced.</w:t>
      </w:r>
    </w:p>
    <w:p w14:paraId="40A35B4C" w14:textId="77777777" w:rsidR="00094615" w:rsidRPr="00094615" w:rsidRDefault="00094615" w:rsidP="00094615">
      <w:pPr>
        <w:spacing w:after="0" w:line="480" w:lineRule="auto"/>
        <w:jc w:val="both"/>
        <w:rPr>
          <w:rFonts w:ascii="Times New Roman" w:hAnsi="Times New Roman" w:cs="Times New Roman"/>
        </w:rPr>
      </w:pPr>
    </w:p>
    <w:p w14:paraId="55F25909" w14:textId="0BB8FE59"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 xml:space="preserve">It is interesting </w:t>
      </w:r>
      <w:r w:rsidR="00247CEC">
        <w:rPr>
          <w:rFonts w:ascii="Times New Roman" w:hAnsi="Times New Roman" w:cs="Times New Roman"/>
        </w:rPr>
        <w:t xml:space="preserve">to note </w:t>
      </w:r>
      <w:r w:rsidRPr="00094615">
        <w:rPr>
          <w:rFonts w:ascii="Times New Roman" w:hAnsi="Times New Roman" w:cs="Times New Roman"/>
        </w:rPr>
        <w:t>that there is evidence in her archives that her male clients had no fear of being represented by a female barrister.</w:t>
      </w:r>
      <w:r w:rsidRPr="00094615">
        <w:rPr>
          <w:rFonts w:ascii="Times New Roman" w:hAnsi="Times New Roman" w:cs="Times New Roman"/>
          <w:vertAlign w:val="superscript"/>
        </w:rPr>
        <w:footnoteReference w:id="138"/>
      </w:r>
      <w:r w:rsidRPr="00094615">
        <w:rPr>
          <w:rFonts w:ascii="Times New Roman" w:hAnsi="Times New Roman" w:cs="Times New Roman"/>
        </w:rPr>
        <w:t xml:space="preserve">  There is also little evidence of how clerks viewed her, if anything they come across well in her archives, often writing letters and deflecting attention on her behalf to pestering clients.</w:t>
      </w:r>
      <w:r w:rsidRPr="00094615">
        <w:rPr>
          <w:rFonts w:ascii="Times New Roman" w:hAnsi="Times New Roman" w:cs="Times New Roman"/>
          <w:vertAlign w:val="superscript"/>
        </w:rPr>
        <w:footnoteReference w:id="139"/>
      </w:r>
      <w:r w:rsidRPr="00094615">
        <w:rPr>
          <w:rFonts w:ascii="Times New Roman" w:hAnsi="Times New Roman" w:cs="Times New Roman"/>
        </w:rPr>
        <w:t xml:space="preserve">  Polden</w:t>
      </w:r>
      <w:r w:rsidR="00247CEC">
        <w:rPr>
          <w:rFonts w:ascii="Times New Roman" w:hAnsi="Times New Roman" w:cs="Times New Roman"/>
        </w:rPr>
        <w:t xml:space="preserve"> comments t</w:t>
      </w:r>
      <w:r w:rsidRPr="00094615">
        <w:rPr>
          <w:rFonts w:ascii="Times New Roman" w:hAnsi="Times New Roman" w:cs="Times New Roman"/>
        </w:rPr>
        <w:t>hat many clerks were wary of female barristers especially in relation to lavatory arrangements.</w:t>
      </w:r>
      <w:r w:rsidRPr="00094615">
        <w:rPr>
          <w:rFonts w:ascii="Times New Roman" w:hAnsi="Times New Roman" w:cs="Times New Roman"/>
          <w:vertAlign w:val="superscript"/>
        </w:rPr>
        <w:footnoteReference w:id="140"/>
      </w:r>
    </w:p>
    <w:p w14:paraId="4D4E93B9" w14:textId="77777777" w:rsidR="00094615" w:rsidRPr="00094615" w:rsidRDefault="00094615" w:rsidP="00094615">
      <w:pPr>
        <w:spacing w:after="0" w:line="480" w:lineRule="auto"/>
        <w:jc w:val="both"/>
        <w:rPr>
          <w:rFonts w:ascii="Times New Roman" w:hAnsi="Times New Roman" w:cs="Times New Roman"/>
        </w:rPr>
      </w:pPr>
    </w:p>
    <w:p w14:paraId="5A85F7CC"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Who was Helena Normanton?</w:t>
      </w:r>
    </w:p>
    <w:p w14:paraId="608033E9" w14:textId="751E4D09" w:rsid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Normanton was the first woman to be admitted to an Inn of Court after the passing of the Sex Disqualification (Removal) Act 1919 and was called to the Bar of England and Wales in November 1922.  She was also the first woman to be briefed both in the High Court</w:t>
      </w:r>
      <w:r w:rsidRPr="00094615">
        <w:rPr>
          <w:rFonts w:ascii="Times New Roman" w:hAnsi="Times New Roman" w:cs="Times New Roman"/>
          <w:vertAlign w:val="superscript"/>
        </w:rPr>
        <w:footnoteReference w:id="141"/>
      </w:r>
      <w:r w:rsidRPr="00094615">
        <w:rPr>
          <w:rFonts w:ascii="Times New Roman" w:hAnsi="Times New Roman" w:cs="Times New Roman"/>
        </w:rPr>
        <w:t xml:space="preserve"> and the Central Criminal Court.</w:t>
      </w:r>
      <w:r w:rsidRPr="00094615">
        <w:rPr>
          <w:rFonts w:ascii="Times New Roman" w:hAnsi="Times New Roman" w:cs="Times New Roman"/>
          <w:vertAlign w:val="superscript"/>
        </w:rPr>
        <w:footnoteReference w:id="142"/>
      </w:r>
      <w:r w:rsidRPr="00094615">
        <w:rPr>
          <w:rFonts w:ascii="Times New Roman" w:hAnsi="Times New Roman" w:cs="Times New Roman"/>
        </w:rPr>
        <w:t xml:space="preserve">  </w:t>
      </w:r>
      <w:r w:rsidRPr="00094615">
        <w:rPr>
          <w:rFonts w:ascii="Times New Roman" w:hAnsi="Times New Roman" w:cs="Times New Roman"/>
        </w:rPr>
        <w:lastRenderedPageBreak/>
        <w:t>She went on to become one of two first women King’s Counsels and one of the first women to practise law past retirement at 60.  She was not the f</w:t>
      </w:r>
      <w:r w:rsidR="00247CEC">
        <w:rPr>
          <w:rFonts w:ascii="Times New Roman" w:hAnsi="Times New Roman" w:cs="Times New Roman"/>
        </w:rPr>
        <w:t>irst woman to be called to the b</w:t>
      </w:r>
      <w:r w:rsidRPr="00094615">
        <w:rPr>
          <w:rFonts w:ascii="Times New Roman" w:hAnsi="Times New Roman" w:cs="Times New Roman"/>
        </w:rPr>
        <w:t>ar or to hold the first brief.</w:t>
      </w:r>
      <w:r w:rsidRPr="00094615">
        <w:rPr>
          <w:rFonts w:ascii="Times New Roman" w:hAnsi="Times New Roman" w:cs="Times New Roman"/>
          <w:vertAlign w:val="superscript"/>
        </w:rPr>
        <w:footnoteReference w:id="143"/>
      </w:r>
      <w:r w:rsidRPr="00094615">
        <w:rPr>
          <w:rFonts w:ascii="Times New Roman" w:hAnsi="Times New Roman" w:cs="Times New Roman"/>
        </w:rPr>
        <w:t xml:space="preserve">  Born in 1882, in West Ham, East London, to parents who separated shortly after the birth of her younger and only sibling.</w:t>
      </w:r>
      <w:r w:rsidRPr="00094615">
        <w:rPr>
          <w:rFonts w:ascii="Times New Roman" w:hAnsi="Times New Roman" w:cs="Times New Roman"/>
          <w:vertAlign w:val="superscript"/>
        </w:rPr>
        <w:footnoteReference w:id="144"/>
      </w:r>
      <w:r w:rsidRPr="00094615">
        <w:rPr>
          <w:rFonts w:ascii="Times New Roman" w:hAnsi="Times New Roman" w:cs="Times New Roman"/>
        </w:rPr>
        <w:t xml:space="preserve">  Her father is described on the census records as being a pianoforte manufacturer, but the inquest into his death in 1886 described him as a piano tuner.</w:t>
      </w:r>
      <w:r w:rsidRPr="00094615">
        <w:rPr>
          <w:rFonts w:ascii="Times New Roman" w:hAnsi="Times New Roman" w:cs="Times New Roman"/>
          <w:vertAlign w:val="superscript"/>
        </w:rPr>
        <w:footnoteReference w:id="145"/>
      </w:r>
      <w:r w:rsidRPr="00094615">
        <w:rPr>
          <w:rFonts w:ascii="Times New Roman" w:hAnsi="Times New Roman" w:cs="Times New Roman"/>
        </w:rPr>
        <w:t xml:space="preserve">  Her mother had been a milliner.  Her background is very different from many of the university educated and middle-class women who would become her peers in 1919.</w:t>
      </w:r>
      <w:r w:rsidR="00247CEC">
        <w:rPr>
          <w:rStyle w:val="FootnoteReference"/>
          <w:rFonts w:ascii="Times New Roman" w:hAnsi="Times New Roman" w:cs="Times New Roman"/>
        </w:rPr>
        <w:footnoteReference w:id="146"/>
      </w:r>
    </w:p>
    <w:p w14:paraId="322A4542" w14:textId="77777777" w:rsidR="00341D0B" w:rsidRPr="00094615" w:rsidRDefault="00341D0B" w:rsidP="00094615">
      <w:pPr>
        <w:spacing w:after="0" w:line="480" w:lineRule="auto"/>
        <w:jc w:val="both"/>
        <w:rPr>
          <w:rFonts w:ascii="Times New Roman" w:hAnsi="Times New Roman" w:cs="Times New Roman"/>
        </w:rPr>
      </w:pPr>
    </w:p>
    <w:p w14:paraId="31545394" w14:textId="15139151" w:rsidR="00094615" w:rsidRPr="00094615" w:rsidRDefault="00094615" w:rsidP="00094615">
      <w:pPr>
        <w:spacing w:after="0" w:line="480" w:lineRule="auto"/>
        <w:jc w:val="both"/>
        <w:rPr>
          <w:rFonts w:ascii="Times New Roman" w:hAnsi="Times New Roman" w:cs="Times New Roman"/>
          <w:lang w:val="en-US"/>
        </w:rPr>
      </w:pPr>
      <w:r w:rsidRPr="00094615">
        <w:rPr>
          <w:rFonts w:ascii="Times New Roman" w:hAnsi="Times New Roman" w:cs="Times New Roman"/>
          <w:lang w:val="en-US"/>
        </w:rPr>
        <w:t xml:space="preserve">Normanton’s mother was left to raise her two daughters alone.  She worked as a publican and finally a boarding housekeeper.  </w:t>
      </w:r>
      <w:r w:rsidR="00271D4F">
        <w:rPr>
          <w:rFonts w:ascii="Times New Roman" w:hAnsi="Times New Roman" w:cs="Times New Roman"/>
          <w:lang w:val="en-US"/>
        </w:rPr>
        <w:t xml:space="preserve">Her </w:t>
      </w:r>
      <w:r w:rsidRPr="00094615">
        <w:rPr>
          <w:rFonts w:ascii="Times New Roman" w:hAnsi="Times New Roman" w:cs="Times New Roman"/>
          <w:lang w:val="en-US"/>
        </w:rPr>
        <w:t>mother’s ambition was that both of her daughters would become independent and autonomous, in an era when women were essentially legal non-persons.  So, Normanton trained and worked as a teacher and gained a history degree through extension studies.</w:t>
      </w:r>
      <w:r w:rsidRPr="00094615">
        <w:rPr>
          <w:rFonts w:ascii="Times New Roman" w:hAnsi="Times New Roman" w:cs="Times New Roman"/>
          <w:vertAlign w:val="superscript"/>
          <w:lang w:val="en-US"/>
        </w:rPr>
        <w:footnoteReference w:id="147"/>
      </w:r>
      <w:r w:rsidRPr="00094615">
        <w:rPr>
          <w:rFonts w:ascii="Times New Roman" w:hAnsi="Times New Roman" w:cs="Times New Roman"/>
          <w:lang w:val="en-US"/>
        </w:rPr>
        <w:t xml:space="preserve">  She left teaching because she could not bear the hypocrisy of the school history syllabus on the subject of India, believing India should be independent.</w:t>
      </w:r>
      <w:r w:rsidRPr="00094615">
        <w:rPr>
          <w:rFonts w:ascii="Times New Roman" w:hAnsi="Times New Roman" w:cs="Times New Roman"/>
          <w:vertAlign w:val="superscript"/>
          <w:lang w:val="en-US"/>
        </w:rPr>
        <w:footnoteReference w:id="148"/>
      </w:r>
      <w:r w:rsidRPr="00094615">
        <w:rPr>
          <w:rFonts w:ascii="Times New Roman" w:hAnsi="Times New Roman" w:cs="Times New Roman"/>
          <w:lang w:val="en-US"/>
        </w:rPr>
        <w:t xml:space="preserve">  Around 1916 she moved to London and at first worked as a tutor to a notorious MP</w:t>
      </w:r>
      <w:r w:rsidRPr="00094615">
        <w:rPr>
          <w:rFonts w:ascii="Times New Roman" w:hAnsi="Times New Roman" w:cs="Times New Roman"/>
          <w:vertAlign w:val="superscript"/>
          <w:lang w:val="en-US"/>
        </w:rPr>
        <w:footnoteReference w:id="149"/>
      </w:r>
      <w:r w:rsidRPr="00094615">
        <w:rPr>
          <w:rFonts w:ascii="Times New Roman" w:hAnsi="Times New Roman" w:cs="Times New Roman"/>
          <w:lang w:val="en-US"/>
        </w:rPr>
        <w:t xml:space="preserve"> and </w:t>
      </w:r>
      <w:r w:rsidR="00271D4F">
        <w:rPr>
          <w:rFonts w:ascii="Times New Roman" w:hAnsi="Times New Roman" w:cs="Times New Roman"/>
          <w:lang w:val="en-US"/>
        </w:rPr>
        <w:t xml:space="preserve">then </w:t>
      </w:r>
      <w:r w:rsidRPr="00094615">
        <w:rPr>
          <w:rFonts w:ascii="Times New Roman" w:hAnsi="Times New Roman" w:cs="Times New Roman"/>
          <w:lang w:val="en-US"/>
        </w:rPr>
        <w:t xml:space="preserve">as an extension lecturer at the University of London </w:t>
      </w:r>
      <w:r w:rsidR="00271D4F">
        <w:rPr>
          <w:rFonts w:ascii="Times New Roman" w:hAnsi="Times New Roman" w:cs="Times New Roman"/>
          <w:lang w:val="en-US"/>
        </w:rPr>
        <w:t xml:space="preserve">whilst </w:t>
      </w:r>
      <w:r w:rsidRPr="00094615">
        <w:rPr>
          <w:rFonts w:ascii="Times New Roman" w:hAnsi="Times New Roman" w:cs="Times New Roman"/>
          <w:lang w:val="en-US"/>
        </w:rPr>
        <w:t>edit</w:t>
      </w:r>
      <w:r w:rsidR="00271D4F">
        <w:rPr>
          <w:rFonts w:ascii="Times New Roman" w:hAnsi="Times New Roman" w:cs="Times New Roman"/>
          <w:lang w:val="en-US"/>
        </w:rPr>
        <w:t xml:space="preserve">ing </w:t>
      </w:r>
      <w:r w:rsidRPr="00094615">
        <w:rPr>
          <w:rFonts w:ascii="Times New Roman" w:hAnsi="Times New Roman" w:cs="Times New Roman"/>
          <w:lang w:val="en-US"/>
        </w:rPr>
        <w:t xml:space="preserve">the political weekly </w:t>
      </w:r>
      <w:r w:rsidRPr="00094615">
        <w:rPr>
          <w:rFonts w:ascii="Times New Roman" w:hAnsi="Times New Roman" w:cs="Times New Roman"/>
          <w:i/>
          <w:lang w:val="en-US"/>
        </w:rPr>
        <w:t>India</w:t>
      </w:r>
      <w:r w:rsidRPr="00094615">
        <w:rPr>
          <w:rFonts w:ascii="Times New Roman" w:hAnsi="Times New Roman" w:cs="Times New Roman"/>
          <w:lang w:val="en-US"/>
        </w:rPr>
        <w:t>.</w:t>
      </w:r>
      <w:r w:rsidRPr="00094615">
        <w:rPr>
          <w:rFonts w:ascii="Times New Roman" w:hAnsi="Times New Roman" w:cs="Times New Roman"/>
          <w:vertAlign w:val="superscript"/>
          <w:lang w:val="en-US"/>
        </w:rPr>
        <w:footnoteReference w:id="150"/>
      </w:r>
    </w:p>
    <w:p w14:paraId="1AAFB38B" w14:textId="77777777" w:rsidR="00341D0B" w:rsidRDefault="00341D0B" w:rsidP="00094615">
      <w:pPr>
        <w:spacing w:after="0" w:line="480" w:lineRule="auto"/>
        <w:jc w:val="both"/>
        <w:rPr>
          <w:rFonts w:ascii="Times New Roman" w:hAnsi="Times New Roman" w:cs="Times New Roman"/>
          <w:lang w:val="en-US"/>
        </w:rPr>
      </w:pPr>
    </w:p>
    <w:p w14:paraId="0B1717C1" w14:textId="77777777" w:rsidR="00094615" w:rsidRPr="00094615" w:rsidRDefault="00094615" w:rsidP="00094615">
      <w:pPr>
        <w:spacing w:after="0" w:line="480" w:lineRule="auto"/>
        <w:jc w:val="both"/>
        <w:rPr>
          <w:rFonts w:ascii="Times New Roman" w:hAnsi="Times New Roman" w:cs="Times New Roman"/>
          <w:lang w:val="en-US"/>
        </w:rPr>
      </w:pPr>
      <w:r w:rsidRPr="00094615">
        <w:rPr>
          <w:rFonts w:ascii="Times New Roman" w:hAnsi="Times New Roman" w:cs="Times New Roman"/>
          <w:lang w:val="en-US"/>
        </w:rPr>
        <w:t>She was in London, the hub of the women’s movement, and had joined many women’s networks such as the WSPU and the WFL, campaigning vociferously for the vote, equality and women’s entry to the legal profession.</w:t>
      </w:r>
    </w:p>
    <w:p w14:paraId="0FF7096E" w14:textId="77777777" w:rsidR="00094615" w:rsidRPr="00094615" w:rsidRDefault="00094615" w:rsidP="00094615">
      <w:pPr>
        <w:spacing w:after="0" w:line="480" w:lineRule="auto"/>
        <w:jc w:val="both"/>
        <w:rPr>
          <w:rFonts w:ascii="Times New Roman" w:hAnsi="Times New Roman" w:cs="Times New Roman"/>
        </w:rPr>
      </w:pPr>
    </w:p>
    <w:p w14:paraId="13316AED"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Misogyny in action: Her first attempt to join Middle Temple: February 1918</w:t>
      </w:r>
    </w:p>
    <w:p w14:paraId="69DFAEC8" w14:textId="2ABA86E6"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Her first attempt to join Middle Temple was in February 1918 and is an obvious example of male resistance to women’s membership of the Bar.  This campaign would leave her stigmatised for the rest of her life and also posthumously, with a reputation of being difficult and militant.</w:t>
      </w:r>
      <w:r w:rsidR="00271D4F">
        <w:rPr>
          <w:rStyle w:val="FootnoteReference"/>
          <w:rFonts w:ascii="Times New Roman" w:hAnsi="Times New Roman" w:cs="Times New Roman"/>
        </w:rPr>
        <w:footnoteReference w:id="151"/>
      </w:r>
    </w:p>
    <w:p w14:paraId="454120B2" w14:textId="77777777" w:rsidR="00094615" w:rsidRPr="00094615" w:rsidRDefault="00094615" w:rsidP="00094615">
      <w:pPr>
        <w:spacing w:after="0" w:line="480" w:lineRule="auto"/>
        <w:jc w:val="both"/>
        <w:rPr>
          <w:rFonts w:ascii="Times New Roman" w:hAnsi="Times New Roman" w:cs="Times New Roman"/>
        </w:rPr>
      </w:pPr>
    </w:p>
    <w:p w14:paraId="6E903809"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Why did you have to join an Inn of Court?  It was essential that she join an Inn of Court as would-be barristers could not formally train for the Bar without membership of an Inn of Court.  Admission was controlled by the Benchers</w:t>
      </w:r>
      <w:r w:rsidRPr="00094615">
        <w:rPr>
          <w:rFonts w:ascii="Times New Roman" w:hAnsi="Times New Roman" w:cs="Times New Roman"/>
          <w:vertAlign w:val="superscript"/>
        </w:rPr>
        <w:footnoteReference w:id="152"/>
      </w:r>
      <w:r w:rsidRPr="00094615">
        <w:rPr>
          <w:rFonts w:ascii="Times New Roman" w:hAnsi="Times New Roman" w:cs="Times New Roman"/>
        </w:rPr>
        <w:t xml:space="preserve"> of each Inn of Court, a Bencher was a senior barrister.  Refusals were rare</w:t>
      </w:r>
      <w:r w:rsidRPr="00094615">
        <w:rPr>
          <w:rFonts w:ascii="Times New Roman" w:hAnsi="Times New Roman" w:cs="Times New Roman"/>
          <w:vertAlign w:val="superscript"/>
        </w:rPr>
        <w:footnoteReference w:id="153"/>
      </w:r>
      <w:r w:rsidRPr="00094615">
        <w:rPr>
          <w:rFonts w:ascii="Times New Roman" w:hAnsi="Times New Roman" w:cs="Times New Roman"/>
        </w:rPr>
        <w:t xml:space="preserve"> if you were male; all you had to do was state your age, residence, condition in life and two references.</w:t>
      </w:r>
      <w:r w:rsidRPr="00094615">
        <w:rPr>
          <w:rFonts w:ascii="Times New Roman" w:hAnsi="Times New Roman" w:cs="Times New Roman"/>
          <w:vertAlign w:val="superscript"/>
        </w:rPr>
        <w:footnoteReference w:id="154"/>
      </w:r>
      <w:r w:rsidRPr="00094615">
        <w:rPr>
          <w:rFonts w:ascii="Times New Roman" w:hAnsi="Times New Roman" w:cs="Times New Roman"/>
        </w:rPr>
        <w:t xml:space="preserve">  The Inns of Court, in essence were barristers exercising total control of those admitted as students.</w:t>
      </w:r>
      <w:r w:rsidRPr="00094615">
        <w:rPr>
          <w:rFonts w:ascii="Times New Roman" w:hAnsi="Times New Roman" w:cs="Times New Roman"/>
          <w:vertAlign w:val="superscript"/>
        </w:rPr>
        <w:footnoteReference w:id="155"/>
      </w:r>
      <w:r w:rsidRPr="00094615">
        <w:rPr>
          <w:rFonts w:ascii="Times New Roman" w:hAnsi="Times New Roman" w:cs="Times New Roman"/>
        </w:rPr>
        <w:t xml:space="preserve">  When Normanton applied in 1918 she could not have had much hope of success.</w:t>
      </w:r>
    </w:p>
    <w:p w14:paraId="2DC29646" w14:textId="77777777" w:rsidR="00094615" w:rsidRPr="00094615" w:rsidRDefault="00094615" w:rsidP="00094615">
      <w:pPr>
        <w:spacing w:after="0" w:line="480" w:lineRule="auto"/>
        <w:jc w:val="both"/>
        <w:rPr>
          <w:rFonts w:ascii="Times New Roman" w:hAnsi="Times New Roman" w:cs="Times New Roman"/>
        </w:rPr>
      </w:pPr>
    </w:p>
    <w:p w14:paraId="1D0BCF94" w14:textId="77777777" w:rsidR="00094615" w:rsidRPr="00341D0B" w:rsidRDefault="00094615" w:rsidP="00341D0B">
      <w:pPr>
        <w:spacing w:after="0" w:line="480" w:lineRule="auto"/>
        <w:jc w:val="both"/>
        <w:rPr>
          <w:rFonts w:ascii="Times New Roman" w:hAnsi="Times New Roman" w:cs="Times New Roman"/>
          <w:b/>
        </w:rPr>
      </w:pPr>
      <w:r w:rsidRPr="00341D0B">
        <w:rPr>
          <w:rFonts w:ascii="Times New Roman" w:hAnsi="Times New Roman" w:cs="Times New Roman"/>
          <w:b/>
        </w:rPr>
        <w:t>Previous Applicants</w:t>
      </w:r>
    </w:p>
    <w:p w14:paraId="69271391" w14:textId="5381D8A1"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 xml:space="preserve">It is important to understand that Normanton was not the first woman to be refused admission </w:t>
      </w:r>
      <w:r w:rsidR="00F97EF6">
        <w:rPr>
          <w:rFonts w:ascii="Times New Roman" w:hAnsi="Times New Roman" w:cs="Times New Roman"/>
        </w:rPr>
        <w:t>to the b</w:t>
      </w:r>
      <w:r w:rsidRPr="00094615">
        <w:rPr>
          <w:rFonts w:ascii="Times New Roman" w:hAnsi="Times New Roman" w:cs="Times New Roman"/>
        </w:rPr>
        <w:t>ar.</w:t>
      </w:r>
      <w:r w:rsidRPr="00094615">
        <w:rPr>
          <w:rFonts w:ascii="Times New Roman" w:hAnsi="Times New Roman" w:cs="Times New Roman"/>
          <w:vertAlign w:val="superscript"/>
        </w:rPr>
        <w:footnoteReference w:id="156"/>
      </w:r>
      <w:r w:rsidRPr="00094615">
        <w:rPr>
          <w:rFonts w:ascii="Times New Roman" w:hAnsi="Times New Roman" w:cs="Times New Roman"/>
        </w:rPr>
        <w:t xml:space="preserve">  Women had been attempting to enter the legal profession from the 1870s.  For example</w:t>
      </w:r>
      <w:r w:rsidR="00F97EF6">
        <w:rPr>
          <w:rFonts w:ascii="Times New Roman" w:hAnsi="Times New Roman" w:cs="Times New Roman"/>
        </w:rPr>
        <w:t>,</w:t>
      </w:r>
      <w:r w:rsidRPr="00094615">
        <w:rPr>
          <w:rFonts w:ascii="Times New Roman" w:hAnsi="Times New Roman" w:cs="Times New Roman"/>
        </w:rPr>
        <w:t xml:space="preserve"> in 1873 </w:t>
      </w:r>
      <w:r w:rsidRPr="00094615">
        <w:rPr>
          <w:rFonts w:ascii="Times New Roman" w:hAnsi="Times New Roman" w:cs="Times New Roman"/>
        </w:rPr>
        <w:lastRenderedPageBreak/>
        <w:t>Maria Grey</w:t>
      </w:r>
      <w:r w:rsidRPr="00094615">
        <w:rPr>
          <w:rFonts w:ascii="Times New Roman" w:hAnsi="Times New Roman" w:cs="Times New Roman"/>
          <w:vertAlign w:val="superscript"/>
        </w:rPr>
        <w:footnoteReference w:id="157"/>
      </w:r>
      <w:r w:rsidRPr="00094615">
        <w:rPr>
          <w:rFonts w:ascii="Times New Roman" w:hAnsi="Times New Roman" w:cs="Times New Roman"/>
        </w:rPr>
        <w:t xml:space="preserve"> organised a petition, signed by ninety-two </w:t>
      </w:r>
      <w:r w:rsidRPr="00094615">
        <w:rPr>
          <w:rFonts w:ascii="Times New Roman" w:hAnsi="Times New Roman" w:cs="Times New Roman"/>
          <w:iCs/>
        </w:rPr>
        <w:t>women, to attend lectures arranged by the Council of Legal Education</w:t>
      </w:r>
      <w:r w:rsidRPr="00094615">
        <w:rPr>
          <w:rFonts w:ascii="Times New Roman" w:hAnsi="Times New Roman" w:cs="Times New Roman"/>
          <w:iCs/>
          <w:vertAlign w:val="superscript"/>
        </w:rPr>
        <w:footnoteReference w:id="158"/>
      </w:r>
      <w:r w:rsidRPr="00094615">
        <w:rPr>
          <w:rFonts w:ascii="Times New Roman" w:hAnsi="Times New Roman" w:cs="Times New Roman"/>
          <w:iCs/>
        </w:rPr>
        <w:t xml:space="preserve"> at Lincoln’s Inn</w:t>
      </w:r>
      <w:r w:rsidRPr="00094615">
        <w:rPr>
          <w:rFonts w:ascii="Times New Roman" w:hAnsi="Times New Roman" w:cs="Times New Roman"/>
          <w:iCs/>
          <w:vertAlign w:val="superscript"/>
        </w:rPr>
        <w:footnoteReference w:id="159"/>
      </w:r>
      <w:r w:rsidRPr="00094615">
        <w:rPr>
          <w:rFonts w:ascii="Times New Roman" w:hAnsi="Times New Roman" w:cs="Times New Roman"/>
          <w:iCs/>
        </w:rPr>
        <w:t xml:space="preserve"> and was unsuccessful.</w:t>
      </w:r>
      <w:r w:rsidRPr="00094615">
        <w:rPr>
          <w:rFonts w:ascii="Times New Roman" w:hAnsi="Times New Roman" w:cs="Times New Roman"/>
          <w:iCs/>
          <w:vertAlign w:val="superscript"/>
        </w:rPr>
        <w:footnoteReference w:id="160"/>
      </w:r>
      <w:r w:rsidRPr="00094615">
        <w:rPr>
          <w:rFonts w:ascii="Times New Roman" w:hAnsi="Times New Roman" w:cs="Times New Roman"/>
          <w:iCs/>
        </w:rPr>
        <w:t xml:space="preserve">  </w:t>
      </w:r>
      <w:r w:rsidRPr="00094615">
        <w:rPr>
          <w:rFonts w:ascii="Times New Roman" w:hAnsi="Times New Roman" w:cs="Times New Roman"/>
        </w:rPr>
        <w:t>Later i</w:t>
      </w:r>
      <w:r w:rsidRPr="00094615">
        <w:rPr>
          <w:rFonts w:ascii="Times New Roman" w:hAnsi="Times New Roman" w:cs="Times New Roman"/>
          <w:iCs/>
        </w:rPr>
        <w:t>n 1878, another group was formed specifically aimed to open the legal profession to women,</w:t>
      </w:r>
      <w:r w:rsidRPr="00094615">
        <w:rPr>
          <w:rFonts w:ascii="Times New Roman" w:hAnsi="Times New Roman" w:cs="Times New Roman"/>
          <w:iCs/>
          <w:vertAlign w:val="superscript"/>
        </w:rPr>
        <w:footnoteReference w:id="161"/>
      </w:r>
      <w:r w:rsidRPr="00094615">
        <w:rPr>
          <w:rFonts w:ascii="Times New Roman" w:hAnsi="Times New Roman" w:cs="Times New Roman"/>
          <w:iCs/>
        </w:rPr>
        <w:t xml:space="preserve"> again they were unsuccessful.</w:t>
      </w:r>
    </w:p>
    <w:p w14:paraId="1B26815D" w14:textId="77777777" w:rsidR="00094615" w:rsidRPr="00094615" w:rsidRDefault="00094615" w:rsidP="00094615">
      <w:pPr>
        <w:spacing w:after="0" w:line="480" w:lineRule="auto"/>
        <w:jc w:val="both"/>
        <w:rPr>
          <w:rFonts w:ascii="Times New Roman" w:hAnsi="Times New Roman" w:cs="Times New Roman"/>
          <w:iCs/>
        </w:rPr>
      </w:pPr>
    </w:p>
    <w:p w14:paraId="2F3D7E8A"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iCs/>
        </w:rPr>
        <w:t>Likewise on 5 March 1903 Bertha Cave</w:t>
      </w:r>
      <w:r w:rsidRPr="00094615">
        <w:rPr>
          <w:rFonts w:ascii="Times New Roman" w:hAnsi="Times New Roman" w:cs="Times New Roman"/>
          <w:iCs/>
          <w:vertAlign w:val="superscript"/>
        </w:rPr>
        <w:footnoteReference w:id="162"/>
      </w:r>
      <w:r w:rsidRPr="00094615">
        <w:rPr>
          <w:rFonts w:ascii="Times New Roman" w:hAnsi="Times New Roman" w:cs="Times New Roman"/>
          <w:iCs/>
        </w:rPr>
        <w:t xml:space="preserve"> applied to join Gray’s Inn and after an appeal to the House of Lords was rejected.  The same year Christabel Pankhurst</w:t>
      </w:r>
      <w:r w:rsidRPr="00094615">
        <w:rPr>
          <w:rFonts w:ascii="Times New Roman" w:hAnsi="Times New Roman" w:cs="Times New Roman"/>
          <w:iCs/>
          <w:vertAlign w:val="superscript"/>
        </w:rPr>
        <w:footnoteReference w:id="163"/>
      </w:r>
      <w:r w:rsidRPr="00094615">
        <w:rPr>
          <w:rFonts w:ascii="Times New Roman" w:hAnsi="Times New Roman" w:cs="Times New Roman"/>
          <w:iCs/>
        </w:rPr>
        <w:t xml:space="preserve"> also had her application to join Lincoln’s Inn refused, in return she set up a group</w:t>
      </w:r>
      <w:r w:rsidRPr="00094615">
        <w:rPr>
          <w:rFonts w:ascii="Times New Roman" w:hAnsi="Times New Roman" w:cs="Times New Roman"/>
          <w:vertAlign w:val="superscript"/>
        </w:rPr>
        <w:footnoteReference w:id="164"/>
      </w:r>
      <w:r w:rsidRPr="00094615">
        <w:rPr>
          <w:rFonts w:ascii="Times New Roman" w:hAnsi="Times New Roman" w:cs="Times New Roman"/>
        </w:rPr>
        <w:t xml:space="preserve"> calling for women’s admission to the legal profession of which Normanton was a member.  It was a well organised group with a high profile membership.  The most infamous attempt to join the legal profession occurred in 1914, in what is now known as </w:t>
      </w:r>
      <w:r w:rsidRPr="00094615">
        <w:rPr>
          <w:rFonts w:ascii="Times New Roman" w:hAnsi="Times New Roman" w:cs="Times New Roman"/>
          <w:i/>
        </w:rPr>
        <w:t>Bebb v Law Society</w:t>
      </w:r>
      <w:r w:rsidRPr="00094615">
        <w:rPr>
          <w:rFonts w:ascii="Times New Roman" w:hAnsi="Times New Roman" w:cs="Times New Roman"/>
        </w:rPr>
        <w:t xml:space="preserve"> [1914] 1 Ch. 286.  We all know the outcome.</w:t>
      </w:r>
    </w:p>
    <w:p w14:paraId="652C3EFC" w14:textId="77777777" w:rsidR="00094615" w:rsidRPr="00094615" w:rsidRDefault="00094615" w:rsidP="00094615">
      <w:pPr>
        <w:spacing w:after="0" w:line="480" w:lineRule="auto"/>
        <w:jc w:val="both"/>
        <w:rPr>
          <w:rFonts w:ascii="Times New Roman" w:hAnsi="Times New Roman" w:cs="Times New Roman"/>
        </w:rPr>
      </w:pPr>
    </w:p>
    <w:p w14:paraId="6D7934FE" w14:textId="77777777" w:rsidR="00094615" w:rsidRPr="00341D0B" w:rsidRDefault="00094615" w:rsidP="00341D0B">
      <w:pPr>
        <w:spacing w:after="0" w:line="480" w:lineRule="auto"/>
        <w:jc w:val="both"/>
        <w:rPr>
          <w:rFonts w:ascii="Times New Roman" w:hAnsi="Times New Roman" w:cs="Times New Roman"/>
          <w:b/>
          <w:iCs/>
        </w:rPr>
      </w:pPr>
      <w:r w:rsidRPr="00341D0B">
        <w:rPr>
          <w:rFonts w:ascii="Times New Roman" w:hAnsi="Times New Roman" w:cs="Times New Roman"/>
          <w:b/>
          <w:iCs/>
        </w:rPr>
        <w:t>Alternative strategies</w:t>
      </w:r>
    </w:p>
    <w:p w14:paraId="5DF2E03E"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iCs/>
        </w:rPr>
        <w:lastRenderedPageBreak/>
        <w:t>We should not forget the alternative strategies that women employed to get round the need to actually join the profession.  Eliza Orme, for example, circumvented the need to be professionally qualified and managed to practise law.  She had no formal legal qualifications, but managed to open a law office on Chancery Lane in London in 1875.</w:t>
      </w:r>
      <w:r w:rsidRPr="00094615">
        <w:rPr>
          <w:rFonts w:ascii="Times New Roman" w:hAnsi="Times New Roman" w:cs="Times New Roman"/>
          <w:iCs/>
          <w:vertAlign w:val="superscript"/>
        </w:rPr>
        <w:footnoteReference w:id="165"/>
      </w:r>
      <w:r w:rsidRPr="00094615">
        <w:rPr>
          <w:rFonts w:ascii="Times New Roman" w:hAnsi="Times New Roman" w:cs="Times New Roman"/>
          <w:iCs/>
        </w:rPr>
        <w:t xml:space="preserve">  There were probably many women working in non-qualified positions in law offices, but Orme’s office was ‘bold’</w:t>
      </w:r>
      <w:r w:rsidRPr="00094615">
        <w:rPr>
          <w:rFonts w:ascii="Times New Roman" w:hAnsi="Times New Roman" w:cs="Times New Roman"/>
          <w:iCs/>
          <w:vertAlign w:val="superscript"/>
        </w:rPr>
        <w:footnoteReference w:id="166"/>
      </w:r>
      <w:r w:rsidRPr="00094615">
        <w:rPr>
          <w:rFonts w:ascii="Times New Roman" w:hAnsi="Times New Roman" w:cs="Times New Roman"/>
          <w:iCs/>
        </w:rPr>
        <w:t xml:space="preserve"> because ‘few, if any’ had set up an actual office.</w:t>
      </w:r>
      <w:r w:rsidRPr="00094615">
        <w:rPr>
          <w:rFonts w:ascii="Times New Roman" w:hAnsi="Times New Roman" w:cs="Times New Roman"/>
          <w:iCs/>
          <w:vertAlign w:val="superscript"/>
        </w:rPr>
        <w:footnoteReference w:id="167"/>
      </w:r>
      <w:r w:rsidRPr="00094615">
        <w:rPr>
          <w:rFonts w:ascii="Times New Roman" w:hAnsi="Times New Roman" w:cs="Times New Roman"/>
          <w:iCs/>
        </w:rPr>
        <w:t xml:space="preserve">   Mossman commented that “Orme’s decision to engage in legal work reveals a different strategy; rather than confronting the authority and legal culture of the legal professions directly, Orme chose to do legal work at the boundaries of professional jurisdictions…”</w:t>
      </w:r>
      <w:r w:rsidRPr="00094615">
        <w:rPr>
          <w:rFonts w:ascii="Times New Roman" w:hAnsi="Times New Roman" w:cs="Times New Roman"/>
          <w:iCs/>
          <w:vertAlign w:val="superscript"/>
        </w:rPr>
        <w:footnoteReference w:id="168"/>
      </w:r>
    </w:p>
    <w:p w14:paraId="4991A0FC" w14:textId="77777777" w:rsidR="00094615" w:rsidRPr="00094615" w:rsidRDefault="00094615" w:rsidP="00094615">
      <w:pPr>
        <w:spacing w:after="0" w:line="480" w:lineRule="auto"/>
        <w:jc w:val="both"/>
        <w:rPr>
          <w:rFonts w:ascii="Times New Roman" w:hAnsi="Times New Roman" w:cs="Times New Roman"/>
          <w:iCs/>
        </w:rPr>
      </w:pPr>
    </w:p>
    <w:p w14:paraId="55F426F2" w14:textId="6B2D8832"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iCs/>
        </w:rPr>
        <w:t>However, not all indirect methods were successful, for example Miss Day in 1891</w:t>
      </w:r>
      <w:r w:rsidR="00F97EF6">
        <w:rPr>
          <w:rFonts w:ascii="Times New Roman" w:hAnsi="Times New Roman" w:cs="Times New Roman"/>
          <w:iCs/>
        </w:rPr>
        <w:t xml:space="preserve">, who </w:t>
      </w:r>
      <w:r w:rsidRPr="00094615">
        <w:rPr>
          <w:rFonts w:ascii="Times New Roman" w:hAnsi="Times New Roman" w:cs="Times New Roman"/>
          <w:iCs/>
        </w:rPr>
        <w:t>attempted to become a licensed conveyancer ‘under the Bar’.  This meant becoming a ‘special pleader’,</w:t>
      </w:r>
      <w:r w:rsidRPr="00094615">
        <w:rPr>
          <w:rFonts w:ascii="Times New Roman" w:hAnsi="Times New Roman" w:cs="Times New Roman"/>
          <w:iCs/>
          <w:vertAlign w:val="superscript"/>
        </w:rPr>
        <w:footnoteReference w:id="169"/>
      </w:r>
      <w:r w:rsidRPr="00094615">
        <w:rPr>
          <w:rFonts w:ascii="Times New Roman" w:hAnsi="Times New Roman" w:cs="Times New Roman"/>
          <w:iCs/>
        </w:rPr>
        <w:t xml:space="preserve"> which required a certificate from one of the Inns of Court, a way of becoming a barrister through the back door.</w:t>
      </w:r>
      <w:r w:rsidRPr="00094615">
        <w:rPr>
          <w:rFonts w:ascii="Times New Roman" w:hAnsi="Times New Roman" w:cs="Times New Roman"/>
          <w:iCs/>
          <w:vertAlign w:val="superscript"/>
        </w:rPr>
        <w:footnoteReference w:id="170"/>
      </w:r>
      <w:r w:rsidRPr="00094615">
        <w:rPr>
          <w:rFonts w:ascii="Times New Roman" w:hAnsi="Times New Roman" w:cs="Times New Roman"/>
          <w:iCs/>
        </w:rPr>
        <w:t xml:space="preserve">   However, Lincoln’s Inn prevented her from becoming licensed.</w:t>
      </w:r>
      <w:r w:rsidR="00F97EF6">
        <w:rPr>
          <w:rFonts w:ascii="Times New Roman" w:hAnsi="Times New Roman" w:cs="Times New Roman"/>
        </w:rPr>
        <w:t xml:space="preserve">  </w:t>
      </w:r>
      <w:r w:rsidRPr="00094615">
        <w:rPr>
          <w:rFonts w:ascii="Times New Roman" w:hAnsi="Times New Roman" w:cs="Times New Roman"/>
        </w:rPr>
        <w:t>So, the odds in February 1918 of Normanton being admitted were poor.</w:t>
      </w:r>
    </w:p>
    <w:p w14:paraId="12870874" w14:textId="77777777" w:rsidR="00094615" w:rsidRPr="00094615" w:rsidRDefault="00094615" w:rsidP="00094615">
      <w:pPr>
        <w:spacing w:after="0" w:line="480" w:lineRule="auto"/>
        <w:jc w:val="both"/>
        <w:rPr>
          <w:rFonts w:ascii="Times New Roman" w:hAnsi="Times New Roman" w:cs="Times New Roman"/>
        </w:rPr>
      </w:pPr>
    </w:p>
    <w:p w14:paraId="615C0B40"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The beginning of the end</w:t>
      </w:r>
    </w:p>
    <w:p w14:paraId="23289089"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lastRenderedPageBreak/>
        <w:t>On 6 February 1918 women obtained the right to vote with the passing of the Representation of The People Act and it is against this backdrop Normanton applied to Middle Temple.  This was followed with interest by the media, it is unclear exactly why.  Perhaps because there was a sense that, because the vote had been granted, the campaign to open up the legal profession had a chance of success?</w:t>
      </w:r>
      <w:r w:rsidRPr="00094615">
        <w:rPr>
          <w:rFonts w:ascii="Times New Roman" w:hAnsi="Times New Roman" w:cs="Times New Roman"/>
          <w:vertAlign w:val="superscript"/>
        </w:rPr>
        <w:footnoteReference w:id="171"/>
      </w:r>
    </w:p>
    <w:p w14:paraId="663D9C07" w14:textId="77777777" w:rsidR="00094615" w:rsidRPr="00094615" w:rsidRDefault="00094615" w:rsidP="00094615">
      <w:pPr>
        <w:spacing w:after="0" w:line="480" w:lineRule="auto"/>
        <w:jc w:val="both"/>
        <w:rPr>
          <w:rFonts w:ascii="Times New Roman" w:hAnsi="Times New Roman" w:cs="Times New Roman"/>
        </w:rPr>
      </w:pPr>
    </w:p>
    <w:p w14:paraId="6497A496"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The First Rejection</w:t>
      </w:r>
    </w:p>
    <w:p w14:paraId="28920BD9" w14:textId="48538223"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On 21 February 1918 Middle Temple held a Parliament</w:t>
      </w:r>
      <w:r w:rsidRPr="00094615">
        <w:rPr>
          <w:rFonts w:ascii="Times New Roman" w:hAnsi="Times New Roman" w:cs="Times New Roman"/>
          <w:vertAlign w:val="superscript"/>
        </w:rPr>
        <w:footnoteReference w:id="172"/>
      </w:r>
      <w:r w:rsidRPr="00094615">
        <w:rPr>
          <w:rFonts w:ascii="Times New Roman" w:hAnsi="Times New Roman" w:cs="Times New Roman"/>
        </w:rPr>
        <w:t xml:space="preserve"> to consider her application and refused to admit her as a student.</w:t>
      </w:r>
      <w:r w:rsidRPr="00094615">
        <w:rPr>
          <w:rFonts w:ascii="Times New Roman" w:hAnsi="Times New Roman" w:cs="Times New Roman"/>
          <w:vertAlign w:val="superscript"/>
        </w:rPr>
        <w:footnoteReference w:id="173"/>
      </w:r>
      <w:r w:rsidRPr="00094615">
        <w:rPr>
          <w:rFonts w:ascii="Times New Roman" w:hAnsi="Times New Roman" w:cs="Times New Roman"/>
        </w:rPr>
        <w:t xml:space="preserve">  Minutes of the Middle Temple parliament record the grounds for her rejection: </w:t>
      </w:r>
      <w:r w:rsidR="00F97EF6">
        <w:rPr>
          <w:rFonts w:ascii="Times New Roman" w:hAnsi="Times New Roman" w:cs="Times New Roman"/>
        </w:rPr>
        <w:t xml:space="preserve">they were bound by </w:t>
      </w:r>
      <w:r w:rsidRPr="00094615">
        <w:rPr>
          <w:rFonts w:ascii="Times New Roman" w:hAnsi="Times New Roman" w:cs="Times New Roman"/>
          <w:i/>
          <w:iCs/>
        </w:rPr>
        <w:t xml:space="preserve">Bebb; </w:t>
      </w:r>
      <w:r w:rsidRPr="00094615">
        <w:rPr>
          <w:rFonts w:ascii="Times New Roman" w:hAnsi="Times New Roman" w:cs="Times New Roman"/>
        </w:rPr>
        <w:t>the Solicitors Act, 1843, and the Common Law</w:t>
      </w:r>
      <w:r w:rsidR="00F97EF6">
        <w:rPr>
          <w:rFonts w:ascii="Times New Roman" w:hAnsi="Times New Roman" w:cs="Times New Roman"/>
        </w:rPr>
        <w:t xml:space="preserve"> - </w:t>
      </w:r>
      <w:r w:rsidRPr="00094615">
        <w:rPr>
          <w:rFonts w:ascii="Times New Roman" w:hAnsi="Times New Roman" w:cs="Times New Roman"/>
        </w:rPr>
        <w:t>women were under a disability by reason of their sex; and that they were bound by Bertha Cave’s appeal.</w:t>
      </w:r>
    </w:p>
    <w:p w14:paraId="05DD5941" w14:textId="77777777" w:rsidR="00094615" w:rsidRPr="00094615" w:rsidRDefault="00094615" w:rsidP="00094615">
      <w:pPr>
        <w:spacing w:after="0" w:line="480" w:lineRule="auto"/>
        <w:jc w:val="both"/>
        <w:rPr>
          <w:rFonts w:ascii="Times New Roman" w:hAnsi="Times New Roman" w:cs="Times New Roman"/>
        </w:rPr>
      </w:pPr>
    </w:p>
    <w:p w14:paraId="17B5C8CA" w14:textId="10373318"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 xml:space="preserve">Were they really bound by </w:t>
      </w:r>
      <w:r w:rsidRPr="00094615">
        <w:rPr>
          <w:rFonts w:ascii="Times New Roman" w:hAnsi="Times New Roman" w:cs="Times New Roman"/>
          <w:i/>
        </w:rPr>
        <w:t xml:space="preserve">Bebb?  </w:t>
      </w:r>
      <w:r w:rsidRPr="00094615">
        <w:rPr>
          <w:rFonts w:ascii="Times New Roman" w:hAnsi="Times New Roman" w:cs="Times New Roman"/>
        </w:rPr>
        <w:t>The decision of Middle Temple to r</w:t>
      </w:r>
      <w:r w:rsidR="00F97EF6">
        <w:rPr>
          <w:rFonts w:ascii="Times New Roman" w:hAnsi="Times New Roman" w:cs="Times New Roman"/>
        </w:rPr>
        <w:t>efuse Normanton’s entry to the b</w:t>
      </w:r>
      <w:r w:rsidRPr="00094615">
        <w:rPr>
          <w:rFonts w:ascii="Times New Roman" w:hAnsi="Times New Roman" w:cs="Times New Roman"/>
        </w:rPr>
        <w:t xml:space="preserve">ar is difficult to understand, except in terms of conservatism, prejudice and discrimination.  </w:t>
      </w:r>
      <w:r w:rsidRPr="00094615">
        <w:rPr>
          <w:rFonts w:ascii="Times New Roman" w:hAnsi="Times New Roman" w:cs="Times New Roman"/>
          <w:i/>
        </w:rPr>
        <w:t xml:space="preserve">Bebb </w:t>
      </w:r>
      <w:r w:rsidRPr="00094615">
        <w:rPr>
          <w:rFonts w:ascii="Times New Roman" w:hAnsi="Times New Roman" w:cs="Times New Roman"/>
        </w:rPr>
        <w:t>was a poor decision, with no legal basis.  The Judge had no authority to distinguish the Interpretation Act on the basis of a medieval Treatise.</w:t>
      </w:r>
      <w:r w:rsidRPr="00094615">
        <w:rPr>
          <w:rFonts w:ascii="Times New Roman" w:hAnsi="Times New Roman" w:cs="Times New Roman"/>
          <w:vertAlign w:val="superscript"/>
        </w:rPr>
        <w:footnoteReference w:id="174"/>
      </w:r>
      <w:r w:rsidRPr="00094615">
        <w:rPr>
          <w:rFonts w:ascii="Times New Roman" w:hAnsi="Times New Roman" w:cs="Times New Roman"/>
        </w:rPr>
        <w:t xml:space="preserve">  So, it is hard to understand why Middle Temple felt obliged to follow the </w:t>
      </w:r>
      <w:r w:rsidRPr="00094615">
        <w:rPr>
          <w:rFonts w:ascii="Times New Roman" w:hAnsi="Times New Roman" w:cs="Times New Roman"/>
          <w:i/>
        </w:rPr>
        <w:t>Bebb</w:t>
      </w:r>
      <w:r w:rsidRPr="00094615">
        <w:rPr>
          <w:rFonts w:ascii="Times New Roman" w:hAnsi="Times New Roman" w:cs="Times New Roman"/>
        </w:rPr>
        <w:t xml:space="preserve"> decision especially as it related to solicitors and did not apply to barristers.</w:t>
      </w:r>
    </w:p>
    <w:p w14:paraId="33E4AD5F" w14:textId="77777777" w:rsidR="00094615" w:rsidRPr="00094615" w:rsidRDefault="00094615" w:rsidP="00094615">
      <w:pPr>
        <w:spacing w:after="0" w:line="480" w:lineRule="auto"/>
        <w:jc w:val="both"/>
        <w:rPr>
          <w:rFonts w:ascii="Times New Roman" w:hAnsi="Times New Roman" w:cs="Times New Roman"/>
        </w:rPr>
      </w:pPr>
    </w:p>
    <w:p w14:paraId="66DBF3FF" w14:textId="6405ECEC"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 xml:space="preserve">Nonetheless, the effect of Middle Temple’s decision was that Normanton’s ambition was frustrated. Why were Middle Temple not brave?  Why did they not find that it was absurd to deny women entry to the legal profession when women had been granted the vote and performed roles in the public sphere during </w:t>
      </w:r>
      <w:r w:rsidRPr="00094615">
        <w:rPr>
          <w:rFonts w:ascii="Times New Roman" w:hAnsi="Times New Roman" w:cs="Times New Roman"/>
        </w:rPr>
        <w:lastRenderedPageBreak/>
        <w:t>the war?  This behaviour was, as Auchmuty commented concerning Gwyneth Bebb, one of “the defensive strategies employed by those whose privileges are under threat.”</w:t>
      </w:r>
      <w:r w:rsidRPr="00094615">
        <w:rPr>
          <w:rFonts w:ascii="Times New Roman" w:hAnsi="Times New Roman" w:cs="Times New Roman"/>
          <w:vertAlign w:val="superscript"/>
        </w:rPr>
        <w:footnoteReference w:id="175"/>
      </w:r>
      <w:r w:rsidR="00BE5E48">
        <w:rPr>
          <w:rFonts w:ascii="Times New Roman" w:hAnsi="Times New Roman" w:cs="Times New Roman"/>
        </w:rPr>
        <w:t xml:space="preserve">  M</w:t>
      </w:r>
      <w:r w:rsidRPr="00094615">
        <w:rPr>
          <w:rFonts w:ascii="Times New Roman" w:hAnsi="Times New Roman" w:cs="Times New Roman"/>
        </w:rPr>
        <w:t>isogyny.</w:t>
      </w:r>
    </w:p>
    <w:p w14:paraId="1F2C595A" w14:textId="77777777" w:rsidR="00094615" w:rsidRPr="00094615" w:rsidRDefault="00094615" w:rsidP="00094615">
      <w:pPr>
        <w:spacing w:after="0" w:line="480" w:lineRule="auto"/>
        <w:jc w:val="both"/>
        <w:rPr>
          <w:rFonts w:ascii="Times New Roman" w:hAnsi="Times New Roman" w:cs="Times New Roman"/>
        </w:rPr>
      </w:pPr>
    </w:p>
    <w:p w14:paraId="036C91C3"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Claud Schuster</w:t>
      </w:r>
      <w:r w:rsidRPr="00341D0B">
        <w:rPr>
          <w:rFonts w:ascii="Times New Roman" w:hAnsi="Times New Roman" w:cs="Times New Roman"/>
          <w:b/>
          <w:vertAlign w:val="superscript"/>
        </w:rPr>
        <w:footnoteReference w:id="176"/>
      </w:r>
    </w:p>
    <w:p w14:paraId="7720A4ED"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Schuster</w:t>
      </w:r>
      <w:r w:rsidRPr="00094615">
        <w:rPr>
          <w:rFonts w:ascii="Times New Roman" w:hAnsi="Times New Roman" w:cs="Times New Roman"/>
          <w:vertAlign w:val="superscript"/>
        </w:rPr>
        <w:footnoteReference w:id="177"/>
      </w:r>
      <w:r w:rsidRPr="00094615">
        <w:rPr>
          <w:rFonts w:ascii="Times New Roman" w:hAnsi="Times New Roman" w:cs="Times New Roman"/>
        </w:rPr>
        <w:t xml:space="preserve"> was Clerk to the Crown Court in Chancery and Permanent Secretary in the Lord Chancellor’s Office and an ally of Normanton’s.  A letter in Normanton’s archive dated 10 June 1918 is a reply from Schuster</w:t>
      </w:r>
      <w:r w:rsidRPr="00094615">
        <w:rPr>
          <w:rFonts w:ascii="Times New Roman" w:hAnsi="Times New Roman" w:cs="Times New Roman"/>
          <w:vertAlign w:val="superscript"/>
        </w:rPr>
        <w:footnoteReference w:id="178"/>
      </w:r>
      <w:r w:rsidRPr="00094615">
        <w:rPr>
          <w:rFonts w:ascii="Times New Roman" w:hAnsi="Times New Roman" w:cs="Times New Roman"/>
        </w:rPr>
        <w:t xml:space="preserve"> detailing how to appeal against Middle temple’s decision;</w:t>
      </w:r>
      <w:r w:rsidRPr="00094615">
        <w:rPr>
          <w:rFonts w:ascii="Times New Roman" w:hAnsi="Times New Roman" w:cs="Times New Roman"/>
          <w:vertAlign w:val="superscript"/>
        </w:rPr>
        <w:footnoteReference w:id="179"/>
      </w:r>
      <w:r w:rsidRPr="00094615">
        <w:rPr>
          <w:rFonts w:ascii="Times New Roman" w:hAnsi="Times New Roman" w:cs="Times New Roman"/>
        </w:rPr>
        <w:t xml:space="preserve"> in fact it more than a reply, he actually attached a draft appeal.  She lodged this appeal as directed in July 1918,</w:t>
      </w:r>
      <w:r w:rsidRPr="00094615">
        <w:rPr>
          <w:rFonts w:ascii="Times New Roman" w:hAnsi="Times New Roman" w:cs="Times New Roman"/>
          <w:vertAlign w:val="superscript"/>
        </w:rPr>
        <w:footnoteReference w:id="180"/>
      </w:r>
      <w:r w:rsidRPr="00094615">
        <w:rPr>
          <w:rFonts w:ascii="Times New Roman" w:hAnsi="Times New Roman" w:cs="Times New Roman"/>
        </w:rPr>
        <w:t xml:space="preserve"> but the actual appeal was not heard until 11 February 1919.</w:t>
      </w:r>
      <w:r w:rsidRPr="00094615">
        <w:rPr>
          <w:rFonts w:ascii="Times New Roman" w:hAnsi="Times New Roman" w:cs="Times New Roman"/>
          <w:vertAlign w:val="superscript"/>
        </w:rPr>
        <w:footnoteReference w:id="181"/>
      </w:r>
      <w:r w:rsidRPr="00094615">
        <w:rPr>
          <w:rFonts w:ascii="Times New Roman" w:hAnsi="Times New Roman" w:cs="Times New Roman"/>
        </w:rPr>
        <w:t xml:space="preserve">  Normanton explained this delay by an insertion in </w:t>
      </w:r>
      <w:r w:rsidRPr="00094615">
        <w:rPr>
          <w:rFonts w:ascii="Times New Roman" w:hAnsi="Times New Roman" w:cs="Times New Roman"/>
          <w:i/>
        </w:rPr>
        <w:t xml:space="preserve">The Times </w:t>
      </w:r>
      <w:r w:rsidRPr="00094615">
        <w:rPr>
          <w:rFonts w:ascii="Times New Roman" w:hAnsi="Times New Roman" w:cs="Times New Roman"/>
        </w:rPr>
        <w:t>that her appeal had been fixed for March 1919, unless the Government made a statement that they would deal with the admission of women by legislation.</w:t>
      </w:r>
      <w:r w:rsidRPr="00094615">
        <w:rPr>
          <w:rFonts w:ascii="Times New Roman" w:hAnsi="Times New Roman" w:cs="Times New Roman"/>
          <w:vertAlign w:val="superscript"/>
        </w:rPr>
        <w:t xml:space="preserve"> </w:t>
      </w:r>
      <w:r w:rsidRPr="00094615">
        <w:rPr>
          <w:rFonts w:ascii="Times New Roman" w:hAnsi="Times New Roman" w:cs="Times New Roman"/>
          <w:vertAlign w:val="superscript"/>
        </w:rPr>
        <w:footnoteReference w:id="182"/>
      </w:r>
    </w:p>
    <w:p w14:paraId="6187A8AC" w14:textId="77777777" w:rsidR="00341D0B" w:rsidRDefault="00341D0B" w:rsidP="00094615">
      <w:pPr>
        <w:spacing w:after="0" w:line="480" w:lineRule="auto"/>
        <w:jc w:val="both"/>
        <w:rPr>
          <w:rFonts w:ascii="Times New Roman" w:hAnsi="Times New Roman" w:cs="Times New Roman"/>
        </w:rPr>
      </w:pPr>
    </w:p>
    <w:p w14:paraId="3A64160E" w14:textId="387F458C"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In the meantime she continued to campaign; she certainly was not silent during this period.  For example she made an address in Derby and spoke at the Kingston Church of Humanity.</w:t>
      </w:r>
      <w:r w:rsidRPr="00094615">
        <w:rPr>
          <w:rFonts w:ascii="Times New Roman" w:hAnsi="Times New Roman" w:cs="Times New Roman"/>
          <w:vertAlign w:val="superscript"/>
        </w:rPr>
        <w:footnoteReference w:id="183"/>
      </w:r>
      <w:r w:rsidRPr="00094615">
        <w:rPr>
          <w:rFonts w:ascii="Times New Roman" w:hAnsi="Times New Roman" w:cs="Times New Roman"/>
        </w:rPr>
        <w:t xml:space="preserve">  She took part in debates, for example at the Union of the Society of London.</w:t>
      </w:r>
      <w:r w:rsidRPr="00094615">
        <w:rPr>
          <w:rFonts w:ascii="Times New Roman" w:hAnsi="Times New Roman" w:cs="Times New Roman"/>
          <w:vertAlign w:val="superscript"/>
        </w:rPr>
        <w:footnoteReference w:id="184"/>
      </w:r>
      <w:r w:rsidRPr="00094615">
        <w:rPr>
          <w:rFonts w:ascii="Times New Roman" w:hAnsi="Times New Roman" w:cs="Times New Roman"/>
        </w:rPr>
        <w:t xml:space="preserve">  She was also a prolific letter writer, for </w:t>
      </w:r>
      <w:r w:rsidRPr="00094615">
        <w:rPr>
          <w:rFonts w:ascii="Times New Roman" w:hAnsi="Times New Roman" w:cs="Times New Roman"/>
        </w:rPr>
        <w:lastRenderedPageBreak/>
        <w:t>example writing in December 1918</w:t>
      </w:r>
      <w:r w:rsidRPr="00094615">
        <w:rPr>
          <w:rFonts w:ascii="Times New Roman" w:hAnsi="Times New Roman" w:cs="Times New Roman"/>
          <w:vertAlign w:val="superscript"/>
        </w:rPr>
        <w:footnoteReference w:id="185"/>
      </w:r>
      <w:r w:rsidRPr="00094615">
        <w:rPr>
          <w:rFonts w:ascii="Times New Roman" w:hAnsi="Times New Roman" w:cs="Times New Roman"/>
        </w:rPr>
        <w:t xml:space="preserve"> to the Prime Minister, David Lloyd George, urging him to pledge to open the legal profession to women.  His secretary</w:t>
      </w:r>
      <w:r w:rsidRPr="00094615">
        <w:rPr>
          <w:rFonts w:ascii="Times New Roman" w:hAnsi="Times New Roman" w:cs="Times New Roman"/>
          <w:vertAlign w:val="superscript"/>
        </w:rPr>
        <w:footnoteReference w:id="186"/>
      </w:r>
      <w:r w:rsidRPr="00094615">
        <w:rPr>
          <w:rFonts w:ascii="Times New Roman" w:hAnsi="Times New Roman" w:cs="Times New Roman"/>
        </w:rPr>
        <w:t xml:space="preserve"> replied, acknowledging receipt of her letter and </w:t>
      </w:r>
      <w:r w:rsidR="00BE5E48">
        <w:rPr>
          <w:rFonts w:ascii="Times New Roman" w:hAnsi="Times New Roman" w:cs="Times New Roman"/>
        </w:rPr>
        <w:t xml:space="preserve">pompously </w:t>
      </w:r>
      <w:r w:rsidRPr="00094615">
        <w:rPr>
          <w:rFonts w:ascii="Times New Roman" w:hAnsi="Times New Roman" w:cs="Times New Roman"/>
        </w:rPr>
        <w:t>refer</w:t>
      </w:r>
      <w:r w:rsidR="00BE5E48">
        <w:rPr>
          <w:rFonts w:ascii="Times New Roman" w:hAnsi="Times New Roman" w:cs="Times New Roman"/>
        </w:rPr>
        <w:t xml:space="preserve">red </w:t>
      </w:r>
      <w:r w:rsidRPr="00094615">
        <w:rPr>
          <w:rFonts w:ascii="Times New Roman" w:hAnsi="Times New Roman" w:cs="Times New Roman"/>
        </w:rPr>
        <w:t>her to a previous speech.</w:t>
      </w:r>
      <w:r w:rsidRPr="00094615">
        <w:rPr>
          <w:rFonts w:ascii="Times New Roman" w:hAnsi="Times New Roman" w:cs="Times New Roman"/>
          <w:vertAlign w:val="superscript"/>
        </w:rPr>
        <w:footnoteReference w:id="187"/>
      </w:r>
    </w:p>
    <w:p w14:paraId="2CAED79A" w14:textId="77777777" w:rsidR="00094615" w:rsidRPr="00094615" w:rsidRDefault="00094615" w:rsidP="00094615">
      <w:pPr>
        <w:spacing w:after="0" w:line="480" w:lineRule="auto"/>
        <w:jc w:val="both"/>
        <w:rPr>
          <w:rFonts w:ascii="Times New Roman" w:hAnsi="Times New Roman" w:cs="Times New Roman"/>
        </w:rPr>
      </w:pPr>
    </w:p>
    <w:p w14:paraId="4A91F17B"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The Appeal Outcome: January 1919</w:t>
      </w:r>
    </w:p>
    <w:p w14:paraId="5BE9E0E9" w14:textId="5991952C"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By January 1919 Normanton</w:t>
      </w:r>
      <w:r w:rsidR="00BE5E48">
        <w:rPr>
          <w:rFonts w:ascii="Times New Roman" w:hAnsi="Times New Roman" w:cs="Times New Roman"/>
        </w:rPr>
        <w:t xml:space="preserve">, obviously </w:t>
      </w:r>
      <w:r w:rsidRPr="00094615">
        <w:rPr>
          <w:rFonts w:ascii="Times New Roman" w:hAnsi="Times New Roman" w:cs="Times New Roman"/>
        </w:rPr>
        <w:t>fed up with waiting</w:t>
      </w:r>
      <w:r w:rsidR="00BE5E48">
        <w:rPr>
          <w:rFonts w:ascii="Times New Roman" w:hAnsi="Times New Roman" w:cs="Times New Roman"/>
        </w:rPr>
        <w:t>,</w:t>
      </w:r>
      <w:r w:rsidRPr="00094615">
        <w:rPr>
          <w:rFonts w:ascii="Times New Roman" w:hAnsi="Times New Roman" w:cs="Times New Roman"/>
        </w:rPr>
        <w:t xml:space="preserve"> wrote again to Claud Schuster</w:t>
      </w:r>
      <w:r w:rsidRPr="00094615">
        <w:rPr>
          <w:rFonts w:ascii="Times New Roman" w:hAnsi="Times New Roman" w:cs="Times New Roman"/>
          <w:vertAlign w:val="superscript"/>
        </w:rPr>
        <w:footnoteReference w:id="188"/>
      </w:r>
      <w:r w:rsidRPr="00094615">
        <w:rPr>
          <w:rFonts w:ascii="Times New Roman" w:hAnsi="Times New Roman" w:cs="Times New Roman"/>
        </w:rPr>
        <w:t xml:space="preserve"> complaining about the delay.  Her appeal was </w:t>
      </w:r>
      <w:r w:rsidR="00BE5E48">
        <w:rPr>
          <w:rFonts w:ascii="Times New Roman" w:hAnsi="Times New Roman" w:cs="Times New Roman"/>
        </w:rPr>
        <w:t xml:space="preserve">in fact heard </w:t>
      </w:r>
      <w:r w:rsidRPr="00094615">
        <w:rPr>
          <w:rFonts w:ascii="Times New Roman" w:hAnsi="Times New Roman" w:cs="Times New Roman"/>
        </w:rPr>
        <w:t>later that month</w:t>
      </w:r>
      <w:r w:rsidRPr="00094615">
        <w:rPr>
          <w:rFonts w:ascii="Times New Roman" w:hAnsi="Times New Roman" w:cs="Times New Roman"/>
          <w:vertAlign w:val="superscript"/>
        </w:rPr>
        <w:footnoteReference w:id="189"/>
      </w:r>
      <w:r w:rsidRPr="00094615">
        <w:rPr>
          <w:rFonts w:ascii="Times New Roman" w:hAnsi="Times New Roman" w:cs="Times New Roman"/>
        </w:rPr>
        <w:t xml:space="preserve"> and again they rejected her application on the same ground</w:t>
      </w:r>
      <w:r w:rsidR="00BE5E48">
        <w:rPr>
          <w:rFonts w:ascii="Times New Roman" w:hAnsi="Times New Roman" w:cs="Times New Roman"/>
        </w:rPr>
        <w:t>s as before, evidence that the b</w:t>
      </w:r>
      <w:r w:rsidRPr="00094615">
        <w:rPr>
          <w:rFonts w:ascii="Times New Roman" w:hAnsi="Times New Roman" w:cs="Times New Roman"/>
        </w:rPr>
        <w:t>ar would not open up to women without being forced</w:t>
      </w:r>
      <w:r w:rsidR="00BE5E48">
        <w:rPr>
          <w:rFonts w:ascii="Times New Roman" w:hAnsi="Times New Roman" w:cs="Times New Roman"/>
        </w:rPr>
        <w:t xml:space="preserve"> to</w:t>
      </w:r>
      <w:r w:rsidRPr="00094615">
        <w:rPr>
          <w:rFonts w:ascii="Times New Roman" w:hAnsi="Times New Roman" w:cs="Times New Roman"/>
        </w:rPr>
        <w:t>.</w:t>
      </w:r>
    </w:p>
    <w:p w14:paraId="366633B2" w14:textId="77777777" w:rsidR="00094615" w:rsidRDefault="00094615" w:rsidP="00094615">
      <w:pPr>
        <w:spacing w:after="0" w:line="480" w:lineRule="auto"/>
        <w:jc w:val="both"/>
        <w:rPr>
          <w:rFonts w:ascii="Times New Roman" w:hAnsi="Times New Roman" w:cs="Times New Roman"/>
        </w:rPr>
      </w:pPr>
    </w:p>
    <w:p w14:paraId="4114AA0D" w14:textId="77777777" w:rsidR="00BE5E48" w:rsidRPr="00094615" w:rsidRDefault="00BE5E48" w:rsidP="00094615">
      <w:pPr>
        <w:spacing w:after="0" w:line="480" w:lineRule="auto"/>
        <w:jc w:val="both"/>
        <w:rPr>
          <w:rFonts w:ascii="Times New Roman" w:hAnsi="Times New Roman" w:cs="Times New Roman"/>
        </w:rPr>
      </w:pPr>
    </w:p>
    <w:p w14:paraId="09DA0078"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Must stand over until law</w:t>
      </w:r>
    </w:p>
    <w:p w14:paraId="0B50B60B" w14:textId="77777777" w:rsid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By November 1919 it was clear that the Sex Disqualification (Removal) Bill would become law, so Normanton rang the Under Treasurer at Middle Temple (12 November) and asked to be admitted as a student.  She received a letter later that day from the Under Treasurer informing her that, as the Treasurer was absent, he had spoken to the ex-treasurer who ordained that her admission “must stand over until the Act actually become law”.</w:t>
      </w:r>
      <w:r w:rsidRPr="00094615">
        <w:rPr>
          <w:rFonts w:ascii="Times New Roman" w:hAnsi="Times New Roman" w:cs="Times New Roman"/>
          <w:vertAlign w:val="superscript"/>
        </w:rPr>
        <w:footnoteReference w:id="190"/>
      </w:r>
      <w:r w:rsidRPr="00094615">
        <w:rPr>
          <w:rFonts w:ascii="Times New Roman" w:hAnsi="Times New Roman" w:cs="Times New Roman"/>
        </w:rPr>
        <w:t xml:space="preserve">  Middle Temple were clearly not going to accept women until they absolutely had too.</w:t>
      </w:r>
    </w:p>
    <w:p w14:paraId="2C5EABC6" w14:textId="77777777" w:rsidR="00341D0B" w:rsidRPr="00094615" w:rsidRDefault="00341D0B" w:rsidP="00094615">
      <w:pPr>
        <w:spacing w:after="0" w:line="480" w:lineRule="auto"/>
        <w:jc w:val="both"/>
        <w:rPr>
          <w:rFonts w:ascii="Times New Roman" w:hAnsi="Times New Roman" w:cs="Times New Roman"/>
        </w:rPr>
      </w:pPr>
    </w:p>
    <w:p w14:paraId="32646B2F"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By mid-December, with the imminent passing of the Bill, the Press</w:t>
      </w:r>
      <w:r w:rsidRPr="00094615">
        <w:rPr>
          <w:rFonts w:ascii="Times New Roman" w:hAnsi="Times New Roman" w:cs="Times New Roman"/>
          <w:vertAlign w:val="superscript"/>
        </w:rPr>
        <w:footnoteReference w:id="191"/>
      </w:r>
      <w:r w:rsidRPr="00094615">
        <w:rPr>
          <w:rFonts w:ascii="Times New Roman" w:hAnsi="Times New Roman" w:cs="Times New Roman"/>
        </w:rPr>
        <w:t xml:space="preserve"> announced that she would be admitted before Christmas.  Middle Temple wrote to her, unsolicited, on 19 December detailing they had received a reference from Lord Robert Cecil which they had attached to her application and confirmed her papers were in order.</w:t>
      </w:r>
      <w:r w:rsidRPr="00094615">
        <w:rPr>
          <w:rFonts w:ascii="Times New Roman" w:hAnsi="Times New Roman" w:cs="Times New Roman"/>
          <w:vertAlign w:val="superscript"/>
        </w:rPr>
        <w:footnoteReference w:id="192"/>
      </w:r>
      <w:r w:rsidRPr="00094615">
        <w:rPr>
          <w:rFonts w:ascii="Times New Roman" w:hAnsi="Times New Roman" w:cs="Times New Roman"/>
        </w:rPr>
        <w:t xml:space="preserve">  They informed her that the office would be closed from December 24 to December 31.  Not very helpful, as the Bill would be formally passed on 23 December.</w:t>
      </w:r>
    </w:p>
    <w:p w14:paraId="50CC923C" w14:textId="77777777" w:rsidR="00BE5E48" w:rsidRDefault="00BE5E48" w:rsidP="00094615">
      <w:pPr>
        <w:spacing w:after="0" w:line="480" w:lineRule="auto"/>
        <w:jc w:val="both"/>
        <w:rPr>
          <w:rFonts w:ascii="Times New Roman" w:hAnsi="Times New Roman" w:cs="Times New Roman"/>
        </w:rPr>
      </w:pPr>
    </w:p>
    <w:p w14:paraId="5170C3D6" w14:textId="77777777" w:rsidR="00094615" w:rsidRPr="00BE5E48" w:rsidRDefault="00094615" w:rsidP="00094615">
      <w:pPr>
        <w:spacing w:after="0" w:line="480" w:lineRule="auto"/>
        <w:jc w:val="both"/>
        <w:rPr>
          <w:rFonts w:ascii="Times New Roman" w:hAnsi="Times New Roman" w:cs="Times New Roman"/>
          <w:b/>
        </w:rPr>
      </w:pPr>
      <w:r w:rsidRPr="00BE5E48">
        <w:rPr>
          <w:rFonts w:ascii="Times New Roman" w:hAnsi="Times New Roman" w:cs="Times New Roman"/>
          <w:b/>
        </w:rPr>
        <w:t>Victory</w:t>
      </w:r>
    </w:p>
    <w:p w14:paraId="6E15D9CE"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The Sex Disqualification (Removal) Act 1919 was indeed passed on 23 December.  That same day she received a letter from Middle Temple, suddenly more enthusiastic:</w:t>
      </w:r>
    </w:p>
    <w:p w14:paraId="5751B7B5" w14:textId="77777777" w:rsidR="00094615" w:rsidRPr="00094615" w:rsidRDefault="00094615" w:rsidP="00341D0B">
      <w:pPr>
        <w:spacing w:after="0" w:line="480" w:lineRule="auto"/>
        <w:ind w:left="720"/>
        <w:jc w:val="both"/>
        <w:rPr>
          <w:rFonts w:ascii="Times New Roman" w:hAnsi="Times New Roman" w:cs="Times New Roman"/>
        </w:rPr>
      </w:pPr>
      <w:r w:rsidRPr="00094615">
        <w:rPr>
          <w:rFonts w:ascii="Times New Roman" w:hAnsi="Times New Roman" w:cs="Times New Roman"/>
        </w:rPr>
        <w:t>’We are waiting in this office until five minutes past four today in case you should call.  I was told the Royal Assent was to be given at 3pm today.  In the event of you not calling I am giving you my private telephone number and address.’</w:t>
      </w:r>
      <w:r w:rsidRPr="00094615">
        <w:rPr>
          <w:rFonts w:ascii="Times New Roman" w:hAnsi="Times New Roman" w:cs="Times New Roman"/>
          <w:vertAlign w:val="superscript"/>
        </w:rPr>
        <w:footnoteReference w:id="193"/>
      </w:r>
    </w:p>
    <w:p w14:paraId="75018EF7" w14:textId="310815E9"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 xml:space="preserve">In fact, they were “sorry to trouble her”, but wished to cause as little delay as possible (rather ironic) over this matter, and appreciated that she would wish to have her application for admission to the Inn completed at the first possible moment.  Why the sudden change of heart?  Could have it have been that now they were forced to accept women the race was on to accept the </w:t>
      </w:r>
      <w:r w:rsidR="001879F7">
        <w:rPr>
          <w:rFonts w:ascii="Times New Roman" w:hAnsi="Times New Roman" w:cs="Times New Roman"/>
        </w:rPr>
        <w:t>‘</w:t>
      </w:r>
      <w:r w:rsidRPr="00094615">
        <w:rPr>
          <w:rFonts w:ascii="Times New Roman" w:hAnsi="Times New Roman" w:cs="Times New Roman"/>
        </w:rPr>
        <w:t>first</w:t>
      </w:r>
      <w:r w:rsidR="001879F7">
        <w:rPr>
          <w:rFonts w:ascii="Times New Roman" w:hAnsi="Times New Roman" w:cs="Times New Roman"/>
        </w:rPr>
        <w:t>’</w:t>
      </w:r>
      <w:r w:rsidRPr="00094615">
        <w:rPr>
          <w:rFonts w:ascii="Times New Roman" w:hAnsi="Times New Roman" w:cs="Times New Roman"/>
        </w:rPr>
        <w:t>?  Therefore to be the ‘first’</w:t>
      </w:r>
      <w:r w:rsidR="001879F7">
        <w:rPr>
          <w:rFonts w:ascii="Times New Roman" w:hAnsi="Times New Roman" w:cs="Times New Roman"/>
        </w:rPr>
        <w:t xml:space="preserve"> and make history</w:t>
      </w:r>
      <w:r w:rsidRPr="00094615">
        <w:rPr>
          <w:rFonts w:ascii="Times New Roman" w:hAnsi="Times New Roman" w:cs="Times New Roman"/>
        </w:rPr>
        <w:t>?</w:t>
      </w:r>
    </w:p>
    <w:p w14:paraId="4EA93F7D" w14:textId="77777777" w:rsidR="00341D0B" w:rsidRDefault="00341D0B" w:rsidP="00094615">
      <w:pPr>
        <w:spacing w:after="0" w:line="480" w:lineRule="auto"/>
        <w:jc w:val="both"/>
        <w:rPr>
          <w:rFonts w:ascii="Times New Roman" w:hAnsi="Times New Roman" w:cs="Times New Roman"/>
        </w:rPr>
      </w:pPr>
    </w:p>
    <w:p w14:paraId="57D68F5E" w14:textId="3955A57C"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She must have gone to Middle Temple the next day, or, as Lang described it, “with characteristic promptitude”</w:t>
      </w:r>
      <w:r w:rsidRPr="00094615">
        <w:rPr>
          <w:rFonts w:ascii="Times New Roman" w:hAnsi="Times New Roman" w:cs="Times New Roman"/>
          <w:vertAlign w:val="superscript"/>
        </w:rPr>
        <w:footnoteReference w:id="194"/>
      </w:r>
      <w:r w:rsidRPr="00094615">
        <w:rPr>
          <w:rFonts w:ascii="Times New Roman" w:hAnsi="Times New Roman" w:cs="Times New Roman"/>
        </w:rPr>
        <w:t xml:space="preserve"> as her receipt was dated 24 December (the first day of the Inn’s Christmas holiday).  </w:t>
      </w:r>
      <w:r w:rsidRPr="00094615">
        <w:rPr>
          <w:rFonts w:ascii="Times New Roman" w:hAnsi="Times New Roman" w:cs="Times New Roman"/>
        </w:rPr>
        <w:lastRenderedPageBreak/>
        <w:t>Attached to this letter in her archives is a Middle Temple library card with the ‘Mr.’ scrubbed out in ink and ‘Miss’ written in.  There is also a receipt for £40. 7. 6 from Middle Temple (dated December 24 1919, presumably her membership fee) and a note to the chief porter, asking him to allow ‘Miss H Normanton’ into the Commons, signed T. F. Hewlett, also dated 24 December 1919.</w:t>
      </w:r>
      <w:r w:rsidRPr="00094615">
        <w:rPr>
          <w:rFonts w:ascii="Times New Roman" w:hAnsi="Times New Roman" w:cs="Times New Roman"/>
          <w:vertAlign w:val="superscript"/>
        </w:rPr>
        <w:footnoteReference w:id="195"/>
      </w:r>
      <w:r w:rsidRPr="00094615">
        <w:rPr>
          <w:rFonts w:ascii="Times New Roman" w:hAnsi="Times New Roman" w:cs="Times New Roman"/>
        </w:rPr>
        <w:t xml:space="preserve">  Middle Temple probably contacted her because her original application form was allowed to stand.</w:t>
      </w:r>
      <w:r w:rsidRPr="00094615">
        <w:rPr>
          <w:rFonts w:ascii="Times New Roman" w:hAnsi="Times New Roman" w:cs="Times New Roman"/>
          <w:vertAlign w:val="superscript"/>
        </w:rPr>
        <w:footnoteReference w:id="196"/>
      </w:r>
      <w:r w:rsidRPr="00094615">
        <w:rPr>
          <w:rFonts w:ascii="Times New Roman" w:hAnsi="Times New Roman" w:cs="Times New Roman"/>
        </w:rPr>
        <w:t xml:space="preserve">  She was possibly well known to the Treasury Office.  </w:t>
      </w:r>
      <w:r w:rsidR="001879F7">
        <w:rPr>
          <w:rFonts w:ascii="Times New Roman" w:hAnsi="Times New Roman" w:cs="Times New Roman"/>
        </w:rPr>
        <w:t xml:space="preserve">Whatever the outcome it </w:t>
      </w:r>
      <w:r w:rsidRPr="00094615">
        <w:rPr>
          <w:rFonts w:ascii="Times New Roman" w:hAnsi="Times New Roman" w:cs="Times New Roman"/>
        </w:rPr>
        <w:t xml:space="preserve">enabled her to become the </w:t>
      </w:r>
      <w:r w:rsidR="001879F7">
        <w:rPr>
          <w:rFonts w:ascii="Times New Roman" w:hAnsi="Times New Roman" w:cs="Times New Roman"/>
        </w:rPr>
        <w:t>‘</w:t>
      </w:r>
      <w:r w:rsidRPr="00094615">
        <w:rPr>
          <w:rFonts w:ascii="Times New Roman" w:hAnsi="Times New Roman" w:cs="Times New Roman"/>
        </w:rPr>
        <w:t>first</w:t>
      </w:r>
      <w:r w:rsidR="001879F7">
        <w:rPr>
          <w:rFonts w:ascii="Times New Roman" w:hAnsi="Times New Roman" w:cs="Times New Roman"/>
        </w:rPr>
        <w:t>’</w:t>
      </w:r>
      <w:r w:rsidRPr="00094615">
        <w:rPr>
          <w:rFonts w:ascii="Times New Roman" w:hAnsi="Times New Roman" w:cs="Times New Roman"/>
        </w:rPr>
        <w:t xml:space="preserve"> woman to join an Inn of Court.</w:t>
      </w:r>
    </w:p>
    <w:p w14:paraId="4DF58F8D" w14:textId="77777777" w:rsidR="00341D0B" w:rsidRDefault="00341D0B" w:rsidP="00094615">
      <w:pPr>
        <w:spacing w:after="0" w:line="480" w:lineRule="auto"/>
        <w:jc w:val="both"/>
        <w:rPr>
          <w:rFonts w:ascii="Times New Roman" w:hAnsi="Times New Roman" w:cs="Times New Roman"/>
        </w:rPr>
      </w:pPr>
    </w:p>
    <w:p w14:paraId="048749B0" w14:textId="6E04C901"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The Sex Disqualification (Removal) Act 1919 formally removed the b</w:t>
      </w:r>
      <w:r w:rsidR="001879F7">
        <w:rPr>
          <w:rFonts w:ascii="Times New Roman" w:hAnsi="Times New Roman" w:cs="Times New Roman"/>
        </w:rPr>
        <w:t>arrier to women’s entry to the b</w:t>
      </w:r>
      <w:r w:rsidRPr="00094615">
        <w:rPr>
          <w:rFonts w:ascii="Times New Roman" w:hAnsi="Times New Roman" w:cs="Times New Roman"/>
        </w:rPr>
        <w:t>ar, but the battle was far from over, substantive discrimination now needed to be overcome, wh</w:t>
      </w:r>
      <w:r w:rsidR="001879F7">
        <w:rPr>
          <w:rFonts w:ascii="Times New Roman" w:hAnsi="Times New Roman" w:cs="Times New Roman"/>
        </w:rPr>
        <w:t xml:space="preserve">ich we know still exists today.  </w:t>
      </w:r>
      <w:r w:rsidRPr="00094615">
        <w:rPr>
          <w:rFonts w:ascii="Times New Roman" w:hAnsi="Times New Roman" w:cs="Times New Roman"/>
        </w:rPr>
        <w:t>For Normanton we have evidence that this prejudice took the form of not being briefed by male instructing solicitors, judges and opposing barristers frequently made sexist remarks and attempted to undermine her handling of a trial.  But, one of the biggest issues she had was took the form of disciplinary proceedings she was subjected too.</w:t>
      </w:r>
    </w:p>
    <w:p w14:paraId="55229C75" w14:textId="77777777" w:rsidR="00094615" w:rsidRPr="00094615" w:rsidRDefault="00094615" w:rsidP="00094615">
      <w:pPr>
        <w:spacing w:after="0" w:line="480" w:lineRule="auto"/>
        <w:jc w:val="both"/>
        <w:rPr>
          <w:rFonts w:ascii="Times New Roman" w:hAnsi="Times New Roman" w:cs="Times New Roman"/>
        </w:rPr>
      </w:pPr>
    </w:p>
    <w:p w14:paraId="2BD92533"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Disciplinary committee – January 1921</w:t>
      </w:r>
      <w:r w:rsidRPr="00341D0B">
        <w:rPr>
          <w:rFonts w:ascii="Times New Roman" w:hAnsi="Times New Roman" w:cs="Times New Roman"/>
          <w:b/>
          <w:vertAlign w:val="superscript"/>
        </w:rPr>
        <w:footnoteReference w:id="197"/>
      </w:r>
    </w:p>
    <w:p w14:paraId="2512D12A" w14:textId="39DE1808"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In 1921 barristers were prohibited from advertising their services.  Any behaviour construed as self-advertising could result in the barrister concerned being struck off.  The rules were not written down until 1953, before this date bar etiquette relied</w:t>
      </w:r>
      <w:r w:rsidR="001879F7">
        <w:rPr>
          <w:rFonts w:ascii="Times New Roman" w:hAnsi="Times New Roman" w:cs="Times New Roman"/>
        </w:rPr>
        <w:t xml:space="preserve"> on an oral tradition of rules.  </w:t>
      </w:r>
      <w:r w:rsidRPr="00094615">
        <w:rPr>
          <w:rFonts w:ascii="Times New Roman" w:hAnsi="Times New Roman" w:cs="Times New Roman"/>
        </w:rPr>
        <w:t>The problem arose with the r</w:t>
      </w:r>
      <w:r w:rsidR="001879F7">
        <w:rPr>
          <w:rFonts w:ascii="Times New Roman" w:hAnsi="Times New Roman" w:cs="Times New Roman"/>
        </w:rPr>
        <w:t>eporting of Normanton’s Part I b</w:t>
      </w:r>
      <w:r w:rsidRPr="00094615">
        <w:rPr>
          <w:rFonts w:ascii="Times New Roman" w:hAnsi="Times New Roman" w:cs="Times New Roman"/>
        </w:rPr>
        <w:t xml:space="preserve">ar exam success, for example the </w:t>
      </w:r>
      <w:r w:rsidRPr="00094615">
        <w:rPr>
          <w:rFonts w:ascii="Times New Roman" w:hAnsi="Times New Roman" w:cs="Times New Roman"/>
          <w:i/>
        </w:rPr>
        <w:t>Evening Standard</w:t>
      </w:r>
      <w:r w:rsidRPr="00094615">
        <w:rPr>
          <w:rFonts w:ascii="Times New Roman" w:hAnsi="Times New Roman" w:cs="Times New Roman"/>
        </w:rPr>
        <w:t xml:space="preserve"> called her a </w:t>
      </w:r>
      <w:r w:rsidRPr="00094615">
        <w:rPr>
          <w:rFonts w:ascii="Times New Roman" w:hAnsi="Times New Roman" w:cs="Times New Roman"/>
        </w:rPr>
        <w:lastRenderedPageBreak/>
        <w:t>‘wonderful woman’</w:t>
      </w:r>
      <w:r w:rsidRPr="00094615">
        <w:rPr>
          <w:rFonts w:ascii="Times New Roman" w:hAnsi="Times New Roman" w:cs="Times New Roman"/>
          <w:vertAlign w:val="superscript"/>
        </w:rPr>
        <w:footnoteReference w:id="198"/>
      </w:r>
      <w:r w:rsidRPr="00094615">
        <w:rPr>
          <w:rFonts w:ascii="Times New Roman" w:hAnsi="Times New Roman" w:cs="Times New Roman"/>
        </w:rPr>
        <w:t xml:space="preserve"> as she had only studied for six weeks and stated (incorrectly) that she had achieved three first class passes.</w:t>
      </w:r>
    </w:p>
    <w:p w14:paraId="5DEF0415" w14:textId="77777777" w:rsidR="00094615" w:rsidRPr="00094615" w:rsidRDefault="00094615" w:rsidP="00094615">
      <w:pPr>
        <w:spacing w:after="0" w:line="480" w:lineRule="auto"/>
        <w:jc w:val="both"/>
        <w:rPr>
          <w:rFonts w:ascii="Times New Roman" w:hAnsi="Times New Roman" w:cs="Times New Roman"/>
        </w:rPr>
      </w:pPr>
    </w:p>
    <w:p w14:paraId="357C92F0"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Some days after the reports she was summoned to the Treasury without explanation and put through a self-publicising enquiry, asking her to account for the newspaper reports and suggested that she may have been self-publicising, a disciplinary offence.</w:t>
      </w:r>
      <w:r w:rsidRPr="00094615">
        <w:rPr>
          <w:rFonts w:ascii="Times New Roman" w:hAnsi="Times New Roman" w:cs="Times New Roman"/>
          <w:vertAlign w:val="superscript"/>
        </w:rPr>
        <w:footnoteReference w:id="199"/>
      </w:r>
      <w:r w:rsidRPr="00094615">
        <w:rPr>
          <w:rFonts w:ascii="Times New Roman" w:hAnsi="Times New Roman" w:cs="Times New Roman"/>
        </w:rPr>
        <w:t xml:space="preserve">  She was not even a barrister yet.  Normanton was furious. She explained that just as she was leaving home, a man called to congratulate her.  She was surprised and flattered that he was so impressed and spoke to him explaining she didn’t deserve credit.</w:t>
      </w:r>
      <w:r w:rsidRPr="00094615">
        <w:rPr>
          <w:rFonts w:ascii="Times New Roman" w:hAnsi="Times New Roman" w:cs="Times New Roman"/>
          <w:vertAlign w:val="superscript"/>
        </w:rPr>
        <w:footnoteReference w:id="200"/>
      </w:r>
      <w:r w:rsidRPr="00094615">
        <w:rPr>
          <w:rFonts w:ascii="Times New Roman" w:hAnsi="Times New Roman" w:cs="Times New Roman"/>
        </w:rPr>
        <w:t xml:space="preserve">  This incident marks the end of her ‘honeymoon’ at the Bar.</w:t>
      </w:r>
    </w:p>
    <w:p w14:paraId="071DDDF4" w14:textId="77777777" w:rsidR="00094615" w:rsidRPr="00094615" w:rsidRDefault="00094615" w:rsidP="00094615">
      <w:pPr>
        <w:spacing w:after="0" w:line="480" w:lineRule="auto"/>
        <w:jc w:val="both"/>
        <w:rPr>
          <w:rFonts w:ascii="Times New Roman" w:hAnsi="Times New Roman" w:cs="Times New Roman"/>
        </w:rPr>
      </w:pPr>
    </w:p>
    <w:p w14:paraId="1FD8882C"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How could she control the Press interest in her?  Women barristers were novel and she was noted as a “first” for her membership of an Inn.  There was a great deal of interest in her.</w:t>
      </w:r>
    </w:p>
    <w:p w14:paraId="50ECD21B" w14:textId="77777777" w:rsidR="00094615" w:rsidRPr="00094615" w:rsidRDefault="00094615" w:rsidP="00094615">
      <w:pPr>
        <w:spacing w:after="0" w:line="480" w:lineRule="auto"/>
        <w:jc w:val="both"/>
        <w:rPr>
          <w:rFonts w:ascii="Times New Roman" w:hAnsi="Times New Roman" w:cs="Times New Roman"/>
        </w:rPr>
      </w:pPr>
    </w:p>
    <w:p w14:paraId="284532A6"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Second Complaint</w:t>
      </w:r>
    </w:p>
    <w:p w14:paraId="01B4BFCF"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About two weeks later, an anonymous letter was sent to Middle Temple (stamped as received January 27 1921) containing one sentence: “? A case for enquiry?”  It enclosed three articles concerning a talk Normanton gave to Women’s Freedom League at the Minerva Club.</w:t>
      </w:r>
      <w:r w:rsidRPr="00094615">
        <w:rPr>
          <w:rFonts w:ascii="Times New Roman" w:hAnsi="Times New Roman" w:cs="Times New Roman"/>
          <w:vertAlign w:val="superscript"/>
        </w:rPr>
        <w:footnoteReference w:id="201"/>
      </w:r>
      <w:r w:rsidRPr="00094615">
        <w:rPr>
          <w:rFonts w:ascii="Times New Roman" w:hAnsi="Times New Roman" w:cs="Times New Roman"/>
        </w:rPr>
        <w:t xml:space="preserve">  It appears she was unaware this complaint. Nothing came of it, there was no inquiry, but it demonstrates that she was being scrutinised and that clearly many people were not happy with her admission.</w:t>
      </w:r>
    </w:p>
    <w:p w14:paraId="0E2F0FD7" w14:textId="77777777" w:rsidR="00094615" w:rsidRPr="00094615" w:rsidRDefault="00094615" w:rsidP="00094615">
      <w:pPr>
        <w:spacing w:after="0" w:line="480" w:lineRule="auto"/>
        <w:jc w:val="both"/>
        <w:rPr>
          <w:rFonts w:ascii="Times New Roman" w:hAnsi="Times New Roman" w:cs="Times New Roman"/>
        </w:rPr>
      </w:pPr>
    </w:p>
    <w:p w14:paraId="3E7F61F5"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Third Disciplinary Inquiry</w:t>
      </w:r>
      <w:r w:rsidRPr="00341D0B">
        <w:rPr>
          <w:rFonts w:ascii="Times New Roman" w:hAnsi="Times New Roman" w:cs="Times New Roman"/>
          <w:b/>
          <w:vertAlign w:val="superscript"/>
        </w:rPr>
        <w:footnoteReference w:id="202"/>
      </w:r>
    </w:p>
    <w:p w14:paraId="54389211" w14:textId="714414C2"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lastRenderedPageBreak/>
        <w:t>This inquiry arose from an article in “Girl’s Own Paper”.  The article was entitled “Some famous women of today” and highlighted Normanton amongst others.</w:t>
      </w:r>
      <w:r w:rsidRPr="00094615">
        <w:rPr>
          <w:rFonts w:ascii="Times New Roman" w:hAnsi="Times New Roman" w:cs="Times New Roman"/>
          <w:vertAlign w:val="superscript"/>
        </w:rPr>
        <w:footnoteReference w:id="203"/>
      </w:r>
      <w:r w:rsidRPr="00094615">
        <w:rPr>
          <w:rFonts w:ascii="Times New Roman" w:hAnsi="Times New Roman" w:cs="Times New Roman"/>
        </w:rPr>
        <w:t xml:space="preserve">  It was an aspirational article for teenage girls, not a vehicle for advertising services.  On 1 March 1939, Middle Temple wrote to Normanton that their attention had been called to the publication, which could be seen as constituting an advertisement of her professional abilities.  She replied the same day, saying that she never wrote articles about herself and never gave interviews to the Press.</w:t>
      </w:r>
      <w:r w:rsidRPr="00094615">
        <w:rPr>
          <w:rFonts w:ascii="Times New Roman" w:hAnsi="Times New Roman" w:cs="Times New Roman"/>
          <w:vertAlign w:val="superscript"/>
        </w:rPr>
        <w:footnoteReference w:id="204"/>
      </w:r>
      <w:r w:rsidR="001879F7">
        <w:rPr>
          <w:rFonts w:ascii="Times New Roman" w:hAnsi="Times New Roman" w:cs="Times New Roman"/>
        </w:rPr>
        <w:t xml:space="preserve">  </w:t>
      </w:r>
      <w:r w:rsidRPr="00094615">
        <w:rPr>
          <w:rFonts w:ascii="Times New Roman" w:hAnsi="Times New Roman" w:cs="Times New Roman"/>
        </w:rPr>
        <w:t xml:space="preserve">Middle Temple persisted, two days later asking if she would categorically answer whether she had anything to do with the publications.  Again, she replied immediately </w:t>
      </w:r>
      <w:r w:rsidR="001879F7">
        <w:rPr>
          <w:rFonts w:ascii="Times New Roman" w:hAnsi="Times New Roman" w:cs="Times New Roman"/>
        </w:rPr>
        <w:t xml:space="preserve">and said </w:t>
      </w:r>
      <w:r w:rsidRPr="00094615">
        <w:rPr>
          <w:rFonts w:ascii="Times New Roman" w:hAnsi="Times New Roman" w:cs="Times New Roman"/>
        </w:rPr>
        <w:t>that the tone of the letters had caused her pain and considerable anxiety.  She was unconscious of having done anything of the nature indicated by the question.</w:t>
      </w:r>
      <w:r w:rsidR="001879F7">
        <w:rPr>
          <w:rFonts w:ascii="Times New Roman" w:hAnsi="Times New Roman" w:cs="Times New Roman"/>
        </w:rPr>
        <w:t xml:space="preserve">  </w:t>
      </w:r>
      <w:r w:rsidRPr="00094615">
        <w:rPr>
          <w:rFonts w:ascii="Times New Roman" w:hAnsi="Times New Roman" w:cs="Times New Roman"/>
        </w:rPr>
        <w:t>On 7 March she wrote saying she had just seen the article and was in no sense party or privy to it.  Nearly ten days later they sent a paper marked “Treasurers instructions – take no further action”.  It seems extremely unfair that an article written for teenagers should have been misinterpreted as a display of self-advertising.</w:t>
      </w:r>
      <w:r w:rsidRPr="00094615">
        <w:rPr>
          <w:rFonts w:ascii="Times New Roman" w:hAnsi="Times New Roman" w:cs="Times New Roman"/>
          <w:vertAlign w:val="superscript"/>
        </w:rPr>
        <w:footnoteReference w:id="205"/>
      </w:r>
      <w:r w:rsidRPr="00094615">
        <w:rPr>
          <w:rFonts w:ascii="Times New Roman" w:hAnsi="Times New Roman" w:cs="Times New Roman"/>
        </w:rPr>
        <w:t xml:space="preserve">  It is a wonder that she remained in practice.</w:t>
      </w:r>
    </w:p>
    <w:p w14:paraId="19488333" w14:textId="77777777" w:rsidR="00094615" w:rsidRPr="00094615" w:rsidRDefault="00094615" w:rsidP="00094615">
      <w:pPr>
        <w:spacing w:after="0" w:line="480" w:lineRule="auto"/>
        <w:jc w:val="both"/>
        <w:rPr>
          <w:rFonts w:ascii="Times New Roman" w:hAnsi="Times New Roman" w:cs="Times New Roman"/>
        </w:rPr>
      </w:pPr>
    </w:p>
    <w:p w14:paraId="53957C1E" w14:textId="77777777" w:rsidR="001879F7" w:rsidRDefault="001879F7" w:rsidP="00094615">
      <w:pPr>
        <w:spacing w:after="0" w:line="480" w:lineRule="auto"/>
        <w:jc w:val="both"/>
        <w:rPr>
          <w:rFonts w:ascii="Times New Roman" w:hAnsi="Times New Roman" w:cs="Times New Roman"/>
          <w:b/>
        </w:rPr>
      </w:pPr>
    </w:p>
    <w:p w14:paraId="28C77B5E" w14:textId="77777777" w:rsidR="001879F7" w:rsidRDefault="001879F7" w:rsidP="00094615">
      <w:pPr>
        <w:spacing w:after="0" w:line="480" w:lineRule="auto"/>
        <w:jc w:val="both"/>
        <w:rPr>
          <w:rFonts w:ascii="Times New Roman" w:hAnsi="Times New Roman" w:cs="Times New Roman"/>
          <w:b/>
        </w:rPr>
      </w:pPr>
    </w:p>
    <w:p w14:paraId="07D49148" w14:textId="77777777" w:rsidR="001879F7" w:rsidRDefault="001879F7" w:rsidP="00094615">
      <w:pPr>
        <w:spacing w:after="0" w:line="480" w:lineRule="auto"/>
        <w:jc w:val="both"/>
        <w:rPr>
          <w:rFonts w:ascii="Times New Roman" w:hAnsi="Times New Roman" w:cs="Times New Roman"/>
          <w:b/>
        </w:rPr>
      </w:pPr>
    </w:p>
    <w:p w14:paraId="54C1C460" w14:textId="77777777" w:rsidR="001879F7"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Final Disciplinary Committee 1951</w:t>
      </w:r>
    </w:p>
    <w:p w14:paraId="17CD5807" w14:textId="30937887" w:rsidR="00094615" w:rsidRPr="001879F7" w:rsidRDefault="00094615" w:rsidP="00094615">
      <w:pPr>
        <w:spacing w:after="0" w:line="480" w:lineRule="auto"/>
        <w:jc w:val="both"/>
        <w:rPr>
          <w:rFonts w:ascii="Times New Roman" w:hAnsi="Times New Roman" w:cs="Times New Roman"/>
          <w:b/>
        </w:rPr>
      </w:pPr>
      <w:r w:rsidRPr="00094615">
        <w:rPr>
          <w:rFonts w:ascii="Times New Roman" w:hAnsi="Times New Roman" w:cs="Times New Roman"/>
        </w:rPr>
        <w:t>Normanton retired in 1951 and weeks later she received a letter from Middle Temple,</w:t>
      </w:r>
      <w:r w:rsidRPr="00094615">
        <w:rPr>
          <w:rFonts w:ascii="Times New Roman" w:hAnsi="Times New Roman" w:cs="Times New Roman"/>
          <w:vertAlign w:val="superscript"/>
        </w:rPr>
        <w:footnoteReference w:id="206"/>
      </w:r>
      <w:r w:rsidRPr="00094615">
        <w:rPr>
          <w:rFonts w:ascii="Times New Roman" w:hAnsi="Times New Roman" w:cs="Times New Roman"/>
        </w:rPr>
        <w:t xml:space="preserve"> regarding a conversation in her own house during a birthday lunch party.  The lunch was reported by the </w:t>
      </w:r>
      <w:r w:rsidRPr="00094615">
        <w:rPr>
          <w:rFonts w:ascii="Times New Roman" w:hAnsi="Times New Roman" w:cs="Times New Roman"/>
          <w:i/>
        </w:rPr>
        <w:t>Evening Standard</w:t>
      </w:r>
      <w:r w:rsidRPr="00094615">
        <w:rPr>
          <w:rFonts w:ascii="Times New Roman" w:hAnsi="Times New Roman" w:cs="Times New Roman"/>
          <w:vertAlign w:val="superscript"/>
        </w:rPr>
        <w:footnoteReference w:id="207"/>
      </w:r>
      <w:r w:rsidRPr="00094615">
        <w:rPr>
          <w:rFonts w:ascii="Times New Roman" w:hAnsi="Times New Roman" w:cs="Times New Roman"/>
        </w:rPr>
        <w:t xml:space="preserve"> some three months earlier, alleging that she had described herself as ‘the most senior female </w:t>
      </w:r>
      <w:r w:rsidRPr="00094615">
        <w:rPr>
          <w:rFonts w:ascii="Times New Roman" w:hAnsi="Times New Roman" w:cs="Times New Roman"/>
        </w:rPr>
        <w:lastRenderedPageBreak/>
        <w:t>barrister in England’.  She was advised that there would be a hearing about her conduct on 24 May, before the Benchers of Middle Temple.  They also included a complaint concerning the reporting of the 1947 ‘Silver Wedding’ anniversary party for</w:t>
      </w:r>
      <w:r w:rsidR="001879F7">
        <w:rPr>
          <w:rFonts w:ascii="Times New Roman" w:hAnsi="Times New Roman" w:cs="Times New Roman"/>
        </w:rPr>
        <w:t xml:space="preserve"> the first women called to the b</w:t>
      </w:r>
      <w:r w:rsidRPr="00094615">
        <w:rPr>
          <w:rFonts w:ascii="Times New Roman" w:hAnsi="Times New Roman" w:cs="Times New Roman"/>
        </w:rPr>
        <w:t>ar.</w:t>
      </w:r>
      <w:r w:rsidRPr="00094615">
        <w:rPr>
          <w:rFonts w:ascii="Times New Roman" w:hAnsi="Times New Roman" w:cs="Times New Roman"/>
          <w:vertAlign w:val="superscript"/>
        </w:rPr>
        <w:footnoteReference w:id="208"/>
      </w:r>
      <w:r w:rsidRPr="00094615">
        <w:rPr>
          <w:rFonts w:ascii="Times New Roman" w:hAnsi="Times New Roman" w:cs="Times New Roman"/>
        </w:rPr>
        <w:t xml:space="preserve">  She was invited to appear or to send a representative.  She replied that she could not instruct a lawyer as her health was in a very poor state.  She begged the Treasurer to accept her explanation and to drop the matter:</w:t>
      </w:r>
    </w:p>
    <w:p w14:paraId="3BB6BF96" w14:textId="77777777" w:rsidR="00094615" w:rsidRPr="00094615" w:rsidRDefault="00094615" w:rsidP="00341D0B">
      <w:pPr>
        <w:spacing w:after="0" w:line="480" w:lineRule="auto"/>
        <w:ind w:left="720"/>
        <w:jc w:val="both"/>
        <w:rPr>
          <w:rFonts w:ascii="Times New Roman" w:hAnsi="Times New Roman" w:cs="Times New Roman"/>
          <w:i/>
        </w:rPr>
      </w:pPr>
      <w:r w:rsidRPr="00094615">
        <w:rPr>
          <w:rFonts w:ascii="Times New Roman" w:hAnsi="Times New Roman" w:cs="Times New Roman"/>
          <w:i/>
        </w:rPr>
        <w:t>‘The reproduction of small talk at a lunch at my home cannot possibly injure the Bar of England and as I have refused all legal work for over two years because of the state of affairs described to Mr. Gilbert, and now find I cannot return to work I was obviously not touting for the attention of solicitors.’</w:t>
      </w:r>
    </w:p>
    <w:p w14:paraId="6CE0BC6D" w14:textId="77777777"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She wrote again on the day before her hearing</w:t>
      </w:r>
      <w:r w:rsidRPr="00094615">
        <w:rPr>
          <w:rFonts w:ascii="Times New Roman" w:hAnsi="Times New Roman" w:cs="Times New Roman"/>
          <w:vertAlign w:val="superscript"/>
        </w:rPr>
        <w:footnoteReference w:id="209"/>
      </w:r>
      <w:r w:rsidRPr="00094615">
        <w:rPr>
          <w:rFonts w:ascii="Times New Roman" w:hAnsi="Times New Roman" w:cs="Times New Roman"/>
        </w:rPr>
        <w:t xml:space="preserve"> saying that she hoped to be in attendance, but was suffering crippling pain.  The hearing took place on 7 June 1951 in Middle Temple hall, before the Master Treasurer, Ralph Thomas J.  Normanton appeared in person.  Because she had ceased to practice, they decided to take no action.  She said that did not satisfy her, she had never sought publicity and it was painful for her to end her career in this way.  They replied she had not been punished and should have avoided situations where she could be written about.  This could not have been how she wanted to end her career at the Bar.</w:t>
      </w:r>
    </w:p>
    <w:p w14:paraId="04A980C3" w14:textId="77777777" w:rsidR="00094615" w:rsidRPr="00094615" w:rsidRDefault="00094615" w:rsidP="00094615">
      <w:pPr>
        <w:spacing w:after="0" w:line="480" w:lineRule="auto"/>
        <w:jc w:val="both"/>
        <w:rPr>
          <w:rFonts w:ascii="Times New Roman" w:hAnsi="Times New Roman" w:cs="Times New Roman"/>
        </w:rPr>
      </w:pPr>
    </w:p>
    <w:p w14:paraId="19F3371E" w14:textId="1E1F1110"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Normanton was not just scrutinised by her governing body.  She was also inspected by others, such as an anonymous letter in November 1924, written on Middle Temple notepaper purporting to have been written by a group of barristers, but signed by a “well- wisher”.</w:t>
      </w:r>
      <w:r w:rsidRPr="00094615">
        <w:rPr>
          <w:rFonts w:ascii="Times New Roman" w:hAnsi="Times New Roman" w:cs="Times New Roman"/>
          <w:vertAlign w:val="superscript"/>
        </w:rPr>
        <w:footnoteReference w:id="210"/>
      </w:r>
      <w:r w:rsidRPr="00094615">
        <w:rPr>
          <w:rFonts w:ascii="Times New Roman" w:hAnsi="Times New Roman" w:cs="Times New Roman"/>
        </w:rPr>
        <w:t xml:space="preserve">  It warned her that there was still more than one person opposed to women joining the Bar.  Jealousy had been aroused by Normanton, it stated and instructed her that the time had come for her to consider how she should limit the gossip about </w:t>
      </w:r>
      <w:r w:rsidRPr="00094615">
        <w:rPr>
          <w:rFonts w:ascii="Times New Roman" w:hAnsi="Times New Roman" w:cs="Times New Roman"/>
        </w:rPr>
        <w:lastRenderedPageBreak/>
        <w:t>herself.  The letter was a warning against a Miss Ashford,</w:t>
      </w:r>
      <w:r w:rsidRPr="00094615">
        <w:rPr>
          <w:rFonts w:ascii="Times New Roman" w:hAnsi="Times New Roman" w:cs="Times New Roman"/>
          <w:vertAlign w:val="superscript"/>
        </w:rPr>
        <w:footnoteReference w:id="211"/>
      </w:r>
      <w:r w:rsidRPr="00094615">
        <w:rPr>
          <w:rFonts w:ascii="Times New Roman" w:hAnsi="Times New Roman" w:cs="Times New Roman"/>
        </w:rPr>
        <w:t xml:space="preserve"> stating “are you really unaware of the origin of comments about you? It was not a secret that Ashford openly makes statements about you: your mode of life, work, marriage and professional code”.</w:t>
      </w:r>
      <w:r w:rsidRPr="00094615">
        <w:rPr>
          <w:rFonts w:ascii="Times New Roman" w:hAnsi="Times New Roman" w:cs="Times New Roman"/>
          <w:vertAlign w:val="superscript"/>
        </w:rPr>
        <w:footnoteReference w:id="212"/>
      </w:r>
      <w:r w:rsidRPr="00094615">
        <w:rPr>
          <w:rFonts w:ascii="Times New Roman" w:hAnsi="Times New Roman" w:cs="Times New Roman"/>
        </w:rPr>
        <w:t xml:space="preserve">  The letter insisted that the writer did not think the comments were true, but they all commented on Helena’s passivity.  It maintained that Miss Ashford was responsible for the complaint to Middle Temple.  The letter finished by advising Helena to stop inviting Ashford to her house or continuing t</w:t>
      </w:r>
      <w:r w:rsidR="0081043F">
        <w:rPr>
          <w:rFonts w:ascii="Times New Roman" w:hAnsi="Times New Roman" w:cs="Times New Roman"/>
        </w:rPr>
        <w:t>o treat her as a valued friend.  This</w:t>
      </w:r>
      <w:r w:rsidRPr="00094615">
        <w:rPr>
          <w:rFonts w:ascii="Times New Roman" w:hAnsi="Times New Roman" w:cs="Times New Roman"/>
        </w:rPr>
        <w:t xml:space="preserve"> letter undermined her and presumably was designed too.  It must have been difficult operating under such scrutiny.</w:t>
      </w:r>
    </w:p>
    <w:p w14:paraId="2296408F" w14:textId="77777777" w:rsidR="00094615" w:rsidRPr="00094615" w:rsidRDefault="00094615" w:rsidP="00094615">
      <w:pPr>
        <w:spacing w:after="0" w:line="480" w:lineRule="auto"/>
        <w:jc w:val="both"/>
        <w:rPr>
          <w:rFonts w:ascii="Times New Roman" w:hAnsi="Times New Roman" w:cs="Times New Roman"/>
        </w:rPr>
      </w:pPr>
    </w:p>
    <w:p w14:paraId="79376C70" w14:textId="77777777" w:rsidR="00094615" w:rsidRPr="00341D0B" w:rsidRDefault="00094615" w:rsidP="00094615">
      <w:pPr>
        <w:spacing w:after="0" w:line="480" w:lineRule="auto"/>
        <w:jc w:val="both"/>
        <w:rPr>
          <w:rFonts w:ascii="Times New Roman" w:hAnsi="Times New Roman" w:cs="Times New Roman"/>
          <w:b/>
        </w:rPr>
      </w:pPr>
      <w:r w:rsidRPr="00341D0B">
        <w:rPr>
          <w:rFonts w:ascii="Times New Roman" w:hAnsi="Times New Roman" w:cs="Times New Roman"/>
          <w:b/>
        </w:rPr>
        <w:t>Conclusion</w:t>
      </w:r>
    </w:p>
    <w:p w14:paraId="5E47F142" w14:textId="73328B6E"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t>It is clear from this paper that women were not welcomed by their male counterparts.  Even once admitted women faced challenges and scrutiny that men did not.  The bar’s doors were forced open to women by Parliament, but male lawyers were going to shield their control of the profession.  We can see this clearly from the difficulties Normanton (and others) experienced in trying to enter and stay at the bar.  What is clear is that as a result of this prejudice she never managed fully to live on her earnings from the bar.  She longed to become a judge but never managed to fulfil this ambition.  This can be described as hitting a ‘glass ceiling’ which she could not break through, a complaint many women lawyers have today.  Despite all of this she refused to give up.  She understood that acceptance of women would be slow and she knew this was part of her se</w:t>
      </w:r>
      <w:r w:rsidR="0081043F">
        <w:rPr>
          <w:rFonts w:ascii="Times New Roman" w:hAnsi="Times New Roman" w:cs="Times New Roman"/>
        </w:rPr>
        <w:t>lf-imposed role in opening the b</w:t>
      </w:r>
      <w:r w:rsidRPr="00094615">
        <w:rPr>
          <w:rFonts w:ascii="Times New Roman" w:hAnsi="Times New Roman" w:cs="Times New Roman"/>
        </w:rPr>
        <w:t>ar to women.  However, she wrote in November 1952:</w:t>
      </w:r>
    </w:p>
    <w:p w14:paraId="08FF5276" w14:textId="77777777" w:rsidR="00094615" w:rsidRPr="00094615" w:rsidRDefault="00094615" w:rsidP="00341D0B">
      <w:pPr>
        <w:spacing w:after="0" w:line="480" w:lineRule="auto"/>
        <w:ind w:left="720"/>
        <w:jc w:val="both"/>
        <w:rPr>
          <w:rFonts w:ascii="Times New Roman" w:hAnsi="Times New Roman" w:cs="Times New Roman"/>
        </w:rPr>
      </w:pPr>
      <w:r w:rsidRPr="00094615">
        <w:rPr>
          <w:rFonts w:ascii="Times New Roman" w:hAnsi="Times New Roman" w:cs="Times New Roman"/>
        </w:rPr>
        <w:t>‘…for some years now the publicity obtained for Miss Rose Heilbronn has frequently been conducted by ways of a parallel to myself, in which I am depicted as her feebly incompetent fore-runner ....’</w:t>
      </w:r>
      <w:r w:rsidRPr="00094615">
        <w:rPr>
          <w:rFonts w:ascii="Times New Roman" w:hAnsi="Times New Roman" w:cs="Times New Roman"/>
          <w:vertAlign w:val="superscript"/>
        </w:rPr>
        <w:footnoteReference w:id="213"/>
      </w:r>
    </w:p>
    <w:p w14:paraId="460B3868" w14:textId="4C0F5C8F" w:rsidR="00094615" w:rsidRPr="00094615" w:rsidRDefault="00094615" w:rsidP="00094615">
      <w:pPr>
        <w:spacing w:after="0" w:line="480" w:lineRule="auto"/>
        <w:jc w:val="both"/>
        <w:rPr>
          <w:rFonts w:ascii="Times New Roman" w:hAnsi="Times New Roman" w:cs="Times New Roman"/>
        </w:rPr>
      </w:pPr>
      <w:r w:rsidRPr="00094615">
        <w:rPr>
          <w:rFonts w:ascii="Times New Roman" w:hAnsi="Times New Roman" w:cs="Times New Roman"/>
        </w:rPr>
        <w:lastRenderedPageBreak/>
        <w:t>She was well awar</w:t>
      </w:r>
      <w:r w:rsidR="0081043F">
        <w:rPr>
          <w:rFonts w:ascii="Times New Roman" w:hAnsi="Times New Roman" w:cs="Times New Roman"/>
        </w:rPr>
        <w:t>e that her mission to open the b</w:t>
      </w:r>
      <w:r w:rsidRPr="00094615">
        <w:rPr>
          <w:rFonts w:ascii="Times New Roman" w:hAnsi="Times New Roman" w:cs="Times New Roman"/>
        </w:rPr>
        <w:t>ar to women came at a price: her stigmatisation, which persists today.</w:t>
      </w:r>
    </w:p>
    <w:p w14:paraId="533FC72F" w14:textId="77777777" w:rsidR="002D449F" w:rsidRPr="00AB69B5" w:rsidRDefault="002D449F" w:rsidP="00AB69B5">
      <w:pPr>
        <w:spacing w:after="0" w:line="480" w:lineRule="auto"/>
        <w:jc w:val="both"/>
        <w:rPr>
          <w:rFonts w:ascii="Times New Roman" w:hAnsi="Times New Roman" w:cs="Times New Roman"/>
          <w:b/>
        </w:rPr>
      </w:pPr>
    </w:p>
    <w:p w14:paraId="50C9323C" w14:textId="72A81FFC" w:rsidR="00FC665A" w:rsidRDefault="00FC665A">
      <w:pPr>
        <w:rPr>
          <w:rFonts w:ascii="Times New Roman" w:eastAsia="Times New Roman" w:hAnsi="Times New Roman" w:cs="Times New Roman"/>
        </w:rPr>
      </w:pPr>
      <w:r>
        <w:rPr>
          <w:rFonts w:ascii="Times New Roman" w:eastAsia="Times New Roman" w:hAnsi="Times New Roman" w:cs="Times New Roman"/>
        </w:rPr>
        <w:br w:type="page"/>
      </w:r>
    </w:p>
    <w:p w14:paraId="36DFF7B1" w14:textId="77777777" w:rsidR="002D449F" w:rsidRPr="00AB69B5" w:rsidRDefault="002D449F" w:rsidP="00AB69B5">
      <w:pPr>
        <w:spacing w:after="0" w:line="480" w:lineRule="auto"/>
        <w:jc w:val="both"/>
        <w:rPr>
          <w:rFonts w:ascii="Times New Roman" w:eastAsia="Times New Roman" w:hAnsi="Times New Roman" w:cs="Times New Roman"/>
        </w:rPr>
      </w:pPr>
    </w:p>
    <w:p w14:paraId="0CE550E9" w14:textId="721A6013" w:rsidR="00D935C5" w:rsidRPr="00FC665A" w:rsidRDefault="00D935C5" w:rsidP="00FC665A">
      <w:pPr>
        <w:pStyle w:val="NormalWeb"/>
        <w:spacing w:before="0" w:beforeAutospacing="0" w:after="0" w:afterAutospacing="0" w:line="480" w:lineRule="auto"/>
        <w:jc w:val="center"/>
        <w:rPr>
          <w:b/>
          <w:sz w:val="28"/>
          <w:szCs w:val="28"/>
          <w:lang w:val="en-GB"/>
        </w:rPr>
      </w:pPr>
      <w:r w:rsidRPr="00FC665A">
        <w:rPr>
          <w:b/>
          <w:sz w:val="28"/>
          <w:szCs w:val="28"/>
          <w:lang w:val="en-GB"/>
        </w:rPr>
        <w:t>Establishing New Traditions for Legal Profession:</w:t>
      </w:r>
    </w:p>
    <w:p w14:paraId="545DABDF" w14:textId="77777777" w:rsidR="00D935C5" w:rsidRPr="00FC665A" w:rsidRDefault="00D935C5" w:rsidP="00FC665A">
      <w:pPr>
        <w:pStyle w:val="NormalWeb"/>
        <w:spacing w:before="0" w:beforeAutospacing="0" w:after="0" w:afterAutospacing="0" w:line="480" w:lineRule="auto"/>
        <w:jc w:val="center"/>
        <w:rPr>
          <w:b/>
          <w:sz w:val="28"/>
          <w:szCs w:val="28"/>
          <w:lang w:val="en-GB"/>
        </w:rPr>
      </w:pPr>
      <w:r w:rsidRPr="00FC665A">
        <w:rPr>
          <w:b/>
          <w:sz w:val="28"/>
          <w:szCs w:val="28"/>
          <w:lang w:val="en-GB"/>
        </w:rPr>
        <w:t>First Women Law Students in University of Tartu</w:t>
      </w:r>
    </w:p>
    <w:p w14:paraId="1A4098B0" w14:textId="77777777" w:rsidR="00FC665A" w:rsidRDefault="00FC665A" w:rsidP="00AB69B5">
      <w:pPr>
        <w:pStyle w:val="NormalWeb"/>
        <w:spacing w:before="0" w:beforeAutospacing="0" w:after="0" w:afterAutospacing="0" w:line="480" w:lineRule="auto"/>
        <w:jc w:val="both"/>
        <w:rPr>
          <w:sz w:val="22"/>
          <w:szCs w:val="22"/>
          <w:lang w:val="en-GB"/>
        </w:rPr>
      </w:pPr>
    </w:p>
    <w:p w14:paraId="289770D1" w14:textId="31D2A60D" w:rsidR="00D935C5" w:rsidRPr="00FC665A" w:rsidRDefault="00FC665A" w:rsidP="00AB69B5">
      <w:pPr>
        <w:pStyle w:val="NormalWeb"/>
        <w:spacing w:before="0" w:beforeAutospacing="0" w:after="0" w:afterAutospacing="0" w:line="480" w:lineRule="auto"/>
        <w:jc w:val="both"/>
        <w:rPr>
          <w:rStyle w:val="Strong"/>
          <w:b w:val="0"/>
          <w:bCs w:val="0"/>
          <w:sz w:val="22"/>
          <w:szCs w:val="22"/>
          <w:lang w:val="en-GB"/>
        </w:rPr>
      </w:pPr>
      <w:r w:rsidRPr="00FC665A">
        <w:rPr>
          <w:b/>
          <w:sz w:val="22"/>
          <w:szCs w:val="22"/>
          <w:lang w:val="en-GB"/>
        </w:rPr>
        <w:t>Dr</w:t>
      </w:r>
      <w:r w:rsidR="00BF0B6C">
        <w:rPr>
          <w:b/>
          <w:sz w:val="22"/>
          <w:szCs w:val="22"/>
          <w:lang w:val="en-GB"/>
        </w:rPr>
        <w:t>.</w:t>
      </w:r>
      <w:r w:rsidRPr="00FC665A">
        <w:rPr>
          <w:b/>
          <w:sz w:val="22"/>
          <w:szCs w:val="22"/>
          <w:lang w:val="en-GB"/>
        </w:rPr>
        <w:t xml:space="preserve"> </w:t>
      </w:r>
      <w:r w:rsidR="00BF0BDC" w:rsidRPr="00FC665A">
        <w:rPr>
          <w:b/>
          <w:sz w:val="22"/>
          <w:szCs w:val="22"/>
          <w:lang w:val="en-GB"/>
        </w:rPr>
        <w:t>M</w:t>
      </w:r>
      <w:r w:rsidR="00FE5799">
        <w:rPr>
          <w:b/>
          <w:sz w:val="22"/>
          <w:szCs w:val="22"/>
          <w:lang w:val="en-GB"/>
        </w:rPr>
        <w:t>erike</w:t>
      </w:r>
      <w:r w:rsidR="00D935C5" w:rsidRPr="00FC665A">
        <w:rPr>
          <w:b/>
          <w:sz w:val="22"/>
          <w:szCs w:val="22"/>
          <w:lang w:val="en-GB"/>
        </w:rPr>
        <w:t xml:space="preserve"> Ristikivi, </w:t>
      </w:r>
      <w:r w:rsidRPr="00FC665A">
        <w:rPr>
          <w:b/>
          <w:sz w:val="22"/>
          <w:szCs w:val="22"/>
          <w:lang w:val="en-GB"/>
        </w:rPr>
        <w:t xml:space="preserve">Ph.D. </w:t>
      </w:r>
      <w:r w:rsidR="00D935C5" w:rsidRPr="00FC665A">
        <w:rPr>
          <w:b/>
          <w:sz w:val="22"/>
          <w:szCs w:val="22"/>
          <w:lang w:val="en-GB"/>
        </w:rPr>
        <w:t>Associate Professor, University of Tartu (Estonia)</w:t>
      </w:r>
    </w:p>
    <w:p w14:paraId="54CFBD7E" w14:textId="77777777" w:rsidR="00D935C5" w:rsidRPr="00AB69B5" w:rsidRDefault="00D935C5" w:rsidP="00AB69B5">
      <w:pPr>
        <w:spacing w:line="480" w:lineRule="auto"/>
        <w:jc w:val="both"/>
        <w:rPr>
          <w:rFonts w:ascii="Times New Roman" w:hAnsi="Times New Roman" w:cs="Times New Roman"/>
        </w:rPr>
      </w:pPr>
    </w:p>
    <w:p w14:paraId="7C7157C2" w14:textId="77777777" w:rsidR="00FC665A" w:rsidRDefault="00D935C5" w:rsidP="00AB69B5">
      <w:pPr>
        <w:spacing w:line="480" w:lineRule="auto"/>
        <w:jc w:val="both"/>
        <w:rPr>
          <w:rFonts w:ascii="Times New Roman" w:hAnsi="Times New Roman" w:cs="Times New Roman"/>
          <w:b/>
        </w:rPr>
      </w:pPr>
      <w:r w:rsidRPr="00AB69B5">
        <w:rPr>
          <w:rFonts w:ascii="Times New Roman" w:hAnsi="Times New Roman" w:cs="Times New Roman"/>
          <w:b/>
        </w:rPr>
        <w:t>Introduction</w:t>
      </w:r>
    </w:p>
    <w:p w14:paraId="6904C341" w14:textId="2340B5EC" w:rsidR="00D935C5" w:rsidRPr="00FC665A" w:rsidRDefault="00D935C5" w:rsidP="00AB69B5">
      <w:pPr>
        <w:spacing w:line="480" w:lineRule="auto"/>
        <w:jc w:val="both"/>
        <w:rPr>
          <w:rFonts w:ascii="Times New Roman" w:hAnsi="Times New Roman" w:cs="Times New Roman"/>
          <w:b/>
        </w:rPr>
      </w:pPr>
      <w:r w:rsidRPr="00AB69B5">
        <w:rPr>
          <w:rFonts w:ascii="Times New Roman" w:hAnsi="Times New Roman" w:cs="Times New Roman"/>
        </w:rPr>
        <w:t>In Estonia, women students were allowed to study law and female lawyers were allowed to practice professionally several decades later compared to many countries in Europe and the world. Women got access to a wider variety of educational lanes after the Republic of Estonia gained its independence in 1918 and women students started to be accepted to the university on equal basis with male students. This article gives an overview of the first female law students at the Faculty of Law at the University of Tartu, touching upon their career prospects in the period between the two World Wars. Most of the data and figures come from the “Album Academicum Universitatis Tartuensis”</w:t>
      </w:r>
      <w:r w:rsidRPr="00AB69B5">
        <w:rPr>
          <w:rStyle w:val="FootnoteReference"/>
          <w:rFonts w:ascii="Times New Roman" w:hAnsi="Times New Roman" w:cs="Times New Roman"/>
        </w:rPr>
        <w:footnoteReference w:id="214"/>
      </w:r>
      <w:r w:rsidRPr="00AB69B5">
        <w:rPr>
          <w:rFonts w:ascii="Times New Roman" w:hAnsi="Times New Roman" w:cs="Times New Roman"/>
        </w:rPr>
        <w:t>, which includes the information about the students of the University of Tartu, from the archive of the university and from the Estonian State Archives; also the annual reports of the Estonian Bar Association from the years 1927</w:t>
      </w:r>
      <w:r w:rsidRPr="00AB69B5">
        <w:rPr>
          <w:rFonts w:ascii="Times New Roman" w:hAnsi="Times New Roman" w:cs="Times New Roman"/>
          <w:lang w:val="et-EE"/>
        </w:rPr>
        <w:t>–</w:t>
      </w:r>
      <w:r w:rsidRPr="00AB69B5">
        <w:rPr>
          <w:rFonts w:ascii="Times New Roman" w:hAnsi="Times New Roman" w:cs="Times New Roman"/>
        </w:rPr>
        <w:t>1939</w:t>
      </w:r>
      <w:r w:rsidRPr="00AB69B5">
        <w:rPr>
          <w:rStyle w:val="FootnoteReference"/>
          <w:rFonts w:ascii="Times New Roman" w:hAnsi="Times New Roman" w:cs="Times New Roman"/>
        </w:rPr>
        <w:footnoteReference w:id="215"/>
      </w:r>
      <w:r w:rsidRPr="00AB69B5">
        <w:rPr>
          <w:rFonts w:ascii="Times New Roman" w:hAnsi="Times New Roman" w:cs="Times New Roman"/>
        </w:rPr>
        <w:t>.</w:t>
      </w:r>
    </w:p>
    <w:p w14:paraId="76C38D9F" w14:textId="77777777" w:rsidR="00D935C5" w:rsidRPr="00AB69B5" w:rsidRDefault="00D935C5" w:rsidP="00AB69B5">
      <w:pPr>
        <w:pStyle w:val="Standard"/>
        <w:spacing w:line="480" w:lineRule="auto"/>
        <w:jc w:val="both"/>
        <w:rPr>
          <w:rFonts w:cs="Times New Roman"/>
          <w:color w:val="FF0000"/>
          <w:sz w:val="22"/>
          <w:szCs w:val="22"/>
          <w:lang w:val="sv-SE"/>
        </w:rPr>
      </w:pPr>
    </w:p>
    <w:p w14:paraId="471CF403" w14:textId="77777777" w:rsidR="00D935C5" w:rsidRPr="00AB69B5" w:rsidRDefault="00D935C5" w:rsidP="00AB69B5">
      <w:pPr>
        <w:pStyle w:val="Standard"/>
        <w:spacing w:line="480" w:lineRule="auto"/>
        <w:jc w:val="both"/>
        <w:rPr>
          <w:rFonts w:cs="Times New Roman"/>
          <w:color w:val="FF0000"/>
          <w:sz w:val="22"/>
          <w:szCs w:val="22"/>
          <w:lang w:val="sv-SE"/>
        </w:rPr>
      </w:pPr>
    </w:p>
    <w:p w14:paraId="3CC9FC9E" w14:textId="77777777" w:rsidR="00D935C5" w:rsidRPr="00AB69B5" w:rsidRDefault="00D935C5" w:rsidP="00AB69B5">
      <w:pPr>
        <w:pStyle w:val="Standard"/>
        <w:spacing w:line="480" w:lineRule="auto"/>
        <w:jc w:val="both"/>
        <w:rPr>
          <w:rFonts w:cs="Times New Roman"/>
          <w:b/>
          <w:sz w:val="22"/>
          <w:szCs w:val="22"/>
          <w:lang w:val="sv-SE"/>
        </w:rPr>
      </w:pPr>
      <w:r w:rsidRPr="00AB69B5">
        <w:rPr>
          <w:rFonts w:cs="Times New Roman"/>
          <w:b/>
          <w:sz w:val="22"/>
          <w:szCs w:val="22"/>
          <w:lang w:val="sv-SE"/>
        </w:rPr>
        <w:t>University of Tartu 1918</w:t>
      </w:r>
      <w:r w:rsidRPr="00AB69B5">
        <w:rPr>
          <w:rFonts w:cs="Times New Roman"/>
          <w:b/>
          <w:sz w:val="22"/>
          <w:szCs w:val="22"/>
          <w:lang w:val="et-EE"/>
        </w:rPr>
        <w:t>–</w:t>
      </w:r>
      <w:r w:rsidRPr="00AB69B5">
        <w:rPr>
          <w:rFonts w:cs="Times New Roman"/>
          <w:b/>
          <w:sz w:val="22"/>
          <w:szCs w:val="22"/>
          <w:lang w:val="sv-SE"/>
        </w:rPr>
        <w:t>1940</w:t>
      </w:r>
    </w:p>
    <w:p w14:paraId="2BED17F6" w14:textId="77777777" w:rsidR="00D935C5" w:rsidRPr="00AB69B5" w:rsidRDefault="00D935C5" w:rsidP="00AB69B5">
      <w:pPr>
        <w:pStyle w:val="Standard"/>
        <w:spacing w:line="480" w:lineRule="auto"/>
        <w:jc w:val="both"/>
        <w:rPr>
          <w:rFonts w:cs="Times New Roman"/>
          <w:b/>
          <w:sz w:val="22"/>
          <w:szCs w:val="22"/>
          <w:lang w:val="sv-SE"/>
        </w:rPr>
      </w:pPr>
    </w:p>
    <w:p w14:paraId="41BCF4AF"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 xml:space="preserve">The period between two world wars was very complicated for Estonia in general as well as for the University of Tartu. At the beginning of this period, in 1918 the Republic of Estonia was established and </w:t>
      </w:r>
      <w:r w:rsidRPr="00AB69B5">
        <w:rPr>
          <w:color w:val="auto"/>
          <w:sz w:val="22"/>
          <w:szCs w:val="22"/>
          <w:lang w:val="en-GB"/>
        </w:rPr>
        <w:lastRenderedPageBreak/>
        <w:t>the War of Independence (1918</w:t>
      </w:r>
      <w:r w:rsidRPr="00AB69B5">
        <w:rPr>
          <w:sz w:val="22"/>
          <w:szCs w:val="22"/>
          <w:lang w:val="et-EE"/>
        </w:rPr>
        <w:t>–</w:t>
      </w:r>
      <w:r w:rsidRPr="00AB69B5">
        <w:rPr>
          <w:color w:val="auto"/>
          <w:sz w:val="22"/>
          <w:szCs w:val="22"/>
          <w:lang w:val="en-GB"/>
        </w:rPr>
        <w:t>1920) was about to begin in Estonia.</w:t>
      </w:r>
      <w:r w:rsidRPr="00AB69B5">
        <w:rPr>
          <w:rStyle w:val="FootnoteReference"/>
          <w:color w:val="auto"/>
          <w:sz w:val="22"/>
          <w:szCs w:val="22"/>
          <w:lang w:val="en-GB"/>
        </w:rPr>
        <w:footnoteReference w:id="216"/>
      </w:r>
      <w:r w:rsidRPr="00AB69B5">
        <w:rPr>
          <w:color w:val="auto"/>
          <w:sz w:val="22"/>
          <w:szCs w:val="22"/>
          <w:lang w:val="en-GB"/>
        </w:rPr>
        <w:t xml:space="preserve"> In 1919, The University of Tartu was re-opened again, with Estonian as the language of instruction for the first time in its history.</w:t>
      </w:r>
      <w:r w:rsidRPr="00AB69B5">
        <w:rPr>
          <w:rStyle w:val="FootnoteReference"/>
          <w:color w:val="auto"/>
          <w:sz w:val="22"/>
          <w:szCs w:val="22"/>
          <w:lang w:val="en-GB"/>
        </w:rPr>
        <w:footnoteReference w:id="217"/>
      </w:r>
      <w:r w:rsidRPr="00AB69B5">
        <w:rPr>
          <w:color w:val="auto"/>
          <w:sz w:val="22"/>
          <w:szCs w:val="22"/>
          <w:lang w:val="en-GB"/>
        </w:rPr>
        <w:t xml:space="preserve"> The Faculty of Law could not start working until the beginning of 1920, though, for lack of suitable lecturers.</w:t>
      </w:r>
      <w:r w:rsidRPr="00AB69B5">
        <w:rPr>
          <w:rStyle w:val="FootnoteReference"/>
          <w:color w:val="auto"/>
          <w:sz w:val="22"/>
          <w:szCs w:val="22"/>
          <w:lang w:val="en-GB"/>
        </w:rPr>
        <w:footnoteReference w:id="218"/>
      </w:r>
    </w:p>
    <w:p w14:paraId="0903BFE2" w14:textId="77777777" w:rsidR="00D935C5" w:rsidRPr="00AB69B5" w:rsidRDefault="00D935C5" w:rsidP="00AB69B5">
      <w:pPr>
        <w:pStyle w:val="Default"/>
        <w:spacing w:line="480" w:lineRule="auto"/>
        <w:jc w:val="both"/>
        <w:rPr>
          <w:sz w:val="22"/>
          <w:szCs w:val="22"/>
        </w:rPr>
      </w:pPr>
    </w:p>
    <w:p w14:paraId="6FE50090"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As soon as the university opened its doors again, the first females were enrolled as full-time students. It must be noted, however, that they were not the first females ever to study at Tartu. Already in September 1905, the Council of the University of Tartu gave permission for women to start visiting the lectures as auditors.</w:t>
      </w:r>
      <w:r w:rsidRPr="00AB69B5">
        <w:rPr>
          <w:rStyle w:val="FootnoteReference"/>
          <w:color w:val="auto"/>
          <w:sz w:val="22"/>
          <w:szCs w:val="22"/>
          <w:lang w:val="en-GB"/>
        </w:rPr>
        <w:footnoteReference w:id="219"/>
      </w:r>
      <w:r w:rsidRPr="00AB69B5">
        <w:rPr>
          <w:color w:val="auto"/>
          <w:sz w:val="22"/>
          <w:szCs w:val="22"/>
          <w:lang w:val="en-GB"/>
        </w:rPr>
        <w:t xml:space="preserve"> At that time, Estonia was part of the Russian Tsarist Empire and according to the laws in force, they were allowed to attend the lectures but not take exams.</w:t>
      </w:r>
      <w:r w:rsidRPr="00AB69B5">
        <w:rPr>
          <w:rStyle w:val="FootnoteReference"/>
          <w:color w:val="auto"/>
          <w:sz w:val="22"/>
          <w:szCs w:val="22"/>
          <w:lang w:val="en-GB"/>
        </w:rPr>
        <w:footnoteReference w:id="220"/>
      </w:r>
      <w:r w:rsidRPr="00AB69B5">
        <w:rPr>
          <w:color w:val="auto"/>
          <w:sz w:val="22"/>
          <w:szCs w:val="22"/>
          <w:lang w:val="en-GB"/>
        </w:rPr>
        <w:t xml:space="preserve"> Still, there was a lot of interest in studying at the university after it was re-opened, so the Faculty of Law turned out to be the largest at the university in the 1920s, with females steadily constituting a third of all students.</w:t>
      </w:r>
    </w:p>
    <w:p w14:paraId="3F538EBF" w14:textId="77777777" w:rsidR="00D935C5" w:rsidRPr="00AB69B5" w:rsidRDefault="00D935C5" w:rsidP="00AB69B5">
      <w:pPr>
        <w:pStyle w:val="Default"/>
        <w:spacing w:line="480" w:lineRule="auto"/>
        <w:jc w:val="both"/>
        <w:rPr>
          <w:color w:val="auto"/>
          <w:sz w:val="22"/>
          <w:szCs w:val="22"/>
          <w:lang w:val="en-GB"/>
        </w:rPr>
      </w:pPr>
    </w:p>
    <w:p w14:paraId="039807BD"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 xml:space="preserve">Yet initially the attitudes in society to female students were not particularly favourable. Quite a few newspapers enjoyed considerable popularity when they printed articles discussing the topic of women at university, especially when the tone of the writing was derogatory and educated women were referred to </w:t>
      </w:r>
      <w:r w:rsidRPr="00AB69B5">
        <w:rPr>
          <w:color w:val="auto"/>
          <w:sz w:val="22"/>
          <w:szCs w:val="22"/>
          <w:lang w:val="en-GB"/>
        </w:rPr>
        <w:lastRenderedPageBreak/>
        <w:t xml:space="preserve">in impertinent terms. For instance, the largest newspaper in Estonia, </w:t>
      </w:r>
      <w:r w:rsidRPr="00AB69B5">
        <w:rPr>
          <w:i/>
          <w:color w:val="auto"/>
          <w:sz w:val="22"/>
          <w:szCs w:val="22"/>
          <w:lang w:val="en-GB"/>
        </w:rPr>
        <w:t>Postimees</w:t>
      </w:r>
      <w:r w:rsidRPr="00AB69B5">
        <w:rPr>
          <w:color w:val="auto"/>
          <w:sz w:val="22"/>
          <w:szCs w:val="22"/>
          <w:lang w:val="en-GB"/>
        </w:rPr>
        <w:t>, wrote that the university had broken the bones of many a man, and who could then expect any better of women?</w:t>
      </w:r>
      <w:r w:rsidRPr="00AB69B5">
        <w:rPr>
          <w:rStyle w:val="FootnoteReference"/>
          <w:color w:val="auto"/>
          <w:sz w:val="22"/>
          <w:szCs w:val="22"/>
          <w:lang w:val="en-GB"/>
        </w:rPr>
        <w:footnoteReference w:id="221"/>
      </w:r>
      <w:r w:rsidRPr="00AB69B5">
        <w:rPr>
          <w:color w:val="auto"/>
          <w:sz w:val="22"/>
          <w:szCs w:val="22"/>
          <w:lang w:val="en-GB"/>
        </w:rPr>
        <w:t xml:space="preserve"> Besides, it was suggested that the university would definitely lead the future mothers and homemakers of Estonia to ruin.</w:t>
      </w:r>
      <w:r w:rsidRPr="00AB69B5">
        <w:rPr>
          <w:rStyle w:val="FootnoteReference"/>
          <w:color w:val="auto"/>
          <w:sz w:val="22"/>
          <w:szCs w:val="22"/>
          <w:lang w:val="en-GB"/>
        </w:rPr>
        <w:footnoteReference w:id="222"/>
      </w:r>
    </w:p>
    <w:p w14:paraId="7A6D82AC" w14:textId="77777777" w:rsidR="00D935C5" w:rsidRPr="00AB69B5" w:rsidRDefault="00D935C5" w:rsidP="00AB69B5">
      <w:pPr>
        <w:pStyle w:val="Default"/>
        <w:spacing w:line="480" w:lineRule="auto"/>
        <w:jc w:val="both"/>
        <w:rPr>
          <w:color w:val="auto"/>
          <w:sz w:val="22"/>
          <w:szCs w:val="22"/>
          <w:lang w:val="en-GB"/>
        </w:rPr>
      </w:pPr>
    </w:p>
    <w:p w14:paraId="563AF658"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Negative opinions prevailed even at the university itself. For example, the professor of Latin, Arthur Brock, considered women unable to acquire languages. That is why at the preliminary exam he asked female students to conjugate the verb “</w:t>
      </w:r>
      <w:r w:rsidRPr="00AB69B5">
        <w:rPr>
          <w:i/>
          <w:color w:val="auto"/>
          <w:sz w:val="22"/>
          <w:szCs w:val="22"/>
          <w:lang w:val="en-GB"/>
        </w:rPr>
        <w:t>amare</w:t>
      </w:r>
      <w:r w:rsidRPr="00AB69B5">
        <w:rPr>
          <w:color w:val="auto"/>
          <w:sz w:val="22"/>
          <w:szCs w:val="22"/>
          <w:lang w:val="en-GB"/>
        </w:rPr>
        <w:t xml:space="preserve">” (to love), sarcastically remarking that that was the only thing women were fit to do! Similarly, some well-known professors deemed teaching women comparable to making bricks without straw because the fairer sex, they said, were incapable of learning; some were convinced that women could not possibly have any </w:t>
      </w:r>
      <w:r w:rsidRPr="00AB69B5">
        <w:rPr>
          <w:sz w:val="22"/>
          <w:szCs w:val="22"/>
        </w:rPr>
        <w:t>high intellectual capabilities</w:t>
      </w:r>
      <w:r w:rsidRPr="00AB69B5">
        <w:rPr>
          <w:color w:val="auto"/>
          <w:sz w:val="22"/>
          <w:szCs w:val="22"/>
          <w:lang w:val="en-GB"/>
        </w:rPr>
        <w:t>, and women are, anyway, only good for doing the work around the house and taking care of the family.</w:t>
      </w:r>
      <w:r w:rsidRPr="00AB69B5">
        <w:rPr>
          <w:rStyle w:val="FootnoteReference"/>
          <w:color w:val="auto"/>
          <w:sz w:val="22"/>
          <w:szCs w:val="22"/>
          <w:lang w:val="en-GB"/>
        </w:rPr>
        <w:footnoteReference w:id="223"/>
      </w:r>
    </w:p>
    <w:p w14:paraId="2F098388" w14:textId="77777777" w:rsidR="00D935C5" w:rsidRPr="00AB69B5" w:rsidRDefault="00D935C5" w:rsidP="00AB69B5">
      <w:pPr>
        <w:pStyle w:val="Default"/>
        <w:spacing w:line="480" w:lineRule="auto"/>
        <w:jc w:val="both"/>
        <w:rPr>
          <w:color w:val="auto"/>
          <w:sz w:val="22"/>
          <w:szCs w:val="22"/>
          <w:lang w:val="en-GB"/>
        </w:rPr>
      </w:pPr>
    </w:p>
    <w:p w14:paraId="1B07D206"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Speaking of legislation, the adoption of the Constitution of the Republic of Estonia in 1920 abolished all prerogatives and discrimination based on sex, ensuring equal rights for men and women.</w:t>
      </w:r>
      <w:r w:rsidRPr="00AB69B5">
        <w:rPr>
          <w:rStyle w:val="FootnoteReference"/>
          <w:color w:val="auto"/>
          <w:sz w:val="22"/>
          <w:szCs w:val="22"/>
          <w:lang w:val="en-GB"/>
        </w:rPr>
        <w:footnoteReference w:id="224"/>
      </w:r>
      <w:r w:rsidRPr="00AB69B5">
        <w:rPr>
          <w:color w:val="auto"/>
          <w:sz w:val="22"/>
          <w:szCs w:val="22"/>
          <w:lang w:val="en-GB"/>
        </w:rPr>
        <w:t xml:space="preserve"> In 1925 the University of Tartu Act was passed, and its section 78 stipulated: “In every faculty, as students of the University of Tartu persons of both sexes shall be enrolled, provided they are at least 17 years of age and have finished, as a prerequisite for entering the university, a secondary school or an equivalent educational institution approved by the Ministry of Education, or passed the required exams”.</w:t>
      </w:r>
      <w:r w:rsidRPr="00AB69B5">
        <w:rPr>
          <w:rStyle w:val="FootnoteReference"/>
          <w:color w:val="auto"/>
          <w:sz w:val="22"/>
          <w:szCs w:val="22"/>
          <w:lang w:val="en-GB"/>
        </w:rPr>
        <w:footnoteReference w:id="225"/>
      </w:r>
      <w:r w:rsidRPr="00AB69B5">
        <w:rPr>
          <w:color w:val="auto"/>
          <w:sz w:val="22"/>
          <w:szCs w:val="22"/>
          <w:lang w:val="en-GB"/>
        </w:rPr>
        <w:t xml:space="preserve"> Exams in this context means that, at the beginning of the 1920s, as a result of the variety of curricula adopted by </w:t>
      </w:r>
      <w:r w:rsidRPr="00AB69B5">
        <w:rPr>
          <w:color w:val="auto"/>
          <w:sz w:val="22"/>
          <w:szCs w:val="22"/>
          <w:lang w:val="en-GB"/>
        </w:rPr>
        <w:lastRenderedPageBreak/>
        <w:t>gymnasiums for girls, female student candidates were required to pass additional exams in Russian, mathematics, physics and Latin.</w:t>
      </w:r>
    </w:p>
    <w:p w14:paraId="1610ECF3" w14:textId="77777777" w:rsidR="00D935C5" w:rsidRPr="00AB69B5" w:rsidRDefault="00D935C5" w:rsidP="00AB69B5">
      <w:pPr>
        <w:pStyle w:val="Default"/>
        <w:spacing w:line="480" w:lineRule="auto"/>
        <w:jc w:val="both"/>
        <w:rPr>
          <w:color w:val="auto"/>
          <w:sz w:val="22"/>
          <w:szCs w:val="22"/>
          <w:lang w:val="en-GB"/>
        </w:rPr>
      </w:pPr>
    </w:p>
    <w:p w14:paraId="225EE5AB" w14:textId="77777777" w:rsidR="00D935C5" w:rsidRPr="00AB69B5" w:rsidRDefault="00D935C5" w:rsidP="00AB69B5">
      <w:pPr>
        <w:pStyle w:val="Default"/>
        <w:spacing w:line="480" w:lineRule="auto"/>
        <w:jc w:val="both"/>
        <w:rPr>
          <w:color w:val="auto"/>
          <w:sz w:val="22"/>
          <w:szCs w:val="22"/>
          <w:lang w:val="en-GB"/>
        </w:rPr>
      </w:pPr>
    </w:p>
    <w:p w14:paraId="2D9D9E39" w14:textId="77777777" w:rsidR="00D935C5" w:rsidRPr="00AB69B5" w:rsidRDefault="00D935C5" w:rsidP="00AB69B5">
      <w:pPr>
        <w:pStyle w:val="Default"/>
        <w:spacing w:line="480" w:lineRule="auto"/>
        <w:jc w:val="both"/>
        <w:rPr>
          <w:b/>
          <w:color w:val="auto"/>
          <w:sz w:val="22"/>
          <w:szCs w:val="22"/>
          <w:lang w:val="en-GB"/>
        </w:rPr>
      </w:pPr>
      <w:r w:rsidRPr="00AB69B5">
        <w:rPr>
          <w:b/>
          <w:color w:val="auto"/>
          <w:sz w:val="22"/>
          <w:szCs w:val="22"/>
          <w:lang w:val="en-GB"/>
        </w:rPr>
        <w:t>Female Students in Faculty of Law</w:t>
      </w:r>
    </w:p>
    <w:p w14:paraId="12CBC707" w14:textId="77777777" w:rsidR="00D935C5" w:rsidRPr="00AB69B5" w:rsidRDefault="00D935C5" w:rsidP="00AB69B5">
      <w:pPr>
        <w:pStyle w:val="Default"/>
        <w:spacing w:line="480" w:lineRule="auto"/>
        <w:jc w:val="both"/>
        <w:rPr>
          <w:b/>
          <w:color w:val="auto"/>
          <w:sz w:val="22"/>
          <w:szCs w:val="22"/>
          <w:lang w:val="en-GB"/>
        </w:rPr>
      </w:pPr>
    </w:p>
    <w:p w14:paraId="2E9F149C" w14:textId="77777777" w:rsidR="00D935C5" w:rsidRPr="00AB69B5" w:rsidRDefault="00D935C5" w:rsidP="00AB69B5">
      <w:pPr>
        <w:pStyle w:val="Default"/>
        <w:spacing w:line="480" w:lineRule="auto"/>
        <w:jc w:val="both"/>
        <w:rPr>
          <w:sz w:val="22"/>
          <w:szCs w:val="22"/>
          <w:lang w:val="en-GB"/>
        </w:rPr>
      </w:pPr>
      <w:r w:rsidRPr="00AB69B5">
        <w:rPr>
          <w:color w:val="auto"/>
          <w:sz w:val="22"/>
          <w:szCs w:val="22"/>
          <w:lang w:val="en-GB"/>
        </w:rPr>
        <w:t>My investigation has revealed that 638 female students studied in the Faculty of Law at the University of Tartu. However, only 143 graduated with a diploma,</w:t>
      </w:r>
      <w:r w:rsidRPr="00AB69B5">
        <w:rPr>
          <w:rStyle w:val="FootnoteReference"/>
          <w:color w:val="auto"/>
          <w:sz w:val="22"/>
          <w:szCs w:val="22"/>
          <w:lang w:val="en-GB"/>
        </w:rPr>
        <w:footnoteReference w:id="226"/>
      </w:r>
      <w:r w:rsidRPr="00AB69B5">
        <w:rPr>
          <w:color w:val="auto"/>
          <w:sz w:val="22"/>
          <w:szCs w:val="22"/>
          <w:lang w:val="en-GB"/>
        </w:rPr>
        <w:t xml:space="preserve"> including 28 </w:t>
      </w:r>
      <w:r w:rsidRPr="00AB69B5">
        <w:rPr>
          <w:i/>
          <w:iCs/>
          <w:color w:val="auto"/>
          <w:sz w:val="22"/>
          <w:szCs w:val="22"/>
          <w:lang w:val="en-GB"/>
        </w:rPr>
        <w:t>cum laude</w:t>
      </w:r>
      <w:r w:rsidRPr="00AB69B5">
        <w:rPr>
          <w:color w:val="auto"/>
          <w:sz w:val="22"/>
          <w:szCs w:val="22"/>
          <w:lang w:val="en-GB"/>
        </w:rPr>
        <w:t>. The only woman who gained the master’s degree (</w:t>
      </w:r>
      <w:r w:rsidRPr="00AB69B5">
        <w:rPr>
          <w:i/>
          <w:color w:val="auto"/>
          <w:sz w:val="22"/>
          <w:szCs w:val="22"/>
          <w:lang w:val="en-GB"/>
        </w:rPr>
        <w:t>mag. iur</w:t>
      </w:r>
      <w:r w:rsidRPr="00AB69B5">
        <w:rPr>
          <w:color w:val="auto"/>
          <w:sz w:val="22"/>
          <w:szCs w:val="22"/>
          <w:lang w:val="en-GB"/>
        </w:rPr>
        <w:t xml:space="preserve">.) during this period was Wera Poska-Grünthal in 1939. Her Master’s Thesis was entitled “Youth Protection in Labour Law”. </w:t>
      </w:r>
      <w:r w:rsidRPr="00AB69B5">
        <w:rPr>
          <w:sz w:val="22"/>
          <w:szCs w:val="22"/>
          <w:lang w:val="en-GB"/>
        </w:rPr>
        <w:t>After receiving the degree, she started giving lectures in social care legislation as the first female professor of the Faculty of Law in University of Tartu.</w:t>
      </w:r>
    </w:p>
    <w:p w14:paraId="27E67FF0" w14:textId="77777777" w:rsidR="00D935C5" w:rsidRPr="00AB69B5" w:rsidRDefault="00D935C5" w:rsidP="00AB69B5">
      <w:pPr>
        <w:pStyle w:val="Default"/>
        <w:spacing w:line="480" w:lineRule="auto"/>
        <w:jc w:val="both"/>
        <w:rPr>
          <w:sz w:val="22"/>
          <w:szCs w:val="22"/>
          <w:lang w:val="en-GB"/>
        </w:rPr>
      </w:pPr>
    </w:p>
    <w:p w14:paraId="50C6D6CE" w14:textId="77777777" w:rsidR="00D935C5" w:rsidRPr="00AB69B5" w:rsidRDefault="00D935C5" w:rsidP="00AB69B5">
      <w:pPr>
        <w:pStyle w:val="Default"/>
        <w:spacing w:line="480" w:lineRule="auto"/>
        <w:jc w:val="both"/>
        <w:rPr>
          <w:color w:val="auto"/>
          <w:sz w:val="22"/>
          <w:szCs w:val="22"/>
          <w:lang w:val="en-GB"/>
        </w:rPr>
      </w:pPr>
    </w:p>
    <w:p w14:paraId="772B74A6" w14:textId="78E49C41" w:rsidR="00D935C5" w:rsidRPr="00AB69B5" w:rsidRDefault="00D935C5" w:rsidP="00AB69B5">
      <w:pPr>
        <w:pStyle w:val="Default"/>
        <w:spacing w:line="480" w:lineRule="auto"/>
        <w:jc w:val="both"/>
        <w:rPr>
          <w:color w:val="auto"/>
          <w:sz w:val="22"/>
          <w:szCs w:val="22"/>
          <w:lang w:val="en-GB"/>
        </w:rPr>
      </w:pPr>
      <w:r w:rsidRPr="00AB69B5">
        <w:rPr>
          <w:noProof/>
          <w:color w:val="auto"/>
          <w:sz w:val="22"/>
          <w:szCs w:val="22"/>
          <w:lang w:val="en-GB" w:eastAsia="en-GB"/>
        </w:rPr>
        <w:lastRenderedPageBreak/>
        <w:drawing>
          <wp:inline distT="0" distB="0" distL="0" distR="0" wp14:anchorId="32CB2328" wp14:editId="36108D0C">
            <wp:extent cx="2286000" cy="3076486"/>
            <wp:effectExtent l="0" t="0" r="0" b="0"/>
            <wp:docPr id="68615"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5" name="Picture 7"/>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149" cy="3076686"/>
                    </a:xfrm>
                    <a:prstGeom prst="rect">
                      <a:avLst/>
                    </a:prstGeom>
                    <a:noFill/>
                    <a:ln>
                      <a:noFill/>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59270003" w14:textId="77777777" w:rsidR="00D935C5" w:rsidRPr="00AB69B5" w:rsidRDefault="00D935C5" w:rsidP="00AB69B5">
      <w:pPr>
        <w:pStyle w:val="Default"/>
        <w:spacing w:line="480" w:lineRule="auto"/>
        <w:jc w:val="both"/>
        <w:rPr>
          <w:color w:val="auto"/>
          <w:sz w:val="22"/>
          <w:szCs w:val="22"/>
          <w:lang w:val="en-GB"/>
        </w:rPr>
      </w:pPr>
    </w:p>
    <w:p w14:paraId="483848BC" w14:textId="77777777" w:rsidR="00D935C5" w:rsidRPr="00AB69B5" w:rsidRDefault="00D935C5" w:rsidP="00AB69B5">
      <w:pPr>
        <w:pStyle w:val="Default"/>
        <w:spacing w:line="480" w:lineRule="auto"/>
        <w:jc w:val="both"/>
        <w:rPr>
          <w:color w:val="auto"/>
          <w:sz w:val="22"/>
          <w:szCs w:val="22"/>
          <w:lang w:val="en-GB"/>
        </w:rPr>
      </w:pPr>
      <w:r w:rsidRPr="00AB69B5">
        <w:rPr>
          <w:b/>
          <w:color w:val="auto"/>
          <w:sz w:val="22"/>
          <w:szCs w:val="22"/>
          <w:lang w:val="en-GB"/>
        </w:rPr>
        <w:t xml:space="preserve">Picture 1: </w:t>
      </w:r>
      <w:r w:rsidRPr="00AB69B5">
        <w:rPr>
          <w:color w:val="auto"/>
          <w:sz w:val="22"/>
          <w:szCs w:val="22"/>
          <w:lang w:val="en-GB"/>
        </w:rPr>
        <w:t>Wera Poska-Grünthal was the only woman who gained the master’s degree (</w:t>
      </w:r>
      <w:r w:rsidRPr="00AB69B5">
        <w:rPr>
          <w:i/>
          <w:color w:val="auto"/>
          <w:sz w:val="22"/>
          <w:szCs w:val="22"/>
          <w:lang w:val="en-GB"/>
        </w:rPr>
        <w:t>mag. iur</w:t>
      </w:r>
      <w:r w:rsidRPr="00AB69B5">
        <w:rPr>
          <w:color w:val="auto"/>
          <w:sz w:val="22"/>
          <w:szCs w:val="22"/>
          <w:lang w:val="en-GB"/>
        </w:rPr>
        <w:t>.) degree in 1939.</w:t>
      </w:r>
    </w:p>
    <w:p w14:paraId="324B1F60" w14:textId="77777777" w:rsidR="00D935C5" w:rsidRPr="00AB69B5" w:rsidRDefault="00D935C5" w:rsidP="00AB69B5">
      <w:pPr>
        <w:pStyle w:val="Default"/>
        <w:spacing w:line="480" w:lineRule="auto"/>
        <w:jc w:val="both"/>
        <w:rPr>
          <w:color w:val="auto"/>
          <w:sz w:val="22"/>
          <w:szCs w:val="22"/>
          <w:lang w:val="en-GB"/>
        </w:rPr>
      </w:pPr>
    </w:p>
    <w:p w14:paraId="06FF7FDE"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 xml:space="preserve">There were women who besides the law studied other subjects as well, some up to four. And even in those specialities there were a few women who received a degree. For example, women studied agricultural sciences, history and languages, as well as pharmacy, philosophy, commerce, chemistry, natural science, economics, mathematics, medicine and veterinary. </w:t>
      </w:r>
      <w:r w:rsidRPr="00AB69B5">
        <w:rPr>
          <w:sz w:val="22"/>
          <w:szCs w:val="22"/>
          <w:lang w:val="en-GB"/>
        </w:rPr>
        <w:t>They studied these specialities at Tartu, as well as at foreign universities in Germany, Sweden, Russia, Latvia, Switzerland and Austria.</w:t>
      </w:r>
    </w:p>
    <w:p w14:paraId="12D920E6" w14:textId="77777777" w:rsidR="00D935C5" w:rsidRPr="00AB69B5" w:rsidRDefault="00D935C5" w:rsidP="00AB69B5">
      <w:pPr>
        <w:pStyle w:val="Default"/>
        <w:spacing w:line="480" w:lineRule="auto"/>
        <w:jc w:val="both"/>
        <w:rPr>
          <w:color w:val="auto"/>
          <w:sz w:val="22"/>
          <w:szCs w:val="22"/>
          <w:lang w:val="en-GB"/>
        </w:rPr>
      </w:pPr>
    </w:p>
    <w:p w14:paraId="2ECFC257" w14:textId="77777777" w:rsidR="00D935C5" w:rsidRPr="00AB69B5" w:rsidRDefault="00D935C5" w:rsidP="00AB69B5">
      <w:pPr>
        <w:pStyle w:val="Default"/>
        <w:spacing w:line="480" w:lineRule="auto"/>
        <w:jc w:val="both"/>
        <w:rPr>
          <w:color w:val="auto"/>
          <w:sz w:val="22"/>
          <w:szCs w:val="22"/>
          <w:lang w:val="en-GB"/>
        </w:rPr>
      </w:pPr>
      <w:r w:rsidRPr="00AB69B5">
        <w:rPr>
          <w:sz w:val="22"/>
          <w:szCs w:val="22"/>
          <w:lang w:val="en-GB"/>
        </w:rPr>
        <w:t>Research shows that the first female law students were hungry for knowledge and very active in society. A number of them belonged to various student organizations and sororities. Several female law students participated in the activities of the Estonian Association of University Women.</w:t>
      </w:r>
      <w:r w:rsidRPr="00AB69B5">
        <w:rPr>
          <w:rStyle w:val="FootnoteReference"/>
          <w:sz w:val="22"/>
          <w:szCs w:val="22"/>
          <w:lang w:val="en-GB"/>
        </w:rPr>
        <w:footnoteReference w:id="227"/>
      </w:r>
    </w:p>
    <w:p w14:paraId="735F5294" w14:textId="77777777" w:rsidR="00D935C5" w:rsidRPr="00AB69B5" w:rsidRDefault="00D935C5" w:rsidP="00AB69B5">
      <w:pPr>
        <w:pStyle w:val="Default"/>
        <w:spacing w:line="480" w:lineRule="auto"/>
        <w:jc w:val="both"/>
        <w:rPr>
          <w:color w:val="auto"/>
          <w:sz w:val="22"/>
          <w:szCs w:val="22"/>
          <w:lang w:val="en-GB"/>
        </w:rPr>
      </w:pPr>
      <w:r w:rsidRPr="00AB69B5">
        <w:rPr>
          <w:noProof/>
          <w:color w:val="auto"/>
          <w:sz w:val="22"/>
          <w:szCs w:val="22"/>
          <w:lang w:val="en-GB" w:eastAsia="en-GB"/>
        </w:rPr>
        <w:lastRenderedPageBreak/>
        <w:drawing>
          <wp:inline distT="0" distB="0" distL="0" distR="0" wp14:anchorId="33FFE532" wp14:editId="7B086EDA">
            <wp:extent cx="5486400" cy="32004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EFE2D7" w14:textId="77777777" w:rsidR="00D935C5" w:rsidRPr="00AB69B5" w:rsidRDefault="00D935C5" w:rsidP="00AB69B5">
      <w:pPr>
        <w:pStyle w:val="Default"/>
        <w:spacing w:line="480" w:lineRule="auto"/>
        <w:jc w:val="both"/>
        <w:rPr>
          <w:color w:val="auto"/>
          <w:sz w:val="22"/>
          <w:szCs w:val="22"/>
          <w:lang w:val="en-GB"/>
        </w:rPr>
      </w:pPr>
    </w:p>
    <w:p w14:paraId="4FDE1B4F" w14:textId="77777777" w:rsidR="00D935C5" w:rsidRPr="00AB69B5" w:rsidRDefault="00D935C5" w:rsidP="00AB69B5">
      <w:pPr>
        <w:autoSpaceDE w:val="0"/>
        <w:autoSpaceDN w:val="0"/>
        <w:adjustRightInd w:val="0"/>
        <w:spacing w:line="480" w:lineRule="auto"/>
        <w:jc w:val="both"/>
        <w:rPr>
          <w:rFonts w:ascii="Times New Roman" w:hAnsi="Times New Roman" w:cs="Times New Roman"/>
          <w:b/>
        </w:rPr>
      </w:pPr>
      <w:r w:rsidRPr="00AB69B5">
        <w:rPr>
          <w:rFonts w:ascii="Times New Roman" w:hAnsi="Times New Roman" w:cs="Times New Roman"/>
          <w:b/>
        </w:rPr>
        <w:t xml:space="preserve">Graph 1: </w:t>
      </w:r>
      <w:r w:rsidRPr="00AB69B5">
        <w:rPr>
          <w:rFonts w:ascii="Times New Roman" w:hAnsi="Times New Roman" w:cs="Times New Roman"/>
        </w:rPr>
        <w:t>Studies of law and other subjects.</w:t>
      </w:r>
    </w:p>
    <w:p w14:paraId="16CA914D" w14:textId="77777777" w:rsidR="00D935C5" w:rsidRPr="00AB69B5" w:rsidRDefault="00D935C5" w:rsidP="00AB69B5">
      <w:pPr>
        <w:spacing w:line="480" w:lineRule="auto"/>
        <w:jc w:val="both"/>
        <w:rPr>
          <w:rFonts w:ascii="Times New Roman" w:hAnsi="Times New Roman" w:cs="Times New Roman"/>
        </w:rPr>
      </w:pPr>
    </w:p>
    <w:p w14:paraId="7434E427" w14:textId="77777777" w:rsidR="00D935C5" w:rsidRPr="00AB69B5" w:rsidRDefault="00D935C5" w:rsidP="00AB69B5">
      <w:pPr>
        <w:spacing w:line="480" w:lineRule="auto"/>
        <w:jc w:val="both"/>
        <w:rPr>
          <w:rFonts w:ascii="Times New Roman" w:hAnsi="Times New Roman" w:cs="Times New Roman"/>
        </w:rPr>
      </w:pPr>
      <w:r w:rsidRPr="00AB69B5">
        <w:rPr>
          <w:rFonts w:ascii="Times New Roman" w:hAnsi="Times New Roman" w:cs="Times New Roman"/>
        </w:rPr>
        <w:t xml:space="preserve">Most of them were also feminists fighting for the rights and freedoms of women. For instance, in 1928 the alumnae and students of the Faculty of Law took part in the First Congress of Social Work in Paris and were also the founding members of an international union for female jurists </w:t>
      </w:r>
      <w:r w:rsidRPr="00AB69B5">
        <w:rPr>
          <w:rFonts w:ascii="Times New Roman" w:hAnsi="Times New Roman" w:cs="Times New Roman"/>
          <w:i/>
        </w:rPr>
        <w:t>Fédération Internationale des Femmes des Carrières Juridiques</w:t>
      </w:r>
      <w:r w:rsidRPr="00AB69B5">
        <w:rPr>
          <w:rFonts w:ascii="Times New Roman" w:hAnsi="Times New Roman" w:cs="Times New Roman"/>
        </w:rPr>
        <w:t>.</w:t>
      </w:r>
      <w:r w:rsidRPr="00AB69B5">
        <w:rPr>
          <w:rStyle w:val="FootnoteReference"/>
          <w:rFonts w:ascii="Times New Roman" w:hAnsi="Times New Roman" w:cs="Times New Roman"/>
        </w:rPr>
        <w:footnoteReference w:id="228"/>
      </w:r>
      <w:r w:rsidRPr="00AB69B5">
        <w:rPr>
          <w:rFonts w:ascii="Times New Roman" w:hAnsi="Times New Roman" w:cs="Times New Roman"/>
        </w:rPr>
        <w:t xml:space="preserve"> In 1939 they participated in the international conference in Stockholm organised by the </w:t>
      </w:r>
      <w:bookmarkStart w:id="1" w:name="OLE_LINK1"/>
      <w:bookmarkStart w:id="2" w:name="OLE_LINK2"/>
      <w:r w:rsidRPr="00AB69B5">
        <w:rPr>
          <w:rFonts w:ascii="Times New Roman" w:hAnsi="Times New Roman" w:cs="Times New Roman"/>
        </w:rPr>
        <w:t>International Federation of University Women (IFUW)</w:t>
      </w:r>
      <w:bookmarkEnd w:id="1"/>
      <w:bookmarkEnd w:id="2"/>
      <w:r w:rsidRPr="00AB69B5">
        <w:rPr>
          <w:rFonts w:ascii="Times New Roman" w:hAnsi="Times New Roman" w:cs="Times New Roman"/>
        </w:rPr>
        <w:t>.</w:t>
      </w:r>
      <w:r w:rsidRPr="00AB69B5">
        <w:rPr>
          <w:rStyle w:val="FootnoteReference"/>
          <w:rFonts w:ascii="Times New Roman" w:hAnsi="Times New Roman" w:cs="Times New Roman"/>
        </w:rPr>
        <w:footnoteReference w:id="229"/>
      </w:r>
    </w:p>
    <w:p w14:paraId="2C219A50" w14:textId="77777777" w:rsidR="00D935C5" w:rsidRPr="00AB69B5" w:rsidRDefault="00D935C5" w:rsidP="00AB69B5">
      <w:pPr>
        <w:pStyle w:val="Default"/>
        <w:spacing w:line="480" w:lineRule="auto"/>
        <w:jc w:val="both"/>
        <w:rPr>
          <w:color w:val="auto"/>
          <w:sz w:val="22"/>
          <w:szCs w:val="22"/>
          <w:lang w:val="en-GB"/>
        </w:rPr>
      </w:pPr>
    </w:p>
    <w:p w14:paraId="2029C981" w14:textId="77777777" w:rsidR="00D935C5" w:rsidRPr="00AB69B5" w:rsidRDefault="00D935C5" w:rsidP="00AB69B5">
      <w:pPr>
        <w:pStyle w:val="Default"/>
        <w:spacing w:line="480" w:lineRule="auto"/>
        <w:jc w:val="both"/>
        <w:rPr>
          <w:color w:val="auto"/>
          <w:sz w:val="22"/>
          <w:szCs w:val="22"/>
          <w:lang w:val="en-GB"/>
        </w:rPr>
      </w:pPr>
    </w:p>
    <w:p w14:paraId="7E24168D" w14:textId="77777777" w:rsidR="00D935C5" w:rsidRPr="00AB69B5" w:rsidRDefault="00D935C5" w:rsidP="00AB69B5">
      <w:pPr>
        <w:pStyle w:val="Default"/>
        <w:spacing w:line="480" w:lineRule="auto"/>
        <w:jc w:val="both"/>
        <w:rPr>
          <w:b/>
          <w:color w:val="auto"/>
          <w:sz w:val="22"/>
          <w:szCs w:val="22"/>
          <w:lang w:val="en-GB"/>
        </w:rPr>
      </w:pPr>
      <w:r w:rsidRPr="00AB69B5">
        <w:rPr>
          <w:b/>
          <w:color w:val="auto"/>
          <w:sz w:val="22"/>
          <w:szCs w:val="22"/>
          <w:lang w:val="en-GB"/>
        </w:rPr>
        <w:t>Career perspectives</w:t>
      </w:r>
    </w:p>
    <w:p w14:paraId="4982245F" w14:textId="77777777" w:rsidR="00D935C5" w:rsidRPr="00AB69B5" w:rsidRDefault="00D935C5" w:rsidP="00AB69B5">
      <w:pPr>
        <w:pStyle w:val="Default"/>
        <w:spacing w:line="480" w:lineRule="auto"/>
        <w:jc w:val="both"/>
        <w:rPr>
          <w:b/>
          <w:color w:val="auto"/>
          <w:sz w:val="22"/>
          <w:szCs w:val="22"/>
          <w:lang w:val="en-GB"/>
        </w:rPr>
      </w:pPr>
    </w:p>
    <w:p w14:paraId="20BA21D0" w14:textId="754B646B"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What became of those fine daring female law students? Although there is no information available about many of them, relying on the information that does exist we can conclude that their destinies were diverse and colourful. Many women who started studying law never took the final exams, so they did not receive a diploma.</w:t>
      </w:r>
    </w:p>
    <w:p w14:paraId="1FAFDF1D" w14:textId="77777777" w:rsidR="00D935C5" w:rsidRPr="00AB69B5" w:rsidRDefault="00D935C5" w:rsidP="00AB69B5">
      <w:pPr>
        <w:pStyle w:val="Default"/>
        <w:spacing w:line="480" w:lineRule="auto"/>
        <w:jc w:val="both"/>
        <w:rPr>
          <w:color w:val="auto"/>
          <w:sz w:val="22"/>
          <w:szCs w:val="22"/>
          <w:lang w:val="en-GB"/>
        </w:rPr>
      </w:pPr>
    </w:p>
    <w:p w14:paraId="390F1801"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218 women (i.e., 34%) did not start a professional career in their chosen field and the “Album Academicum” lacks information about 335 women (53%). It is likely that many of them decided against an academic career in favour of family life and they probably stayed home, raising children. Naturally, there were those who had other interests and worked in other fields. Some of them became doctors, some outstanding musicians or successful sportswomen.</w:t>
      </w:r>
    </w:p>
    <w:p w14:paraId="1318A83F" w14:textId="77777777" w:rsidR="00D935C5" w:rsidRPr="00AB69B5" w:rsidRDefault="00D935C5" w:rsidP="00AB69B5">
      <w:pPr>
        <w:pStyle w:val="Default"/>
        <w:spacing w:line="480" w:lineRule="auto"/>
        <w:jc w:val="both"/>
        <w:rPr>
          <w:color w:val="auto"/>
          <w:sz w:val="22"/>
          <w:szCs w:val="22"/>
          <w:lang w:val="en-GB"/>
        </w:rPr>
      </w:pPr>
      <w:r w:rsidRPr="00AB69B5">
        <w:rPr>
          <w:noProof/>
          <w:color w:val="auto"/>
          <w:sz w:val="22"/>
          <w:szCs w:val="22"/>
          <w:lang w:val="en-GB" w:eastAsia="en-GB"/>
        </w:rPr>
        <w:drawing>
          <wp:inline distT="0" distB="0" distL="0" distR="0" wp14:anchorId="0D918A2C" wp14:editId="236E7FE5">
            <wp:extent cx="5486400" cy="32004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FB301C" w14:textId="77777777" w:rsidR="00D935C5" w:rsidRPr="00AB69B5" w:rsidRDefault="00D935C5" w:rsidP="00AB69B5">
      <w:pPr>
        <w:pStyle w:val="Default"/>
        <w:spacing w:line="480" w:lineRule="auto"/>
        <w:jc w:val="both"/>
        <w:rPr>
          <w:color w:val="auto"/>
          <w:sz w:val="22"/>
          <w:szCs w:val="22"/>
          <w:lang w:val="en-GB"/>
        </w:rPr>
      </w:pPr>
    </w:p>
    <w:p w14:paraId="467176FE" w14:textId="77777777" w:rsidR="00D935C5" w:rsidRPr="00AB69B5" w:rsidRDefault="00D935C5" w:rsidP="00AB69B5">
      <w:pPr>
        <w:pStyle w:val="Default"/>
        <w:spacing w:line="480" w:lineRule="auto"/>
        <w:jc w:val="both"/>
        <w:rPr>
          <w:color w:val="auto"/>
          <w:sz w:val="22"/>
          <w:szCs w:val="22"/>
          <w:lang w:val="en-GB"/>
        </w:rPr>
      </w:pPr>
      <w:r w:rsidRPr="00AB69B5">
        <w:rPr>
          <w:b/>
          <w:color w:val="auto"/>
          <w:sz w:val="22"/>
          <w:szCs w:val="22"/>
          <w:lang w:val="en-GB"/>
        </w:rPr>
        <w:t xml:space="preserve">Graph 2: </w:t>
      </w:r>
      <w:r w:rsidRPr="00AB69B5">
        <w:rPr>
          <w:color w:val="auto"/>
          <w:sz w:val="22"/>
          <w:szCs w:val="22"/>
          <w:lang w:val="en-GB"/>
        </w:rPr>
        <w:t>Career after studies.</w:t>
      </w:r>
    </w:p>
    <w:p w14:paraId="09EEB96E" w14:textId="77777777" w:rsidR="00D935C5" w:rsidRPr="00AB69B5" w:rsidRDefault="00D935C5" w:rsidP="00AB69B5">
      <w:pPr>
        <w:pStyle w:val="Default"/>
        <w:spacing w:line="480" w:lineRule="auto"/>
        <w:jc w:val="both"/>
        <w:rPr>
          <w:color w:val="auto"/>
          <w:sz w:val="22"/>
          <w:szCs w:val="22"/>
          <w:lang w:val="en-GB"/>
        </w:rPr>
      </w:pPr>
    </w:p>
    <w:p w14:paraId="264C6B8F" w14:textId="77777777" w:rsidR="00D935C5" w:rsidRPr="00AB69B5" w:rsidRDefault="00D935C5" w:rsidP="00AB69B5">
      <w:pPr>
        <w:pStyle w:val="Default"/>
        <w:spacing w:line="480" w:lineRule="auto"/>
        <w:jc w:val="both"/>
        <w:rPr>
          <w:color w:val="auto"/>
          <w:sz w:val="22"/>
          <w:szCs w:val="22"/>
          <w:lang w:val="en-GB"/>
        </w:rPr>
      </w:pPr>
    </w:p>
    <w:p w14:paraId="5CC70212"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 xml:space="preserve">Only 85 (13%) women actually worked in the field of law. All in all 21 women became attorneys at law and 16 became assistants of attorneys at law. Why did so few women choose the attorney’s profession? In order to become an attorney at law and a member of the Estonian Bar Association, the following </w:t>
      </w:r>
      <w:bookmarkStart w:id="3" w:name="OLE_LINK3"/>
      <w:r w:rsidRPr="00AB69B5">
        <w:rPr>
          <w:color w:val="auto"/>
          <w:sz w:val="22"/>
          <w:szCs w:val="22"/>
          <w:lang w:val="en-GB"/>
        </w:rPr>
        <w:t>requirements had to be fulfilled: the candidate had to present a document on the graduation from a higher judicial educational institution and of passing the exam(s) and three letters of recommendation (incl. one by their patron), whereas he/she had to have at least five-year experience of professional work with his/her patron, and had to have participated in at least ten civil or criminal cases</w:t>
      </w:r>
      <w:bookmarkEnd w:id="3"/>
      <w:r w:rsidRPr="00AB69B5">
        <w:rPr>
          <w:color w:val="auto"/>
          <w:sz w:val="22"/>
          <w:szCs w:val="22"/>
          <w:lang w:val="en-GB"/>
        </w:rPr>
        <w:t>.</w:t>
      </w:r>
      <w:r w:rsidRPr="00AB69B5">
        <w:rPr>
          <w:rStyle w:val="FootnoteReference"/>
          <w:color w:val="auto"/>
          <w:sz w:val="22"/>
          <w:szCs w:val="22"/>
          <w:lang w:val="en-GB"/>
        </w:rPr>
        <w:footnoteReference w:id="230"/>
      </w:r>
    </w:p>
    <w:p w14:paraId="59A7646C" w14:textId="77777777" w:rsidR="00D935C5" w:rsidRPr="00AB69B5" w:rsidRDefault="00D935C5" w:rsidP="00AB69B5">
      <w:pPr>
        <w:pStyle w:val="Default"/>
        <w:spacing w:line="480" w:lineRule="auto"/>
        <w:jc w:val="both"/>
        <w:rPr>
          <w:color w:val="auto"/>
          <w:sz w:val="22"/>
          <w:szCs w:val="22"/>
          <w:lang w:val="en-GB"/>
        </w:rPr>
      </w:pPr>
    </w:p>
    <w:p w14:paraId="05C4750E" w14:textId="685851FB" w:rsidR="00D935C5" w:rsidRPr="00AB69B5" w:rsidRDefault="00D935C5" w:rsidP="00AB69B5">
      <w:pPr>
        <w:autoSpaceDE w:val="0"/>
        <w:autoSpaceDN w:val="0"/>
        <w:adjustRightInd w:val="0"/>
        <w:spacing w:line="480" w:lineRule="auto"/>
        <w:jc w:val="both"/>
        <w:rPr>
          <w:rFonts w:ascii="Times New Roman" w:hAnsi="Times New Roman" w:cs="Times New Roman"/>
        </w:rPr>
      </w:pPr>
      <w:r w:rsidRPr="00AB69B5">
        <w:rPr>
          <w:rFonts w:ascii="Times New Roman" w:hAnsi="Times New Roman" w:cs="Times New Roman"/>
        </w:rPr>
        <w:t>In 1920, 43 attorneys at law and 15 assistants had registered themselves.</w:t>
      </w:r>
      <w:r w:rsidRPr="00AB69B5">
        <w:rPr>
          <w:rStyle w:val="FootnoteReference"/>
          <w:rFonts w:ascii="Times New Roman" w:hAnsi="Times New Roman" w:cs="Times New Roman"/>
        </w:rPr>
        <w:footnoteReference w:id="231"/>
      </w:r>
      <w:r w:rsidRPr="00AB69B5">
        <w:rPr>
          <w:rFonts w:ascii="Times New Roman" w:hAnsi="Times New Roman" w:cs="Times New Roman"/>
        </w:rPr>
        <w:t xml:space="preserve"> In 1929, there were 124 attorneys at law and 280 assistants.</w:t>
      </w:r>
      <w:r w:rsidRPr="00AB69B5">
        <w:rPr>
          <w:rStyle w:val="FootnoteReference"/>
          <w:rFonts w:ascii="Times New Roman" w:hAnsi="Times New Roman" w:cs="Times New Roman"/>
        </w:rPr>
        <w:footnoteReference w:id="232"/>
      </w:r>
      <w:r w:rsidRPr="00AB69B5">
        <w:rPr>
          <w:rFonts w:ascii="Times New Roman" w:hAnsi="Times New Roman" w:cs="Times New Roman"/>
        </w:rPr>
        <w:t xml:space="preserve"> The rapid growth of the Estonian Bar Association became a problem. This brought along unemployment and material difficulties and unjust competition and abnormalities related to this, endangering the reputation of the Bar Association. The result was a situation in which pursuant to the decision of the general assembly in 1928 one attorney at law could only have two assistants to ensure actual surveillance of their work. During the first three years the assistant had to work in the office of a patron and deal only with the matters given by the patron. If the assistant had acquired five years of service, within three weeks he/she had to present to the council an application to be admitted as an attorney at law or to get an extension of the length of service, if all requirements had not yet been met.</w:t>
      </w:r>
    </w:p>
    <w:p w14:paraId="5CCB4A30" w14:textId="77777777" w:rsidR="00D935C5" w:rsidRPr="00AB69B5" w:rsidRDefault="00D935C5" w:rsidP="00AB69B5">
      <w:pPr>
        <w:autoSpaceDE w:val="0"/>
        <w:autoSpaceDN w:val="0"/>
        <w:adjustRightInd w:val="0"/>
        <w:spacing w:line="480" w:lineRule="auto"/>
        <w:jc w:val="both"/>
        <w:rPr>
          <w:rFonts w:ascii="Times New Roman" w:hAnsi="Times New Roman" w:cs="Times New Roman"/>
        </w:rPr>
      </w:pPr>
    </w:p>
    <w:p w14:paraId="7DEA04CD" w14:textId="77777777" w:rsidR="00D935C5" w:rsidRPr="00AB69B5" w:rsidRDefault="00D935C5" w:rsidP="00AB69B5">
      <w:pPr>
        <w:autoSpaceDE w:val="0"/>
        <w:autoSpaceDN w:val="0"/>
        <w:adjustRightInd w:val="0"/>
        <w:spacing w:line="480" w:lineRule="auto"/>
        <w:jc w:val="both"/>
        <w:rPr>
          <w:rFonts w:ascii="Times New Roman" w:hAnsi="Times New Roman" w:cs="Times New Roman"/>
        </w:rPr>
      </w:pPr>
      <w:r w:rsidRPr="00AB69B5">
        <w:rPr>
          <w:rFonts w:ascii="Times New Roman" w:hAnsi="Times New Roman" w:cs="Times New Roman"/>
        </w:rPr>
        <w:lastRenderedPageBreak/>
        <w:t>In 1933, there were 213 attorneys at law and 280 assistants, due to which the growth of the Bar Association had to be hindered once again.</w:t>
      </w:r>
      <w:r w:rsidRPr="00AB69B5">
        <w:rPr>
          <w:rStyle w:val="FootnoteReference"/>
          <w:rFonts w:ascii="Times New Roman" w:hAnsi="Times New Roman" w:cs="Times New Roman"/>
        </w:rPr>
        <w:footnoteReference w:id="233"/>
      </w:r>
      <w:r w:rsidRPr="00AB69B5">
        <w:rPr>
          <w:rFonts w:ascii="Times New Roman" w:hAnsi="Times New Roman" w:cs="Times New Roman"/>
        </w:rPr>
        <w:t xml:space="preserve"> This in turn created a situation in which young female lawyers had difficulty finding a patron because there were also many men seeking the same assistant position.</w:t>
      </w:r>
      <w:r w:rsidRPr="00AB69B5">
        <w:rPr>
          <w:rStyle w:val="FootnoteReference"/>
          <w:rFonts w:ascii="Times New Roman" w:hAnsi="Times New Roman" w:cs="Times New Roman"/>
        </w:rPr>
        <w:footnoteReference w:id="234"/>
      </w:r>
      <w:r w:rsidRPr="00AB69B5">
        <w:rPr>
          <w:rFonts w:ascii="Times New Roman" w:hAnsi="Times New Roman" w:cs="Times New Roman"/>
        </w:rPr>
        <w:t xml:space="preserve"> The first female attorneys usually worked in the field of civil law, focusing on family law matters. Several of them also took active part in composing the draft of the new family law in the 1930s.</w:t>
      </w:r>
    </w:p>
    <w:p w14:paraId="15C725DC" w14:textId="77777777" w:rsidR="00D935C5" w:rsidRPr="00AB69B5" w:rsidRDefault="00D935C5" w:rsidP="00AB69B5">
      <w:pPr>
        <w:pStyle w:val="Default"/>
        <w:spacing w:line="480" w:lineRule="auto"/>
        <w:jc w:val="both"/>
        <w:rPr>
          <w:color w:val="auto"/>
          <w:sz w:val="22"/>
          <w:szCs w:val="22"/>
          <w:lang w:val="en-GB"/>
        </w:rPr>
      </w:pPr>
    </w:p>
    <w:p w14:paraId="1404264B"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There was no legal act that would have prohibited women from becoming judges. Yet no female judge was sworn in during the period under scrutiny.</w:t>
      </w:r>
      <w:r w:rsidRPr="00AB69B5">
        <w:rPr>
          <w:rStyle w:val="FootnoteReference"/>
          <w:color w:val="auto"/>
          <w:sz w:val="22"/>
          <w:szCs w:val="22"/>
          <w:lang w:val="en-GB"/>
        </w:rPr>
        <w:footnoteReference w:id="235"/>
      </w:r>
      <w:r w:rsidRPr="00AB69B5">
        <w:rPr>
          <w:color w:val="auto"/>
          <w:sz w:val="22"/>
          <w:szCs w:val="22"/>
          <w:lang w:val="en-GB"/>
        </w:rPr>
        <w:t xml:space="preserve"> The first female judges emerged later, during the Soviet era. Two women, for instance, became members of the Supreme Court of Soviet Estonia and one worked in the District Court. After the names of two women in the “Album Academicum” there is simply the remark “jurist”, and 13 were known to work in other professions in the field of law (such as at the prosecutor’s office at the beginning of the Soviet era). 24 women became office workers in state administrative departments.</w:t>
      </w:r>
    </w:p>
    <w:p w14:paraId="7E3DB5A7" w14:textId="77777777" w:rsidR="00D935C5" w:rsidRPr="00AB69B5" w:rsidRDefault="00D935C5" w:rsidP="00AB69B5">
      <w:pPr>
        <w:pStyle w:val="Default"/>
        <w:spacing w:line="480" w:lineRule="auto"/>
        <w:jc w:val="both"/>
        <w:rPr>
          <w:color w:val="auto"/>
          <w:sz w:val="22"/>
          <w:szCs w:val="22"/>
          <w:lang w:val="en-GB"/>
        </w:rPr>
      </w:pPr>
    </w:p>
    <w:p w14:paraId="206EC088" w14:textId="77777777" w:rsidR="00D935C5" w:rsidRPr="00AB69B5" w:rsidRDefault="00D935C5" w:rsidP="00AB69B5">
      <w:pPr>
        <w:pStyle w:val="Default"/>
        <w:spacing w:line="480" w:lineRule="auto"/>
        <w:jc w:val="both"/>
        <w:rPr>
          <w:color w:val="auto"/>
          <w:sz w:val="22"/>
          <w:szCs w:val="22"/>
          <w:lang w:val="en-GB"/>
        </w:rPr>
      </w:pPr>
    </w:p>
    <w:p w14:paraId="53DCD46E" w14:textId="77777777" w:rsidR="00D935C5" w:rsidRPr="00AB69B5" w:rsidRDefault="00D935C5" w:rsidP="00AB69B5">
      <w:pPr>
        <w:pStyle w:val="Default"/>
        <w:spacing w:line="480" w:lineRule="auto"/>
        <w:jc w:val="both"/>
        <w:rPr>
          <w:b/>
          <w:color w:val="auto"/>
          <w:sz w:val="22"/>
          <w:szCs w:val="22"/>
          <w:lang w:val="en-GB"/>
        </w:rPr>
      </w:pPr>
      <w:r w:rsidRPr="00AB69B5">
        <w:rPr>
          <w:b/>
          <w:color w:val="auto"/>
          <w:sz w:val="22"/>
          <w:szCs w:val="22"/>
          <w:lang w:val="en-GB"/>
        </w:rPr>
        <w:t>Aftermath of World War II</w:t>
      </w:r>
    </w:p>
    <w:p w14:paraId="59CE748C" w14:textId="77777777" w:rsidR="00D935C5" w:rsidRPr="00AB69B5" w:rsidRDefault="00D935C5" w:rsidP="00AB69B5">
      <w:pPr>
        <w:pStyle w:val="Default"/>
        <w:spacing w:line="480" w:lineRule="auto"/>
        <w:jc w:val="both"/>
        <w:rPr>
          <w:b/>
          <w:color w:val="auto"/>
          <w:sz w:val="22"/>
          <w:szCs w:val="22"/>
          <w:lang w:val="en-GB"/>
        </w:rPr>
      </w:pPr>
    </w:p>
    <w:p w14:paraId="605A10F9" w14:textId="1F4E06CB"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It is possible that these female lawyers would have had a completely different fate if World War II had not started. Estonia was occupied by both Germany and Soviet Union. This was accompanied by extensive repressions that did not bypass women in law.</w:t>
      </w:r>
      <w:r w:rsidRPr="00AB69B5">
        <w:rPr>
          <w:rStyle w:val="FootnoteReference"/>
          <w:color w:val="auto"/>
          <w:sz w:val="22"/>
          <w:szCs w:val="22"/>
          <w:lang w:val="en-GB"/>
        </w:rPr>
        <w:footnoteReference w:id="236"/>
      </w:r>
    </w:p>
    <w:p w14:paraId="7A4A12CB" w14:textId="77777777" w:rsidR="00D935C5" w:rsidRPr="00AB69B5" w:rsidRDefault="00D935C5" w:rsidP="00AB69B5">
      <w:pPr>
        <w:pStyle w:val="Default"/>
        <w:spacing w:line="480" w:lineRule="auto"/>
        <w:jc w:val="both"/>
        <w:rPr>
          <w:color w:val="auto"/>
          <w:sz w:val="22"/>
          <w:szCs w:val="22"/>
          <w:lang w:val="en-GB"/>
        </w:rPr>
      </w:pPr>
    </w:p>
    <w:p w14:paraId="06BFFCFF"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In total, 17 females who had studied law were deported to Siberia and four of them died there. Four were executed, three arrested, and one was sentenced to ten years of penal servitude. One woman was imprisoned in 1941 by German occupying forces and held until 1944, after which she was taken to a Soviet prison camp in Murmansk in 1945. One woman was taken to a concentration camp in Stutthof. In order to avoid the coming turmoil, 159 women fled from Estonia immediately before or during World War II. Most of them left for Germany, USA, or Sweden. Some to Canada, England, Australia, France or Denmark. Two women even reached Brazil and one Argentina.</w:t>
      </w:r>
    </w:p>
    <w:p w14:paraId="0E5970DF" w14:textId="77777777" w:rsidR="00D935C5" w:rsidRPr="00AB69B5" w:rsidRDefault="00D935C5" w:rsidP="00AB69B5">
      <w:pPr>
        <w:pStyle w:val="Default"/>
        <w:spacing w:line="480" w:lineRule="auto"/>
        <w:jc w:val="both"/>
        <w:rPr>
          <w:color w:val="auto"/>
          <w:sz w:val="22"/>
          <w:szCs w:val="22"/>
          <w:lang w:val="en-GB"/>
        </w:rPr>
      </w:pPr>
    </w:p>
    <w:p w14:paraId="184BD143"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Many of those who remained in Estonia and managed to avoid arrest or deportation were forced to give up their chosen profession or opt for retraining, so the new authorities organised retraining courses. In the initial years of the Soviet occupation lawyers had to quickly re-orientate themselves to serve the needs of the Estonian Soviet Socialist Republic and the “great homeland”.</w:t>
      </w:r>
    </w:p>
    <w:p w14:paraId="2FA7BE4C" w14:textId="77777777" w:rsidR="00D935C5" w:rsidRPr="00AB69B5" w:rsidRDefault="00D935C5" w:rsidP="00AB69B5">
      <w:pPr>
        <w:pStyle w:val="Default"/>
        <w:spacing w:line="480" w:lineRule="auto"/>
        <w:jc w:val="both"/>
        <w:rPr>
          <w:color w:val="auto"/>
          <w:sz w:val="22"/>
          <w:szCs w:val="22"/>
          <w:lang w:val="en-GB"/>
        </w:rPr>
      </w:pPr>
      <w:r w:rsidRPr="00AB69B5">
        <w:rPr>
          <w:noProof/>
          <w:color w:val="auto"/>
          <w:sz w:val="22"/>
          <w:szCs w:val="22"/>
          <w:lang w:val="en-GB" w:eastAsia="en-GB"/>
        </w:rPr>
        <w:drawing>
          <wp:inline distT="0" distB="0" distL="0" distR="0" wp14:anchorId="612D39B9" wp14:editId="1F0C5DA1">
            <wp:extent cx="5486400" cy="3200400"/>
            <wp:effectExtent l="0" t="0" r="254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3C43F9" w14:textId="77777777" w:rsidR="00D935C5" w:rsidRPr="00AB69B5" w:rsidRDefault="00D935C5" w:rsidP="00AB69B5">
      <w:pPr>
        <w:pStyle w:val="Default"/>
        <w:spacing w:line="480" w:lineRule="auto"/>
        <w:jc w:val="both"/>
        <w:rPr>
          <w:color w:val="auto"/>
          <w:sz w:val="22"/>
          <w:szCs w:val="22"/>
          <w:lang w:val="en-GB"/>
        </w:rPr>
      </w:pPr>
    </w:p>
    <w:p w14:paraId="1008838C" w14:textId="77777777" w:rsidR="00D935C5" w:rsidRPr="00AB69B5" w:rsidRDefault="00D935C5" w:rsidP="00AB69B5">
      <w:pPr>
        <w:pStyle w:val="Default"/>
        <w:spacing w:line="480" w:lineRule="auto"/>
        <w:jc w:val="both"/>
        <w:rPr>
          <w:color w:val="auto"/>
          <w:sz w:val="22"/>
          <w:szCs w:val="22"/>
          <w:lang w:val="en-GB"/>
        </w:rPr>
      </w:pPr>
      <w:r w:rsidRPr="00AB69B5">
        <w:rPr>
          <w:b/>
          <w:color w:val="auto"/>
          <w:sz w:val="22"/>
          <w:szCs w:val="22"/>
          <w:lang w:val="en-GB"/>
        </w:rPr>
        <w:t xml:space="preserve">Graph 3: </w:t>
      </w:r>
      <w:r w:rsidRPr="00AB69B5">
        <w:rPr>
          <w:color w:val="auto"/>
          <w:sz w:val="22"/>
          <w:szCs w:val="22"/>
          <w:lang w:val="en-GB"/>
        </w:rPr>
        <w:t>Female lawyers during and after World War II.</w:t>
      </w:r>
    </w:p>
    <w:p w14:paraId="31AB4E67" w14:textId="77777777" w:rsidR="00D935C5" w:rsidRPr="00AB69B5" w:rsidRDefault="00D935C5" w:rsidP="00AB69B5">
      <w:pPr>
        <w:pStyle w:val="Default"/>
        <w:spacing w:line="480" w:lineRule="auto"/>
        <w:jc w:val="both"/>
        <w:rPr>
          <w:color w:val="auto"/>
          <w:sz w:val="22"/>
          <w:szCs w:val="22"/>
          <w:lang w:val="en-GB"/>
        </w:rPr>
      </w:pPr>
    </w:p>
    <w:p w14:paraId="13EB9645" w14:textId="77777777" w:rsidR="00D935C5" w:rsidRPr="00AB69B5" w:rsidRDefault="00D935C5" w:rsidP="00AB69B5">
      <w:pPr>
        <w:pStyle w:val="Default"/>
        <w:spacing w:line="480" w:lineRule="auto"/>
        <w:jc w:val="both"/>
        <w:rPr>
          <w:color w:val="auto"/>
          <w:sz w:val="22"/>
          <w:szCs w:val="22"/>
          <w:lang w:val="en-GB"/>
        </w:rPr>
      </w:pPr>
      <w:r w:rsidRPr="00AB69B5">
        <w:rPr>
          <w:color w:val="auto"/>
          <w:sz w:val="22"/>
          <w:szCs w:val="22"/>
          <w:lang w:val="en-GB"/>
        </w:rPr>
        <w:t>For instance, already in 1940 courses were organised for lawyers that covered almost all areas of law: civil law and criminal law, civil and criminal procedural law and courts administration, as well as the constitutions of the Soviet Union and Soviet Estonia and the principles of Marxism-Leninism.</w:t>
      </w:r>
    </w:p>
    <w:p w14:paraId="4FF0882B" w14:textId="77777777" w:rsidR="00D935C5" w:rsidRPr="00AB69B5" w:rsidRDefault="00D935C5" w:rsidP="00AB69B5">
      <w:pPr>
        <w:pStyle w:val="Default"/>
        <w:spacing w:line="480" w:lineRule="auto"/>
        <w:jc w:val="both"/>
        <w:rPr>
          <w:color w:val="auto"/>
          <w:sz w:val="22"/>
          <w:szCs w:val="22"/>
          <w:lang w:val="en-GB"/>
        </w:rPr>
      </w:pPr>
    </w:p>
    <w:p w14:paraId="59A4AED0" w14:textId="77777777" w:rsidR="00D935C5" w:rsidRPr="00AB69B5" w:rsidRDefault="00D935C5" w:rsidP="00AB69B5">
      <w:pPr>
        <w:spacing w:line="480" w:lineRule="auto"/>
        <w:jc w:val="both"/>
        <w:rPr>
          <w:rFonts w:ascii="Times New Roman" w:hAnsi="Times New Roman" w:cs="Times New Roman"/>
        </w:rPr>
      </w:pPr>
    </w:p>
    <w:p w14:paraId="1DD34F8F" w14:textId="77777777" w:rsidR="00D935C5" w:rsidRPr="00AB69B5" w:rsidRDefault="00D935C5" w:rsidP="00AB69B5">
      <w:pPr>
        <w:spacing w:line="480" w:lineRule="auto"/>
        <w:jc w:val="both"/>
        <w:rPr>
          <w:rFonts w:ascii="Times New Roman" w:hAnsi="Times New Roman" w:cs="Times New Roman"/>
          <w:b/>
        </w:rPr>
      </w:pPr>
      <w:r w:rsidRPr="00AB69B5">
        <w:rPr>
          <w:rFonts w:ascii="Times New Roman" w:hAnsi="Times New Roman" w:cs="Times New Roman"/>
          <w:b/>
        </w:rPr>
        <w:t>Conclusion</w:t>
      </w:r>
    </w:p>
    <w:p w14:paraId="4E9FED4D" w14:textId="77777777" w:rsidR="00D935C5" w:rsidRPr="00AB69B5" w:rsidRDefault="00D935C5" w:rsidP="00AB69B5">
      <w:pPr>
        <w:spacing w:line="480" w:lineRule="auto"/>
        <w:jc w:val="both"/>
        <w:rPr>
          <w:rFonts w:ascii="Times New Roman" w:hAnsi="Times New Roman" w:cs="Times New Roman"/>
          <w:b/>
        </w:rPr>
      </w:pPr>
    </w:p>
    <w:p w14:paraId="685F8055" w14:textId="026B48D3" w:rsidR="00F24707" w:rsidRDefault="00D935C5" w:rsidP="00AB69B5">
      <w:pPr>
        <w:spacing w:line="480" w:lineRule="auto"/>
        <w:jc w:val="both"/>
        <w:rPr>
          <w:rFonts w:ascii="Times New Roman" w:hAnsi="Times New Roman" w:cs="Times New Roman"/>
        </w:rPr>
      </w:pPr>
      <w:r w:rsidRPr="00AB69B5">
        <w:rPr>
          <w:rFonts w:ascii="Times New Roman" w:hAnsi="Times New Roman" w:cs="Times New Roman"/>
        </w:rPr>
        <w:t>The lives of the women who studied law at University of Tartu were extremely colourful. They worked both in the field of law and other areas, and many were victims of the repressions of the occupying authorities. Even more individuals had to leave their homeland, while those who remained had to find new professions or retrain to work for the state.</w:t>
      </w:r>
    </w:p>
    <w:p w14:paraId="68D56D03" w14:textId="77777777" w:rsidR="00F24707" w:rsidRDefault="00F24707">
      <w:pPr>
        <w:rPr>
          <w:rFonts w:ascii="Times New Roman" w:hAnsi="Times New Roman" w:cs="Times New Roman"/>
        </w:rPr>
      </w:pPr>
      <w:r>
        <w:rPr>
          <w:rFonts w:ascii="Times New Roman" w:hAnsi="Times New Roman" w:cs="Times New Roman"/>
        </w:rPr>
        <w:br w:type="page"/>
      </w:r>
    </w:p>
    <w:p w14:paraId="4DF9C79A" w14:textId="77777777" w:rsidR="00D935C5" w:rsidRPr="00AB69B5" w:rsidRDefault="00D935C5" w:rsidP="00AB69B5">
      <w:pPr>
        <w:spacing w:line="480" w:lineRule="auto"/>
        <w:jc w:val="both"/>
        <w:rPr>
          <w:rFonts w:ascii="Times New Roman" w:hAnsi="Times New Roman" w:cs="Times New Roman"/>
        </w:rPr>
      </w:pPr>
    </w:p>
    <w:p w14:paraId="4E46F436" w14:textId="77777777" w:rsidR="0040104B" w:rsidRDefault="0040104B" w:rsidP="0040104B">
      <w:pPr>
        <w:spacing w:line="480" w:lineRule="auto"/>
        <w:jc w:val="center"/>
        <w:rPr>
          <w:rFonts w:ascii="Times New Roman" w:hAnsi="Times New Roman" w:cs="Times New Roman"/>
          <w:b/>
          <w:sz w:val="28"/>
          <w:szCs w:val="28"/>
        </w:rPr>
      </w:pPr>
      <w:r w:rsidRPr="00FC665A">
        <w:rPr>
          <w:rFonts w:ascii="Times New Roman" w:hAnsi="Times New Roman" w:cs="Times New Roman"/>
          <w:b/>
          <w:sz w:val="28"/>
          <w:szCs w:val="28"/>
        </w:rPr>
        <w:t xml:space="preserve">“Follow the Money” </w:t>
      </w:r>
    </w:p>
    <w:p w14:paraId="13139C6D" w14:textId="77777777" w:rsidR="0040104B" w:rsidRPr="00FC665A" w:rsidRDefault="0040104B" w:rsidP="0040104B">
      <w:pPr>
        <w:spacing w:line="480" w:lineRule="auto"/>
        <w:jc w:val="center"/>
        <w:rPr>
          <w:rFonts w:ascii="Times New Roman" w:hAnsi="Times New Roman" w:cs="Times New Roman"/>
          <w:b/>
          <w:sz w:val="28"/>
          <w:szCs w:val="28"/>
        </w:rPr>
      </w:pPr>
      <w:r w:rsidRPr="00FC665A">
        <w:rPr>
          <w:rFonts w:ascii="Times New Roman" w:hAnsi="Times New Roman" w:cs="Times New Roman"/>
          <w:b/>
          <w:sz w:val="28"/>
          <w:szCs w:val="28"/>
        </w:rPr>
        <w:t>The First Women Who Qualified as Solicitors 1922 -1930</w:t>
      </w:r>
    </w:p>
    <w:p w14:paraId="7264CF25"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Elizabeth Cruickshank</w:t>
      </w:r>
      <w:r>
        <w:rPr>
          <w:rFonts w:ascii="Times New Roman" w:hAnsi="Times New Roman" w:cs="Times New Roman"/>
          <w:b/>
        </w:rPr>
        <w:t>, Solicitor, Historian and Independent Researcher</w:t>
      </w:r>
    </w:p>
    <w:p w14:paraId="206BBE92"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In the eleven years following the enactment of the Sex Disqualification (Removal) Act 1919 (“the 1919 Act”), 101 women qualified as solicitors in England and Wales. This paper considers two questions, apparently in opposi</w:t>
      </w:r>
      <w:r>
        <w:rPr>
          <w:rFonts w:ascii="Times New Roman" w:hAnsi="Times New Roman" w:cs="Times New Roman"/>
        </w:rPr>
        <w:t xml:space="preserve">tion to each other, but </w:t>
      </w:r>
      <w:r w:rsidRPr="00AB69B5">
        <w:rPr>
          <w:rFonts w:ascii="Times New Roman" w:hAnsi="Times New Roman" w:cs="Times New Roman"/>
        </w:rPr>
        <w:t>interconnected. The first is</w:t>
      </w:r>
      <w:r>
        <w:rPr>
          <w:rFonts w:ascii="Times New Roman" w:hAnsi="Times New Roman" w:cs="Times New Roman"/>
        </w:rPr>
        <w:t>:</w:t>
      </w:r>
      <w:r w:rsidRPr="00AB69B5">
        <w:rPr>
          <w:rFonts w:ascii="Times New Roman" w:hAnsi="Times New Roman" w:cs="Times New Roman"/>
        </w:rPr>
        <w:t xml:space="preserve"> what motivated women to take advantage of the 1919 Act to enter a profession previously barred to them and</w:t>
      </w:r>
      <w:r>
        <w:rPr>
          <w:rFonts w:ascii="Times New Roman" w:hAnsi="Times New Roman" w:cs="Times New Roman"/>
        </w:rPr>
        <w:t>,</w:t>
      </w:r>
      <w:r w:rsidRPr="00AB69B5">
        <w:rPr>
          <w:rFonts w:ascii="Times New Roman" w:hAnsi="Times New Roman" w:cs="Times New Roman"/>
        </w:rPr>
        <w:t xml:space="preserve"> why, given the many years of effort required to obtain the passage of that Act, were there not more of them?</w:t>
      </w:r>
    </w:p>
    <w:p w14:paraId="607AB1E4"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This paper examines their educational attainment, including university degrees, their economic and sociological backgrounds, their previous employment, and perhaps most crucially, the occupations of their fathers, in order to assess the range of considerations in their individual decisions to pursue a legal career.</w:t>
      </w:r>
    </w:p>
    <w:p w14:paraId="5E076346" w14:textId="77777777" w:rsidR="0040104B" w:rsidRPr="00AB69B5" w:rsidRDefault="0040104B" w:rsidP="0040104B">
      <w:pPr>
        <w:spacing w:line="480" w:lineRule="auto"/>
        <w:jc w:val="both"/>
        <w:rPr>
          <w:rFonts w:ascii="Times New Roman" w:hAnsi="Times New Roman" w:cs="Times New Roman"/>
          <w:color w:val="FF0000"/>
        </w:rPr>
      </w:pPr>
      <w:r w:rsidRPr="00AB69B5">
        <w:rPr>
          <w:rFonts w:ascii="Times New Roman" w:hAnsi="Times New Roman" w:cs="Times New Roman"/>
        </w:rPr>
        <w:t>The motivation of Maud Crofts, one of the first women qualifiers has been described by her daughter Rosemary Vaughan</w:t>
      </w:r>
      <w:r>
        <w:rPr>
          <w:rFonts w:ascii="Times New Roman" w:hAnsi="Times New Roman" w:cs="Times New Roman"/>
        </w:rPr>
        <w:t>.</w:t>
      </w:r>
      <w:r w:rsidRPr="00AB69B5">
        <w:rPr>
          <w:rStyle w:val="EndnoteReference"/>
          <w:rFonts w:ascii="Times New Roman" w:hAnsi="Times New Roman" w:cs="Times New Roman"/>
        </w:rPr>
        <w:endnoteReference w:id="1"/>
      </w:r>
      <w:r>
        <w:rPr>
          <w:rFonts w:ascii="Times New Roman" w:hAnsi="Times New Roman" w:cs="Times New Roman"/>
        </w:rPr>
        <w:t xml:space="preserve"> </w:t>
      </w:r>
      <w:r w:rsidRPr="00AB69B5">
        <w:rPr>
          <w:rFonts w:ascii="Times New Roman" w:hAnsi="Times New Roman" w:cs="Times New Roman"/>
        </w:rPr>
        <w:t xml:space="preserve"> </w:t>
      </w:r>
      <w:r>
        <w:rPr>
          <w:rFonts w:ascii="Times New Roman" w:hAnsi="Times New Roman" w:cs="Times New Roman"/>
        </w:rPr>
        <w:t>Crofts</w:t>
      </w:r>
      <w:r w:rsidRPr="00AB69B5">
        <w:rPr>
          <w:rFonts w:ascii="Times New Roman" w:hAnsi="Times New Roman" w:cs="Times New Roman"/>
        </w:rPr>
        <w:t xml:space="preserve"> felt strongly that women could obtain social justice and an improved legal position only if they had both the right to vote </w:t>
      </w:r>
      <w:r w:rsidRPr="00AB69B5">
        <w:rPr>
          <w:rFonts w:ascii="Times New Roman" w:hAnsi="Times New Roman" w:cs="Times New Roman"/>
          <w:u w:val="single"/>
        </w:rPr>
        <w:t>and</w:t>
      </w:r>
      <w:r w:rsidRPr="00AB69B5">
        <w:rPr>
          <w:rFonts w:ascii="Times New Roman" w:hAnsi="Times New Roman" w:cs="Times New Roman"/>
        </w:rPr>
        <w:t xml:space="preserve"> the right to be legally represented by those of their own sex, two ambitions almost inextricably intertwined in her thinking. Crofts (as Maud Ingram) was one of the four women whom the Court of Appeal</w:t>
      </w:r>
      <w:r w:rsidRPr="00AB69B5">
        <w:rPr>
          <w:rFonts w:ascii="Times New Roman" w:hAnsi="Times New Roman" w:cs="Times New Roman"/>
          <w:i/>
        </w:rPr>
        <w:t xml:space="preserve"> </w:t>
      </w:r>
      <w:r w:rsidRPr="00AB69B5">
        <w:rPr>
          <w:rFonts w:ascii="Times New Roman" w:hAnsi="Times New Roman" w:cs="Times New Roman"/>
        </w:rPr>
        <w:t>considered in 1914 to be “disqualified” by their gender from sitting the Law Society’s examinations and consequently from qualifying as solicitors.</w:t>
      </w:r>
      <w:r w:rsidRPr="00AB69B5">
        <w:rPr>
          <w:rStyle w:val="EndnoteReference"/>
          <w:rFonts w:ascii="Times New Roman" w:hAnsi="Times New Roman" w:cs="Times New Roman"/>
        </w:rPr>
        <w:endnoteReference w:id="2"/>
      </w:r>
      <w:r w:rsidRPr="00AB69B5">
        <w:rPr>
          <w:rFonts w:ascii="Times New Roman" w:hAnsi="Times New Roman" w:cs="Times New Roman"/>
          <w:i/>
        </w:rPr>
        <w:t xml:space="preserve"> </w:t>
      </w:r>
      <w:r w:rsidRPr="00AB69B5">
        <w:rPr>
          <w:rFonts w:ascii="Times New Roman" w:hAnsi="Times New Roman" w:cs="Times New Roman"/>
        </w:rPr>
        <w:t>The daughter of a barrister, Ingram was the only one of the four, who after the passing of the 1919 Act, in 1923 attained her original ambition of becoming a solicitor.</w:t>
      </w:r>
      <w:r w:rsidRPr="00AB69B5">
        <w:rPr>
          <w:rStyle w:val="EndnoteReference"/>
          <w:rFonts w:ascii="Times New Roman" w:hAnsi="Times New Roman" w:cs="Times New Roman"/>
        </w:rPr>
        <w:endnoteReference w:id="3"/>
      </w:r>
    </w:p>
    <w:p w14:paraId="5C786066"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Money v Ability</w:t>
      </w:r>
    </w:p>
    <w:p w14:paraId="11171F72" w14:textId="77777777" w:rsidR="0040104B" w:rsidRPr="00AB69B5" w:rsidRDefault="0040104B" w:rsidP="0040104B">
      <w:pPr>
        <w:pStyle w:val="NormalWeb"/>
        <w:spacing w:line="480" w:lineRule="auto"/>
        <w:jc w:val="both"/>
        <w:rPr>
          <w:color w:val="FF0000"/>
          <w:sz w:val="22"/>
          <w:szCs w:val="22"/>
        </w:rPr>
      </w:pPr>
      <w:r w:rsidRPr="00AB69B5">
        <w:rPr>
          <w:sz w:val="22"/>
          <w:szCs w:val="22"/>
          <w:lang w:val="en-GB"/>
        </w:rPr>
        <w:lastRenderedPageBreak/>
        <w:t>During the final two decades of the Nineteenth Century and the first two decades of the Twentieth the hostility of many members of the solicitors’ profession to the entry of women to that profession was motivated as much by a concern that the profession was already overcrowded as by real animosity to women.</w:t>
      </w:r>
      <w:r w:rsidRPr="00AB69B5">
        <w:rPr>
          <w:sz w:val="22"/>
          <w:szCs w:val="22"/>
        </w:rPr>
        <w:t xml:space="preserve"> During the Edwardian period, as is still the case, the incomes enjoyed by solicitors covered a wide spectrum. It was possible to enjoy a very comfortable existence in Bristol on £700 per annum, running a family home with two maids, taking two months holiday abroad and accumulating savings at the rate of £200 a year.</w:t>
      </w:r>
      <w:r w:rsidRPr="00AB69B5">
        <w:rPr>
          <w:rStyle w:val="EndnoteReference"/>
          <w:sz w:val="22"/>
          <w:szCs w:val="22"/>
        </w:rPr>
        <w:endnoteReference w:id="4"/>
      </w:r>
      <w:r w:rsidRPr="00AB69B5">
        <w:rPr>
          <w:sz w:val="22"/>
          <w:szCs w:val="22"/>
        </w:rPr>
        <w:t xml:space="preserve"> At one end of the spectrum were astute solicitors such as John Clayton, the Town Clerk of Newcastle, whose shrewd investments substantially increased the income he obtained from his legal work. On his death in 1890 his estate had a probate value of £715,000 acquired more from investment in the development of Newcastle and the North East railway system than from his “regular” earnings as a solicitor.</w:t>
      </w:r>
      <w:r w:rsidRPr="00AB69B5">
        <w:rPr>
          <w:rStyle w:val="EndnoteReference"/>
          <w:sz w:val="22"/>
          <w:szCs w:val="22"/>
        </w:rPr>
        <w:endnoteReference w:id="5"/>
      </w:r>
    </w:p>
    <w:p w14:paraId="3F1E0B97" w14:textId="77777777" w:rsidR="0040104B" w:rsidRPr="00AB69B5" w:rsidRDefault="0040104B" w:rsidP="0040104B">
      <w:pPr>
        <w:pStyle w:val="NormalWeb"/>
        <w:spacing w:line="480" w:lineRule="auto"/>
        <w:jc w:val="both"/>
        <w:rPr>
          <w:color w:val="FF0000"/>
          <w:sz w:val="22"/>
          <w:szCs w:val="22"/>
        </w:rPr>
      </w:pPr>
      <w:r w:rsidRPr="00AB69B5">
        <w:rPr>
          <w:sz w:val="22"/>
          <w:szCs w:val="22"/>
        </w:rPr>
        <w:t xml:space="preserve">For many solicitors the financial rewards were starkly different. A quarter of solicitors had incomes of less than £185 per annum, half were earning £390 per annum or less and 20% of all solicitors were managing clerks earning the same or less as experienced unadmitted men; not being partners, they were paid salaries with no stake in the profits of their firm either on an annual basis or when they retired. </w:t>
      </w:r>
      <w:r w:rsidRPr="00AB69B5">
        <w:rPr>
          <w:rStyle w:val="EndnoteReference"/>
          <w:sz w:val="22"/>
          <w:szCs w:val="22"/>
        </w:rPr>
        <w:endnoteReference w:id="6"/>
      </w:r>
    </w:p>
    <w:p w14:paraId="7EAF7C04"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For those whose concerned focus was on what they perceived as a substantial over-supply of qualified men, it was easy to deprecate the talents and characters of women who had had little opportunity for public demonstration of their abilities. Along with claims that the admission of women would result in a swamping of an already overcrowded profession with a consequent diminution of receipts and standard of living came comments on women’s inherent lack of those qualities required in members of the legal profession. The illogicality of holding the twin ideas that a group of people could be inherently unfitted to be solicitors and simultaneously could be successful competition did not seem to occur to the majority of a conservative profession.</w:t>
      </w:r>
    </w:p>
    <w:p w14:paraId="2D358F54" w14:textId="77777777" w:rsidR="0040104B" w:rsidRPr="00AB69B5" w:rsidRDefault="0040104B" w:rsidP="0040104B">
      <w:pPr>
        <w:spacing w:line="480" w:lineRule="auto"/>
        <w:ind w:left="720"/>
        <w:jc w:val="both"/>
        <w:rPr>
          <w:rFonts w:ascii="Times New Roman" w:hAnsi="Times New Roman" w:cs="Times New Roman"/>
        </w:rPr>
      </w:pPr>
      <w:r w:rsidRPr="00AB69B5">
        <w:rPr>
          <w:rFonts w:ascii="Times New Roman" w:hAnsi="Times New Roman" w:cs="Times New Roman"/>
        </w:rPr>
        <w:lastRenderedPageBreak/>
        <w:t>“It is a notorious fact,” says one Liverpool barrister, “that the one sense with which a legal man must be endowed is the one sense lacking in the majority of women, namely the sense of logic.”</w:t>
      </w:r>
      <w:r w:rsidRPr="00AB69B5">
        <w:rPr>
          <w:rFonts w:ascii="Times New Roman" w:hAnsi="Times New Roman" w:cs="Times New Roman"/>
          <w:color w:val="0070C0"/>
        </w:rPr>
        <w:t xml:space="preserve"> </w:t>
      </w:r>
      <w:r w:rsidRPr="00AB69B5">
        <w:rPr>
          <w:rStyle w:val="EndnoteReference"/>
          <w:rFonts w:ascii="Times New Roman" w:hAnsi="Times New Roman" w:cs="Times New Roman"/>
          <w:color w:val="0070C0"/>
        </w:rPr>
        <w:endnoteReference w:id="7"/>
      </w:r>
    </w:p>
    <w:p w14:paraId="7AC85650"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Fortunately for the future of women lawyers and the Law, the Press often looked through the group character assassination to probably the most potent reason for the belittlement of women’s talents:</w:t>
      </w:r>
    </w:p>
    <w:p w14:paraId="72A4423B" w14:textId="77777777" w:rsidR="0040104B" w:rsidRPr="00AB69B5" w:rsidRDefault="0040104B" w:rsidP="0040104B">
      <w:pPr>
        <w:spacing w:line="480" w:lineRule="auto"/>
        <w:ind w:left="720"/>
        <w:jc w:val="both"/>
        <w:rPr>
          <w:rFonts w:ascii="Times New Roman" w:hAnsi="Times New Roman" w:cs="Times New Roman"/>
          <w:b/>
          <w:color w:val="FF0000"/>
        </w:rPr>
      </w:pPr>
      <w:r w:rsidRPr="00AB69B5">
        <w:rPr>
          <w:rFonts w:ascii="Times New Roman" w:hAnsi="Times New Roman" w:cs="Times New Roman"/>
        </w:rPr>
        <w:t>“It is a curious reflection upon the thinking of men that the worst paid and most nerve-wracking of the professions – teaching – should long have been open to women while the legal profession reported to be profitable has been consistently closed to them.”</w:t>
      </w:r>
      <w:r w:rsidRPr="00AB69B5">
        <w:rPr>
          <w:rStyle w:val="EndnoteReference"/>
          <w:rFonts w:ascii="Times New Roman" w:hAnsi="Times New Roman" w:cs="Times New Roman"/>
        </w:rPr>
        <w:endnoteReference w:id="8"/>
      </w:r>
    </w:p>
    <w:p w14:paraId="228DC55A" w14:textId="77777777" w:rsidR="0040104B" w:rsidRPr="00AB69B5" w:rsidRDefault="0040104B" w:rsidP="0040104B">
      <w:pPr>
        <w:spacing w:line="480" w:lineRule="auto"/>
        <w:ind w:left="720"/>
        <w:jc w:val="both"/>
        <w:rPr>
          <w:rFonts w:ascii="Times New Roman" w:hAnsi="Times New Roman" w:cs="Times New Roman"/>
          <w:color w:val="FF0000"/>
        </w:rPr>
      </w:pPr>
      <w:r w:rsidRPr="00AB69B5">
        <w:rPr>
          <w:rFonts w:ascii="Times New Roman" w:hAnsi="Times New Roman" w:cs="Times New Roman"/>
        </w:rPr>
        <w:t>“Apparently it is only when there is a monetary reward involved that lawyers are opposed to the suggestion that the forensic powers of women be officially recognised.”</w:t>
      </w:r>
      <w:r w:rsidRPr="00AB69B5">
        <w:rPr>
          <w:rFonts w:ascii="Times New Roman" w:hAnsi="Times New Roman" w:cs="Times New Roman"/>
          <w:color w:val="0070C0"/>
        </w:rPr>
        <w:t xml:space="preserve"> </w:t>
      </w:r>
      <w:r w:rsidRPr="00AB69B5">
        <w:rPr>
          <w:rStyle w:val="EndnoteReference"/>
          <w:rFonts w:ascii="Times New Roman" w:hAnsi="Times New Roman" w:cs="Times New Roman"/>
        </w:rPr>
        <w:endnoteReference w:id="9"/>
      </w:r>
    </w:p>
    <w:p w14:paraId="33D8C12C"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Educational background</w:t>
      </w:r>
    </w:p>
    <w:p w14:paraId="1D7786A9"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Fortunately magazines such as “The Queen” made it increasingly difficult to ignore women’s intellectual achievements:</w:t>
      </w:r>
    </w:p>
    <w:p w14:paraId="0D75B46D" w14:textId="77777777" w:rsidR="0040104B" w:rsidRPr="00AB69B5" w:rsidRDefault="0040104B" w:rsidP="0040104B">
      <w:pPr>
        <w:spacing w:line="480" w:lineRule="auto"/>
        <w:ind w:left="720"/>
        <w:jc w:val="both"/>
        <w:rPr>
          <w:rFonts w:ascii="Times New Roman" w:hAnsi="Times New Roman" w:cs="Times New Roman"/>
        </w:rPr>
      </w:pPr>
      <w:r w:rsidRPr="00AB69B5">
        <w:rPr>
          <w:rFonts w:ascii="Times New Roman" w:hAnsi="Times New Roman" w:cs="Times New Roman"/>
        </w:rPr>
        <w:t xml:space="preserve">“It is not often that a woman takes the Law Tripos, the chief openings for the use of legal knowledge being at present closed to women in this country. A successful pioneer, however, can be found in Miss L F Nettlefold of Newnham, who has come out all but top in the Law Tripos. Only two men are this year placed in the First Class of Part I and Miss Nettlefold is officially stated to be between them. She is a daughter of Mr Oswald Nettlefold of Devonshire Terrace, Hyde Park, whose father was first cousin to Mr Joseph Chamberlain. She was educated at Leinster House School… She is just twenty-one and was presented at Court last year with her younger sister. She is good at tennis and boating. ……….Women always succeed in the Mediaeval and Modern Languages Tripos and this year they got eight Firsts to none on the part of the men.” </w:t>
      </w:r>
      <w:r w:rsidRPr="00AB69B5">
        <w:rPr>
          <w:rStyle w:val="EndnoteReference"/>
          <w:rFonts w:ascii="Times New Roman" w:hAnsi="Times New Roman" w:cs="Times New Roman"/>
        </w:rPr>
        <w:endnoteReference w:id="10"/>
      </w:r>
    </w:p>
    <w:p w14:paraId="77976175"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lastRenderedPageBreak/>
        <w:t>Of the first 101 women solicitors, 26 had the benefit of a University education; 10 were “graduates” of Cambridge University, 5 of Oxford, 4 of London higher education institutions and 3 of Manchester   . The Universities of Durham, Edinburgh, Liverpool and Wales produced one each.</w:t>
      </w:r>
      <w:r w:rsidRPr="00AB69B5">
        <w:rPr>
          <w:rStyle w:val="EndnoteReference"/>
          <w:rFonts w:ascii="Times New Roman" w:hAnsi="Times New Roman" w:cs="Times New Roman"/>
        </w:rPr>
        <w:endnoteReference w:id="11"/>
      </w:r>
    </w:p>
    <w:p w14:paraId="0582B7A0"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A degree was not a prerequisite qualification for entry into the solicitors’ profession, and at the end of the Nineteenth Century there was considerable debate as to whether obtaining a degree was the right thing to do before entering into articles.</w:t>
      </w:r>
      <w:r w:rsidRPr="00AB69B5">
        <w:rPr>
          <w:rStyle w:val="EndnoteReference"/>
          <w:rFonts w:ascii="Times New Roman" w:hAnsi="Times New Roman" w:cs="Times New Roman"/>
        </w:rPr>
        <w:endnoteReference w:id="12"/>
      </w:r>
      <w:r w:rsidRPr="00AB69B5">
        <w:rPr>
          <w:rFonts w:ascii="Times New Roman" w:hAnsi="Times New Roman" w:cs="Times New Roman"/>
        </w:rPr>
        <w:t xml:space="preserve"> The standard route was to serve 5 years’ articles of clerkship under a qualified solicitor, during which time the prospective solicitor was required to pass both the Law Society’s Intermediate and Final Examinations. The period of articles was reduced to 3 years for those in possession of a degree. Although a degree may have provided valued intellectual and social experience, additional social cachet and have abbreviated the number of years of training, the lack of one was not an indicator of the lesser intelligence of those who did not possess one or a predictor of lesser ultimate success. Indeed, when the profession was opened up to women, many of the women who astonished the male members of the profession by winning coveted prizes in the Law Society Finals Examinations, such as Catherine Tietjen, who won the Clabon Prize and came top of the First Class Honours List in 1924 and Mary Weston who came third in the Order of Merit and won the Cliffords Inn Prize in 1926 were just as likely to have been five-year articled clerks. On the other hand Agnes Twiston Hughes, the first woman solicitor to come from Wales, won 3 major prizes and came first out of all candidates, male and female, in the Finals Class of 1923, having also obtained a BSc from the University of London. A formidable woman, she came from an exceptionally determined family; her father, whose own father was a joiner and builder, finally qualified as a solicitor at the age of 41, having worked as a solicitor’s clerk since the age of 19.</w:t>
      </w:r>
    </w:p>
    <w:p w14:paraId="02CB1AD1"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Age of women solicitors on admission and previous employment</w:t>
      </w:r>
    </w:p>
    <w:p w14:paraId="44D0856A"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 xml:space="preserve">The ages of the women who qualified between 1922 and 1930 ranged from 22 (Grace Brown in 1928) to 48 (Winnifred Cockshott in 1925). Some of the older graduates had already acquired useful legal skills in apparently more lowly positions in solicitors’ offices before they were able to enter into more formal </w:t>
      </w:r>
      <w:r w:rsidRPr="00AB69B5">
        <w:rPr>
          <w:rFonts w:ascii="Times New Roman" w:hAnsi="Times New Roman" w:cs="Times New Roman"/>
        </w:rPr>
        <w:lastRenderedPageBreak/>
        <w:t xml:space="preserve">articles after the passing of the 1919 Act. Others such as Edith Annie Jones Berthen, who had no obvious familial connection with the legal profession, worked both as a social worker and as a teacher before turning to the Law as soon as the Act was passed. She was not the only woman who gave up pedagogy for the Law; Carrie Morrison, in 1922 the first woman to qualify in England and Wales, had also followed this path for a time until she concluded that “I hated it, and that was bad for the children I had to teach.”  </w:t>
      </w:r>
      <w:r w:rsidRPr="00AB69B5">
        <w:rPr>
          <w:rStyle w:val="EndnoteReference"/>
          <w:rFonts w:ascii="Times New Roman" w:hAnsi="Times New Roman" w:cs="Times New Roman"/>
        </w:rPr>
        <w:endnoteReference w:id="13"/>
      </w:r>
      <w:r w:rsidRPr="00AB69B5">
        <w:rPr>
          <w:rFonts w:ascii="Times New Roman" w:hAnsi="Times New Roman" w:cs="Times New Roman"/>
        </w:rPr>
        <w:t xml:space="preserve">  Many women graduates took advantage of the opportunities that the First World War offered to enter the world of work, often assisted by the Register compiled by Ethel Sargant and the British Federation of University Women of those willing to work for Government Departments during the War. </w:t>
      </w:r>
      <w:r w:rsidRPr="00AB69B5">
        <w:rPr>
          <w:rStyle w:val="EndnoteReference"/>
          <w:rFonts w:ascii="Times New Roman" w:hAnsi="Times New Roman" w:cs="Times New Roman"/>
        </w:rPr>
        <w:endnoteReference w:id="14"/>
      </w:r>
      <w:r w:rsidRPr="00AB69B5">
        <w:rPr>
          <w:rFonts w:ascii="Times New Roman" w:hAnsi="Times New Roman" w:cs="Times New Roman"/>
        </w:rPr>
        <w:t xml:space="preserve">   Some of those opportunities involved legal or quasi-legal work and the women’s competence did not escape the notice of the commentariat:</w:t>
      </w:r>
    </w:p>
    <w:p w14:paraId="0E9B03E9" w14:textId="77777777" w:rsidR="0040104B" w:rsidRPr="00AB69B5" w:rsidRDefault="0040104B" w:rsidP="0040104B">
      <w:pPr>
        <w:spacing w:line="480" w:lineRule="auto"/>
        <w:ind w:left="720"/>
        <w:jc w:val="both"/>
        <w:rPr>
          <w:rFonts w:ascii="Times New Roman" w:hAnsi="Times New Roman" w:cs="Times New Roman"/>
          <w:i/>
          <w:color w:val="FF0000"/>
        </w:rPr>
      </w:pPr>
      <w:r w:rsidRPr="00AB69B5">
        <w:rPr>
          <w:rFonts w:ascii="Times New Roman" w:hAnsi="Times New Roman" w:cs="Times New Roman"/>
        </w:rPr>
        <w:t>“In this country, though they (women) cannot yet practise as solicitors, they have taken the place of solicitors’ clerks called to the Army in numerous instances with satisfactory results.”</w:t>
      </w:r>
      <w:r w:rsidRPr="00AB69B5">
        <w:rPr>
          <w:rStyle w:val="EndnoteReference"/>
          <w:rFonts w:ascii="Times New Roman" w:hAnsi="Times New Roman" w:cs="Times New Roman"/>
        </w:rPr>
        <w:endnoteReference w:id="15"/>
      </w:r>
    </w:p>
    <w:p w14:paraId="6BF1C84D"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One astute Member of Parliament, Mr William Joynson-Hicks, (later Home Secretary 1924-1929) who was himself a solicitor, recognised the ability of women to perform as advocates:</w:t>
      </w:r>
    </w:p>
    <w:p w14:paraId="359E16D4" w14:textId="77777777" w:rsidR="0040104B" w:rsidRPr="00AB69B5" w:rsidRDefault="0040104B" w:rsidP="0040104B">
      <w:pPr>
        <w:spacing w:line="480" w:lineRule="auto"/>
        <w:ind w:left="720" w:firstLine="60"/>
        <w:jc w:val="both"/>
        <w:rPr>
          <w:rFonts w:ascii="Times New Roman" w:hAnsi="Times New Roman" w:cs="Times New Roman"/>
          <w:color w:val="FF0000"/>
        </w:rPr>
      </w:pPr>
      <w:r w:rsidRPr="00AB69B5">
        <w:rPr>
          <w:rFonts w:ascii="Times New Roman" w:hAnsi="Times New Roman" w:cs="Times New Roman"/>
        </w:rPr>
        <w:t xml:space="preserve">“A curious example has arisen in this country during the War of something akin to a woman lawyer, namely the woman representative on the Munitions Tribunals, an institution that nobody would now be without, as it gives to the woman who appears before the Tribunal a sense of fair play in the knowledge that one of her sex is there to appreciate her difficulties.” </w:t>
      </w:r>
      <w:r w:rsidRPr="00AB69B5">
        <w:rPr>
          <w:rStyle w:val="EndnoteReference"/>
          <w:rFonts w:ascii="Times New Roman" w:hAnsi="Times New Roman" w:cs="Times New Roman"/>
        </w:rPr>
        <w:endnoteReference w:id="16"/>
      </w:r>
    </w:p>
    <w:p w14:paraId="0CDE8960"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The First World War</w:t>
      </w:r>
    </w:p>
    <w:p w14:paraId="5048F0DB" w14:textId="77777777" w:rsidR="0040104B" w:rsidRPr="00AB69B5" w:rsidRDefault="0040104B" w:rsidP="0040104B">
      <w:pPr>
        <w:spacing w:line="480" w:lineRule="auto"/>
        <w:jc w:val="both"/>
        <w:rPr>
          <w:rFonts w:ascii="Times New Roman" w:hAnsi="Times New Roman" w:cs="Times New Roman"/>
          <w:color w:val="0070C0"/>
        </w:rPr>
      </w:pPr>
      <w:r w:rsidRPr="00AB69B5">
        <w:rPr>
          <w:rFonts w:ascii="Times New Roman" w:hAnsi="Times New Roman" w:cs="Times New Roman"/>
        </w:rPr>
        <w:t xml:space="preserve">The First World War had deprived the legal profession of many men, both temporarily and permanently. 3,500 solicitors and 1,500 articled clerks served in the armed forces and of those 565 solicitors and 341 articled clerks were killed. </w:t>
      </w:r>
      <w:r w:rsidRPr="00AB69B5">
        <w:rPr>
          <w:rStyle w:val="EndnoteReference"/>
          <w:rFonts w:ascii="Times New Roman" w:hAnsi="Times New Roman" w:cs="Times New Roman"/>
        </w:rPr>
        <w:endnoteReference w:id="17"/>
      </w:r>
      <w:r w:rsidRPr="00AB69B5">
        <w:rPr>
          <w:rFonts w:ascii="Times New Roman" w:hAnsi="Times New Roman" w:cs="Times New Roman"/>
          <w:color w:val="FF0000"/>
        </w:rPr>
        <w:t xml:space="preserve"> </w:t>
      </w:r>
      <w:r w:rsidRPr="00AB69B5">
        <w:rPr>
          <w:rFonts w:ascii="Times New Roman" w:hAnsi="Times New Roman" w:cs="Times New Roman"/>
        </w:rPr>
        <w:t xml:space="preserve">For almost 5 years very few young men entered the profession. Many solicitors returned from the war shell-shocked and unable to take up the reins again, others who had carried on practising during the war retired as a consequence of overpowering stress and many of the </w:t>
      </w:r>
      <w:r w:rsidRPr="00AB69B5">
        <w:rPr>
          <w:rFonts w:ascii="Times New Roman" w:hAnsi="Times New Roman" w:cs="Times New Roman"/>
        </w:rPr>
        <w:lastRenderedPageBreak/>
        <w:t xml:space="preserve">young men, who might have trained for the profession, simply did not return. At the end of the War there were almost 2,000 fewer solicitors on the Roll than there had been at the beginning. </w:t>
      </w:r>
      <w:r w:rsidRPr="00AB69B5">
        <w:rPr>
          <w:rStyle w:val="EndnoteReference"/>
          <w:rFonts w:ascii="Times New Roman" w:hAnsi="Times New Roman" w:cs="Times New Roman"/>
        </w:rPr>
        <w:endnoteReference w:id="18"/>
      </w:r>
    </w:p>
    <w:p w14:paraId="194CD841"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rPr>
        <w:t>So desperate was the shortage that both the Law Society and the Bar Council asked their members to train suitably qualified young men who had served in the War without demanding premiums or pupillage fees.  And somewhat strangely for an organisation which had promoted the constant improvement of professional standards, the Law Society supported the Solicitors (Articled Clerks) Act 1918 which permitted articled clerks to count time spent in the Forces as a year’s good service for the purpose of articles, which, for a graduate, could potentially reduce the period of training to only two years. Very few women, although Morrison was one of them, might have been able to take advantage of this legislative concession.</w:t>
      </w:r>
    </w:p>
    <w:p w14:paraId="3410EF29"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 xml:space="preserve">Analysis suggests that the lives of many of these101women solicitors were dictated by family necessity as much as by personal desire for a “career”. The sad motivation that was imposed on many of those early qualifiers was simply that the brothers, who would have been the natural inheritors of their family’s legal practice, had been the victims of the War.  The loss of a son destined to carry on the family firm was not only a cause of personal mourning, but a reason for fathers to “persuade” their daughters to train as solicitors in order to maintain the family’s continuing source of income. The 1911 Census showed that Hampstead solicitor William Leviansky had four daughters and two sons, one of whom was an articled clerk.  Both sons died in France in 1918, after which Leviansky brought both his eldest daughter, Esther, and his youngest daughter, Nellie, into his business as articled clerks. Both qualified in 1926 and ultimately became partners in the family firm. Nellie </w:t>
      </w:r>
      <w:r w:rsidRPr="00AB69B5">
        <w:rPr>
          <w:rFonts w:ascii="Times New Roman" w:eastAsia="Times New Roman" w:hAnsi="Times New Roman" w:cs="Times New Roman"/>
        </w:rPr>
        <w:t>was only sixteen years old when her brothers were killed and it is clear from an interview that she gave in 1936 that it was not to satisfy the girls’ personal ambitions but his own desperate need that caused her father to “ask” his two daughters to “help” him to carry on the family firm.</w:t>
      </w:r>
      <w:r w:rsidRPr="00AB69B5">
        <w:rPr>
          <w:rStyle w:val="EndnoteReference"/>
          <w:rFonts w:ascii="Times New Roman" w:eastAsia="Times New Roman" w:hAnsi="Times New Roman" w:cs="Times New Roman"/>
        </w:rPr>
        <w:endnoteReference w:id="19"/>
      </w:r>
      <w:r w:rsidRPr="00AB69B5">
        <w:rPr>
          <w:rFonts w:ascii="Times New Roman" w:eastAsia="Times New Roman" w:hAnsi="Times New Roman" w:cs="Times New Roman"/>
        </w:rPr>
        <w:t xml:space="preserve">  </w:t>
      </w:r>
      <w:r w:rsidRPr="00AB69B5">
        <w:rPr>
          <w:rFonts w:ascii="Times New Roman" w:hAnsi="Times New Roman" w:cs="Times New Roman"/>
        </w:rPr>
        <w:t>Katherine Elizabeth Chambers was placed in a similar position when her younger brother died in France in 1918 at the age of 18. The urgency of Mr Chambers’ reinvestment in his daughter was indicated by a letter from a member of his firm:</w:t>
      </w:r>
    </w:p>
    <w:p w14:paraId="08B3BE8E" w14:textId="77777777" w:rsidR="0040104B" w:rsidRPr="00AB69B5" w:rsidRDefault="0040104B" w:rsidP="0040104B">
      <w:pPr>
        <w:spacing w:line="480" w:lineRule="auto"/>
        <w:ind w:left="720"/>
        <w:jc w:val="both"/>
        <w:rPr>
          <w:rFonts w:ascii="Times New Roman" w:hAnsi="Times New Roman" w:cs="Times New Roman"/>
          <w:color w:val="FF0000"/>
        </w:rPr>
      </w:pPr>
      <w:r w:rsidRPr="00AB69B5">
        <w:rPr>
          <w:rFonts w:ascii="Times New Roman" w:hAnsi="Times New Roman" w:cs="Times New Roman"/>
        </w:rPr>
        <w:lastRenderedPageBreak/>
        <w:t>“The distinction of being the first woman articled clerk belongs to Miss Katherine Elizabeth Chambers, whose articles of clerkship to her father, our Senior Partner, were executed on the morning of the 24</w:t>
      </w:r>
      <w:r w:rsidRPr="00AB69B5">
        <w:rPr>
          <w:rFonts w:ascii="Times New Roman" w:hAnsi="Times New Roman" w:cs="Times New Roman"/>
          <w:vertAlign w:val="superscript"/>
        </w:rPr>
        <w:t>th</w:t>
      </w:r>
      <w:r w:rsidRPr="00AB69B5">
        <w:rPr>
          <w:rFonts w:ascii="Times New Roman" w:hAnsi="Times New Roman" w:cs="Times New Roman"/>
        </w:rPr>
        <w:t xml:space="preserve"> inst, the day following the Royal Assent being given to the Sex Disqualification (Removal) Act, when they were at once registered with the Law Society and when we were informed that they were the first woman’s articles of clerkship presented for registration.” </w:t>
      </w:r>
      <w:r w:rsidRPr="00AB69B5">
        <w:rPr>
          <w:rStyle w:val="EndnoteReference"/>
          <w:rFonts w:ascii="Times New Roman" w:hAnsi="Times New Roman" w:cs="Times New Roman"/>
        </w:rPr>
        <w:endnoteReference w:id="20"/>
      </w:r>
    </w:p>
    <w:p w14:paraId="72A20C13"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Geographical distribution</w:t>
      </w:r>
    </w:p>
    <w:p w14:paraId="4DB62179"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Although the 1919 Act made it illegal to refuse entry to the solicitors’ profession on grounds of sex alone, it could not insist that qualified solicitors take on women as articled clerks. Nor could it coerce fathers into paying training premiums or the Stamp Duty of £80 required on articles before registration with the Law Society. Young women might be pushed into the profession by their fathers, but they might also be prevented by them.</w:t>
      </w:r>
    </w:p>
    <w:p w14:paraId="5F2F0070"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Unless woman had access to personal capital the approval of their families was therefore essential. Even as recently as the late 1950s one solicitor enrolled his 16 year old daughter on a secretarial course without consulting her on the grounds “that she would only get married anyway”. Eventually having persuaded her father to take her on as his own articled clerk, Erica Stary qualified as a solicitor through the five year route, later becoming a district judge and Master of two City Livery Companies.</w:t>
      </w:r>
    </w:p>
    <w:p w14:paraId="2930AE97"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In many parts of the country the paucity of solicitors meant that the only possibility for training was with a father or near (male) relative; in such circumstances the encouragement and financial support of her family were essential. It is not surprising that 32</w:t>
      </w:r>
      <w:r w:rsidRPr="00AB69B5">
        <w:rPr>
          <w:rFonts w:ascii="Times New Roman" w:hAnsi="Times New Roman" w:cs="Times New Roman"/>
          <w:color w:val="FF0000"/>
        </w:rPr>
        <w:t xml:space="preserve"> </w:t>
      </w:r>
      <w:r w:rsidRPr="00AB69B5">
        <w:rPr>
          <w:rFonts w:ascii="Times New Roman" w:hAnsi="Times New Roman" w:cs="Times New Roman"/>
        </w:rPr>
        <w:t xml:space="preserve">of those first women solicitors qualified in London, where the concentration of legal expertise and wealth provided a more substantial formal and informal social contacts pool available to those who wanted to enter the legal professions.  Very few women qualified in other major English and Welsh cities during this period. By the end of 1930 Birmingham could boast of training only six women solicitors, Manchester and Nottingham had trained four each and </w:t>
      </w:r>
      <w:r w:rsidRPr="00AB69B5">
        <w:rPr>
          <w:rFonts w:ascii="Times New Roman" w:hAnsi="Times New Roman" w:cs="Times New Roman"/>
        </w:rPr>
        <w:lastRenderedPageBreak/>
        <w:t>other places three or fewer each. The training of some women in small towns such as Driffield in Yorkshire, Rock Ferry in Cheshire and Colwyn Bay in North Wales was simply an accident of their fathers’ place of practice. The majority of those women who qualified outside London were articled either to their fathers or to near relatives, whereas at least half of those who qualified in London were articled to someone other than a family member.</w:t>
      </w:r>
    </w:p>
    <w:p w14:paraId="4BA6B1E5"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Class bias</w:t>
      </w:r>
    </w:p>
    <w:p w14:paraId="55036C44"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Even if the remainder of that first cohort were neither the daughters nor near relatives of solicitors, they came from almost solidly middle-class backgrounds, and some from extreme wealth, such as Ulrica Anne Hastie (1927), daughter of a solicitor who lived in Ennismore Gardens, Knightsbridge, with her parents, one sibling and seven servants (1911 Census). Only six came from or might have come from a lower social class.  The careers of two of those followed remarkably similar patterns. Both were 36 when they qualified in 1924 and both were shown in the 1911 Census as clerks in the employment of solicitors. Catherine Tietjen, the only daughter of a hotel waiter living in Westminster, came first in the 1924 Finals Examination and was so valued by her principal that five years later he made her a partner. Winifred Lewis was the daughter of a cabinet-maker, living in a respectable but not overly salubrious part of Guildford, whose chosen career enabled her eventually to move to one of the town’s best streets, Fort Road, high above the River Wey.</w:t>
      </w:r>
    </w:p>
    <w:p w14:paraId="7F5D50E1"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Another of the first four to pass the Law Society Finals in December 1922, Mary Elizabeth Pickup, inherited the ambition of her father Joseph Snoddy, an engine fitter in Pembroke Dock in West Wales. Born in the slums of Limehouse in 1853, Snoddy was clearly determined to make the most of his opportunities. He joined the Freemasons, passed examinations to become an engine fitter and became President of the local Pembrokeshire Permanent Building Society. His daughter was awarded a small exhibition to the University of Aberystwyth, married Thomas Pickup, a solicitor, presumably worked in his office and then was articled to him after the passage of the 1919 Act.</w:t>
      </w:r>
    </w:p>
    <w:p w14:paraId="39F4C252"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lastRenderedPageBreak/>
        <w:t>These three are the most obvious examples of social mobility among this early cohort and by contrast many of the addresses of the 32 women who qualified in London, such as Hastie (Chelsea), Crofts (Wimbledon Common) and Sybil Tassie Twist (1925) (Paddington W2) suggest a provenance of economic privilege.</w:t>
      </w:r>
    </w:p>
    <w:p w14:paraId="7DCFA3EB"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It should be remembered that barriers to working class aspirations operated just as much to exclude men as women, because of the upfront premium usually demanded by most solicitors for training a young person for the profession. Most professions charged substantial premiums, which in the case of the Law was usually in the region of £300 to £500, when as little as £250 per annum might be earned on qualification. This was a serious expense for most families at the time and especially so where a daughter, who might marry relatively soon after qualification, was concerned. As children did not usually pay premiums to their fathers or family members, it is not surprising that out of these 101women who had qualified by the end of 1930, 47% were articled to their fathers and another 9% were articled to a near relative – husband, brother or uncle.</w:t>
      </w:r>
    </w:p>
    <w:p w14:paraId="21D0704D"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Paternal benefits</w:t>
      </w:r>
    </w:p>
    <w:p w14:paraId="5470EC40"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Even before the passing of the 1919 Act a solicitor father found several advantages in being able to employ his daughter in his office. As well as the obvious one of “being able to keep an eye on her”, he obtained intelligent and, initially at least, cheap or unpaid labour, justified on the basis that his daughter was able to enjoy the benefits of living at home. The possible alternatives of paying for a university education or the costs of training for a different profession might have been too much for the resources of a solicitor whose practice did not generate substantial profits.</w:t>
      </w:r>
    </w:p>
    <w:p w14:paraId="0B242886"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After the passing of the 1919 Act several solicitors were quick to realise the potential benefits of encouraging their daughters to be more than ordinary clerks.</w:t>
      </w:r>
    </w:p>
    <w:p w14:paraId="053344EC" w14:textId="77777777" w:rsidR="0040104B" w:rsidRPr="00AB69B5" w:rsidRDefault="0040104B" w:rsidP="0040104B">
      <w:pPr>
        <w:spacing w:line="480" w:lineRule="auto"/>
        <w:ind w:left="720"/>
        <w:jc w:val="both"/>
        <w:rPr>
          <w:rFonts w:ascii="Times New Roman" w:hAnsi="Times New Roman" w:cs="Times New Roman"/>
          <w:color w:val="FF0000"/>
        </w:rPr>
      </w:pPr>
      <w:r w:rsidRPr="00AB69B5">
        <w:rPr>
          <w:rFonts w:ascii="Times New Roman" w:hAnsi="Times New Roman" w:cs="Times New Roman"/>
        </w:rPr>
        <w:t xml:space="preserve">Mr W A Sharpe, President of the Law Society, said that “eight women had applied for admission and he found that solicitors who had no sons to succeed to the goodwill of their valuable </w:t>
      </w:r>
      <w:r w:rsidRPr="00AB69B5">
        <w:rPr>
          <w:rFonts w:ascii="Times New Roman" w:hAnsi="Times New Roman" w:cs="Times New Roman"/>
        </w:rPr>
        <w:lastRenderedPageBreak/>
        <w:t xml:space="preserve">businesses were looking forward to their daughters doing so and were applying for them to be admitted as articled clerks.”  </w:t>
      </w:r>
      <w:r w:rsidRPr="00AB69B5">
        <w:rPr>
          <w:rStyle w:val="EndnoteReference"/>
          <w:rFonts w:ascii="Times New Roman" w:hAnsi="Times New Roman" w:cs="Times New Roman"/>
        </w:rPr>
        <w:endnoteReference w:id="21"/>
      </w:r>
    </w:p>
    <w:p w14:paraId="1AE7B39B"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The ages of some of the first women solicitors on qualification, such as Chambers (29), Twist (27), Annie Doris Downey (33) and Cockshutt (48) especially when they had not first attended university, suggest that they had already been working in their fathers’ offices for some time – and might already have been as competent as fully qualified male solicitors.</w:t>
      </w:r>
    </w:p>
    <w:p w14:paraId="45E1F8AE"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When his daughter qualified the solicitor father could count on not having to pay the going rate for his daughter’s services knowing that she would be unlikely to move to another firm, especially not to one of his immediate competitors in a small town. If he later took his daughter into partnership, he would have the benefit of someone who already understood his business and who would be expected to accede to most, if not all, of his decisions. In the longer term his ability to ease into retirement from his practice was simplified if a member or members of his immediate family were able to continue the practice. The alternative might be a sale to an unrelated solicitor or in extremis a complete winding up of the practice; either option would produce greater financial and regulatory complexity, particularly where the main, or perhaps sole, asset of a small practice was that difficult to quantify concept of “goodwill”. An arrangement made with his offspring, where he might use his parental authority to negotiate a continuing share of the profits for the rest of his life, was far preferable.  Some solicitors, like the fathers of Twist and Frances Blackett Gill (1928), were so confident in the potential of their daughters that they took them into partnership almost as soon as they were admitted as solicitors, thus binding them with professional as well as familial ties. Others such as Dorothy Morgan (1925) and the Leviansky sisters (both 1926) were taken into partnership a few years after qualification.</w:t>
      </w:r>
    </w:p>
    <w:p w14:paraId="090E0DF8"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Acquiescing in her father’s career ambitions brought a solicitor’s daughter a certain degree of financial independence and also potentially enhanced</w:t>
      </w:r>
      <w:r w:rsidRPr="00AB69B5">
        <w:rPr>
          <w:rFonts w:ascii="Times New Roman" w:eastAsia="Times New Roman" w:hAnsi="Times New Roman" w:cs="Times New Roman"/>
        </w:rPr>
        <w:t xml:space="preserve"> social status, certainly higher than that conferred by the teaching profession, which until 1944 also came with a marriage bar. </w:t>
      </w:r>
      <w:r w:rsidRPr="00AB69B5">
        <w:rPr>
          <w:rFonts w:ascii="Times New Roman" w:hAnsi="Times New Roman" w:cs="Times New Roman"/>
        </w:rPr>
        <w:t xml:space="preserve"> For a young woman who found home life with her parents relatively congenial the financial advantages of being trained by her father or </w:t>
      </w:r>
      <w:r w:rsidRPr="00AB69B5">
        <w:rPr>
          <w:rFonts w:ascii="Times New Roman" w:hAnsi="Times New Roman" w:cs="Times New Roman"/>
        </w:rPr>
        <w:lastRenderedPageBreak/>
        <w:t>by her father’s firm, whether as an unqualified office clerk pre-1919 or as a potential solicitor post 1919, could almost be likened to being given a dowry over which she had some personal control.  With qualification came a personally earned income and the insurance policy of a set of very marketable skills if adverse circumstances developed. Janet Mack (1930) left the profession after marriage but in 1941, by returning to practice as the first woman solicitor in Cheltenham, she was able to support her children and mother while her husband was in the Army.</w:t>
      </w:r>
    </w:p>
    <w:p w14:paraId="7B3AA600"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Thus it is argued that the motivation to qualify was very often economic and that pressure was often exerted by fathers to satisfy a familial economic need, especially in families where there were no sons, as was the case with some of the 1925 qualifiers, such as Morgan and the Leviansky sisters.  Grace Brown (1925) was given the clear option of continuing her studies and becoming a teacher like her mother or “coming with me to the office”. She chose the latter course and fortunately she “enjoyed the whole experience of being a solicitor”, giving it up only when she married a veterinary surgeon.</w:t>
      </w:r>
      <w:r w:rsidRPr="00AB69B5">
        <w:rPr>
          <w:rStyle w:val="EndnoteReference"/>
          <w:rFonts w:ascii="Times New Roman" w:hAnsi="Times New Roman" w:cs="Times New Roman"/>
        </w:rPr>
        <w:endnoteReference w:id="22"/>
      </w:r>
    </w:p>
    <w:p w14:paraId="13FF5613" w14:textId="77777777" w:rsidR="0040104B" w:rsidRPr="00AB69B5" w:rsidRDefault="0040104B" w:rsidP="0040104B">
      <w:pPr>
        <w:spacing w:line="480" w:lineRule="auto"/>
        <w:jc w:val="both"/>
        <w:rPr>
          <w:rFonts w:ascii="Times New Roman" w:hAnsi="Times New Roman" w:cs="Times New Roman"/>
          <w:color w:val="FF0000"/>
        </w:rPr>
      </w:pPr>
      <w:r w:rsidRPr="00AB69B5">
        <w:rPr>
          <w:rFonts w:ascii="Times New Roman" w:hAnsi="Times New Roman" w:cs="Times New Roman"/>
        </w:rPr>
        <w:t>Even in its most benign and most generous state the power of early Twentieth Century paternalism cannot be ignored. And neither can the general male approval of its exercise. A male commentator wrote in January 1920 that on</w:t>
      </w:r>
      <w:r w:rsidRPr="00AB69B5">
        <w:rPr>
          <w:rFonts w:ascii="Times New Roman" w:hAnsi="Times New Roman" w:cs="Times New Roman"/>
          <w:color w:val="0070C0"/>
        </w:rPr>
        <w:t xml:space="preserve"> </w:t>
      </w:r>
      <w:r w:rsidRPr="00AB69B5">
        <w:rPr>
          <w:rFonts w:ascii="Times New Roman" w:hAnsi="Times New Roman" w:cs="Times New Roman"/>
        </w:rPr>
        <w:t>Christmas Eve when the new law arrived, women were waiting on the door to welcome it and that “on that very morning Miss Normanton paid her fees and began as a student at Middle Temple ……. In Manchester Miss Ritchie received a Christmas present from her father in the shape of those mysterious and indefinite “articles”, which in the course of years transform the industrious legal apprentice into a fully-fledged solicitor of the Supreme Court.”</w:t>
      </w:r>
      <w:r w:rsidRPr="00AB69B5">
        <w:rPr>
          <w:rFonts w:ascii="Times New Roman" w:hAnsi="Times New Roman" w:cs="Times New Roman"/>
          <w:color w:val="0070C0"/>
        </w:rPr>
        <w:t xml:space="preserve"> </w:t>
      </w:r>
      <w:r w:rsidRPr="00AB69B5">
        <w:rPr>
          <w:rStyle w:val="EndnoteReference"/>
          <w:rFonts w:ascii="Times New Roman" w:hAnsi="Times New Roman" w:cs="Times New Roman"/>
          <w:color w:val="0070C0"/>
        </w:rPr>
        <w:endnoteReference w:id="23"/>
      </w:r>
      <w:r w:rsidRPr="00AB69B5">
        <w:rPr>
          <w:rFonts w:ascii="Times New Roman" w:hAnsi="Times New Roman" w:cs="Times New Roman"/>
          <w:color w:val="0070C0"/>
        </w:rPr>
        <w:t xml:space="preserve">  </w:t>
      </w:r>
      <w:r w:rsidRPr="00AB69B5">
        <w:rPr>
          <w:rFonts w:ascii="Times New Roman" w:hAnsi="Times New Roman" w:cs="Times New Roman"/>
        </w:rPr>
        <w:t>An only child, Isabel Marianne Crane Ritchie (1924) was 18 when she received her Christmas gift from her father Robert Ritchie, who later took her into a partnership which was to last for almost the rest of his life.</w:t>
      </w:r>
    </w:p>
    <w:p w14:paraId="4595C4FC"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 xml:space="preserve">Despite possible paternal coercion for many women the legal qualification undoubtedly brought substantial personal independence and enabled them to lead varied lives where they were able to combine managing their own legal practices with sporting interests (golf in the case of Hughes (1923), Chambers (1924), Dora Mary Rowe (1925) and Violet Crosse (1928) and tennis in the case of Crofts (1923) and </w:t>
      </w:r>
      <w:r w:rsidRPr="00AB69B5">
        <w:rPr>
          <w:rFonts w:ascii="Times New Roman" w:hAnsi="Times New Roman" w:cs="Times New Roman"/>
        </w:rPr>
        <w:lastRenderedPageBreak/>
        <w:t>Isabel Harriet Shimeld (1929)) plus service to their local communities (Hughes became Mayor of Conwy and Mary Elaine Sykes (1923) became Mayor of Huddersfield).</w:t>
      </w:r>
    </w:p>
    <w:p w14:paraId="1DB2C639" w14:textId="77777777" w:rsidR="0040104B" w:rsidRPr="00AB69B5" w:rsidRDefault="0040104B" w:rsidP="0040104B">
      <w:pPr>
        <w:spacing w:line="480" w:lineRule="auto"/>
        <w:jc w:val="both"/>
        <w:rPr>
          <w:rFonts w:ascii="Times New Roman" w:hAnsi="Times New Roman" w:cs="Times New Roman"/>
          <w:b/>
        </w:rPr>
      </w:pPr>
      <w:r w:rsidRPr="00AB69B5">
        <w:rPr>
          <w:rFonts w:ascii="Times New Roman" w:hAnsi="Times New Roman" w:cs="Times New Roman"/>
          <w:b/>
        </w:rPr>
        <w:t>The matrimonial state</w:t>
      </w:r>
    </w:p>
    <w:p w14:paraId="6E6B47E7" w14:textId="77777777" w:rsidR="0040104B" w:rsidRPr="00AB69B5" w:rsidRDefault="0040104B" w:rsidP="0040104B">
      <w:pPr>
        <w:spacing w:line="480" w:lineRule="auto"/>
        <w:jc w:val="both"/>
        <w:rPr>
          <w:rFonts w:ascii="Times New Roman" w:hAnsi="Times New Roman" w:cs="Times New Roman"/>
        </w:rPr>
      </w:pPr>
      <w:r w:rsidRPr="00AB69B5">
        <w:rPr>
          <w:rFonts w:ascii="Times New Roman" w:hAnsi="Times New Roman" w:cs="Times New Roman"/>
        </w:rPr>
        <w:t xml:space="preserve">The wealth accumulated by some of those who later took over their fathers’ firms could be substantial. When </w:t>
      </w:r>
      <w:r w:rsidRPr="00AB69B5">
        <w:rPr>
          <w:rFonts w:ascii="Times New Roman" w:eastAsia="Times New Roman" w:hAnsi="Times New Roman" w:cs="Times New Roman"/>
        </w:rPr>
        <w:t>Hughes died in 1981, she left £308,948 and Shimeld left £333,584 in 1976.  Being able to rely on her own earning power meant that a woman did not have to depend on a husband and 40% of the women who qualified during this period did not marry.  The First World War death toll had certainly removed marital opportunities for many; in 1</w:t>
      </w:r>
      <w:r w:rsidRPr="00AB69B5">
        <w:rPr>
          <w:rFonts w:ascii="Times New Roman" w:eastAsia="Calibri" w:hAnsi="Times New Roman" w:cs="Times New Roman"/>
        </w:rPr>
        <w:t xml:space="preserve">921 there were 1,720,806 more women than men in the population “1,096 women to every 1,000 men.” </w:t>
      </w:r>
      <w:r w:rsidRPr="00AB69B5">
        <w:rPr>
          <w:rStyle w:val="EndnoteReference"/>
          <w:rFonts w:ascii="Times New Roman" w:eastAsia="Calibri" w:hAnsi="Times New Roman" w:cs="Times New Roman"/>
        </w:rPr>
        <w:endnoteReference w:id="24"/>
      </w:r>
      <w:r w:rsidRPr="00AB69B5">
        <w:rPr>
          <w:rFonts w:ascii="Times New Roman" w:eastAsia="Calibri" w:hAnsi="Times New Roman" w:cs="Times New Roman"/>
        </w:rPr>
        <w:t xml:space="preserve">   Some, like </w:t>
      </w:r>
      <w:r w:rsidRPr="00AB69B5">
        <w:rPr>
          <w:rFonts w:ascii="Times New Roman" w:hAnsi="Times New Roman" w:cs="Times New Roman"/>
        </w:rPr>
        <w:t>Ethel Maude Dolbey (1928)</w:t>
      </w:r>
      <w:r w:rsidRPr="00AB69B5">
        <w:rPr>
          <w:rFonts w:ascii="Times New Roman" w:eastAsia="Calibri" w:hAnsi="Times New Roman" w:cs="Times New Roman"/>
        </w:rPr>
        <w:t xml:space="preserve"> </w:t>
      </w:r>
      <w:r w:rsidRPr="00AB69B5">
        <w:rPr>
          <w:rFonts w:ascii="Times New Roman" w:eastAsia="Times New Roman" w:hAnsi="Times New Roman" w:cs="Times New Roman"/>
        </w:rPr>
        <w:t>may also have found female friendship more congenial and less demanding, but the unmarried state of some women solicitors (and indeed of later women solicitors) was certainly the result of paternal coercion or manipulation. On her premature death in 1930 at the age of 42 Esther Leviansky’s father said, that “s</w:t>
      </w:r>
      <w:r w:rsidRPr="00AB69B5">
        <w:rPr>
          <w:rFonts w:ascii="Times New Roman" w:hAnsi="Times New Roman" w:cs="Times New Roman"/>
        </w:rPr>
        <w:t>he was so devoted to me that she had refused offers of marriage”</w:t>
      </w:r>
      <w:r w:rsidRPr="00AB69B5">
        <w:rPr>
          <w:rStyle w:val="EndnoteReference"/>
          <w:rFonts w:ascii="Times New Roman" w:hAnsi="Times New Roman" w:cs="Times New Roman"/>
        </w:rPr>
        <w:endnoteReference w:id="25"/>
      </w:r>
      <w:r w:rsidRPr="00AB69B5">
        <w:rPr>
          <w:rFonts w:ascii="Times New Roman" w:eastAsia="Times New Roman" w:hAnsi="Times New Roman" w:cs="Times New Roman"/>
          <w:b/>
        </w:rPr>
        <w:t xml:space="preserve"> </w:t>
      </w:r>
      <w:r w:rsidRPr="00AB69B5">
        <w:rPr>
          <w:rFonts w:ascii="Times New Roman" w:eastAsia="Times New Roman" w:hAnsi="Times New Roman" w:cs="Times New Roman"/>
        </w:rPr>
        <w:t xml:space="preserve">while Dorothy Morgan’s nephew considered that </w:t>
      </w:r>
      <w:r w:rsidRPr="00AB69B5">
        <w:rPr>
          <w:rFonts w:ascii="Times New Roman" w:hAnsi="Times New Roman" w:cs="Times New Roman"/>
        </w:rPr>
        <w:t>“her father, though forward-thinking in many ways, made it almost impossible for her to marry and to leave him, and she was at times torn between staying with him and going out with handsome young barristers.”</w:t>
      </w:r>
      <w:r w:rsidRPr="00AB69B5">
        <w:rPr>
          <w:rStyle w:val="EndnoteReference"/>
          <w:rFonts w:ascii="Times New Roman" w:hAnsi="Times New Roman" w:cs="Times New Roman"/>
        </w:rPr>
        <w:endnoteReference w:id="26"/>
      </w:r>
    </w:p>
    <w:p w14:paraId="24B268E6" w14:textId="77777777" w:rsidR="0040104B" w:rsidRPr="00AB69B5" w:rsidRDefault="0040104B" w:rsidP="0040104B">
      <w:pPr>
        <w:spacing w:line="480" w:lineRule="auto"/>
        <w:jc w:val="both"/>
        <w:rPr>
          <w:rFonts w:ascii="Times New Roman" w:eastAsia="Times New Roman" w:hAnsi="Times New Roman" w:cs="Times New Roman"/>
        </w:rPr>
      </w:pPr>
      <w:r w:rsidRPr="00AB69B5">
        <w:rPr>
          <w:rFonts w:ascii="Times New Roman" w:hAnsi="Times New Roman" w:cs="Times New Roman"/>
        </w:rPr>
        <w:t>How many of the 40% would otherwise have married if they had not entered the legal profession and remained firmly within their fathers’ sphere of influence can only be surmised, but some ultimately made it clear, that married or not that their career choice had been dictated by dominant fathers, whether or not their fathers were aware of how confining those choices could be. W</w:t>
      </w:r>
      <w:r w:rsidRPr="00AB69B5">
        <w:rPr>
          <w:rFonts w:ascii="Times New Roman" w:eastAsia="Times New Roman" w:hAnsi="Times New Roman" w:cs="Times New Roman"/>
        </w:rPr>
        <w:t xml:space="preserve">hen in her eighties Patricia Tipper (1925) reflected on her long life in the Law, she stated forcefully that she was “the more fool doing what Daddy said”. </w:t>
      </w:r>
      <w:r w:rsidRPr="00AB69B5">
        <w:rPr>
          <w:rStyle w:val="EndnoteReference"/>
          <w:rFonts w:ascii="Times New Roman" w:eastAsia="Times New Roman" w:hAnsi="Times New Roman" w:cs="Times New Roman"/>
        </w:rPr>
        <w:endnoteReference w:id="27"/>
      </w:r>
    </w:p>
    <w:p w14:paraId="6B6EFC52" w14:textId="77777777" w:rsidR="0040104B" w:rsidRPr="00AB69B5" w:rsidRDefault="0040104B" w:rsidP="0040104B">
      <w:pPr>
        <w:spacing w:line="480" w:lineRule="auto"/>
        <w:jc w:val="both"/>
        <w:rPr>
          <w:rFonts w:ascii="Times New Roman" w:eastAsia="Times New Roman" w:hAnsi="Times New Roman" w:cs="Times New Roman"/>
        </w:rPr>
      </w:pPr>
      <w:r w:rsidRPr="00AB69B5">
        <w:rPr>
          <w:rFonts w:ascii="Times New Roman" w:eastAsia="Times New Roman" w:hAnsi="Times New Roman" w:cs="Times New Roman"/>
        </w:rPr>
        <w:t>The most telling anecdote was that concerning Katherine Ogilvy Heaton (1928), narrated by a member of her family firm, who said that:</w:t>
      </w:r>
    </w:p>
    <w:p w14:paraId="1BD2BB8B" w14:textId="77777777" w:rsidR="0040104B" w:rsidRPr="00AB69B5" w:rsidRDefault="0040104B" w:rsidP="0040104B">
      <w:pPr>
        <w:spacing w:line="480" w:lineRule="auto"/>
        <w:ind w:left="720"/>
        <w:jc w:val="both"/>
        <w:rPr>
          <w:rFonts w:ascii="Times New Roman" w:eastAsia="Times New Roman" w:hAnsi="Times New Roman" w:cs="Times New Roman"/>
          <w:color w:val="FF0000"/>
        </w:rPr>
      </w:pPr>
      <w:r w:rsidRPr="00AB69B5">
        <w:rPr>
          <w:rFonts w:ascii="Times New Roman" w:eastAsia="Times New Roman" w:hAnsi="Times New Roman" w:cs="Times New Roman"/>
        </w:rPr>
        <w:lastRenderedPageBreak/>
        <w:t xml:space="preserve">“I was told that on the day her father died, I believe in 1938, she said “That’s it! I’m off!” and left the firm, spending the rest of her life as a lady of independent means.” </w:t>
      </w:r>
      <w:r w:rsidRPr="00AB69B5">
        <w:rPr>
          <w:rStyle w:val="EndnoteReference"/>
          <w:rFonts w:ascii="Times New Roman" w:eastAsia="Times New Roman" w:hAnsi="Times New Roman" w:cs="Times New Roman"/>
        </w:rPr>
        <w:endnoteReference w:id="28"/>
      </w:r>
    </w:p>
    <w:p w14:paraId="7E7190BE" w14:textId="77777777" w:rsidR="0040104B" w:rsidRPr="00AB69B5" w:rsidRDefault="0040104B" w:rsidP="0040104B">
      <w:pPr>
        <w:spacing w:line="480" w:lineRule="auto"/>
        <w:jc w:val="both"/>
        <w:rPr>
          <w:rFonts w:ascii="Times New Roman" w:eastAsia="Times New Roman" w:hAnsi="Times New Roman" w:cs="Times New Roman"/>
        </w:rPr>
      </w:pPr>
      <w:r w:rsidRPr="00AB69B5">
        <w:rPr>
          <w:rFonts w:ascii="Times New Roman" w:eastAsia="Times New Roman" w:hAnsi="Times New Roman" w:cs="Times New Roman"/>
        </w:rPr>
        <w:t>Ten years after she qualified in 1928 she was at last able to exercise some choice.</w:t>
      </w:r>
    </w:p>
    <w:p w14:paraId="65CAD3A4" w14:textId="77777777" w:rsidR="0040104B" w:rsidRPr="00AB69B5" w:rsidRDefault="0040104B" w:rsidP="0040104B">
      <w:pPr>
        <w:spacing w:after="225" w:line="480" w:lineRule="auto"/>
        <w:jc w:val="both"/>
        <w:outlineLvl w:val="0"/>
        <w:rPr>
          <w:rFonts w:ascii="Times New Roman" w:eastAsia="Times New Roman" w:hAnsi="Times New Roman" w:cs="Times New Roman"/>
        </w:rPr>
      </w:pPr>
      <w:r w:rsidRPr="00AB69B5">
        <w:rPr>
          <w:rFonts w:ascii="Times New Roman" w:eastAsia="Times New Roman" w:hAnsi="Times New Roman" w:cs="Times New Roman"/>
        </w:rPr>
        <w:t xml:space="preserve">Fortunately for the credibility and future of women in the law sufficient women did remain within the profession whatever their original motivations or the motivations of their fathers. In 1957, thirty five years after Morrison’s admission, the Law Society published for the first time the number of women holding Practising Certificates. There were 356. But by contrast there were more than 19,000 male solicitors.  Now there is almost parity, with 65,000 women and 68,000 men currently holding Practising Certificates. </w:t>
      </w:r>
      <w:r w:rsidRPr="00AB69B5">
        <w:rPr>
          <w:rStyle w:val="EndnoteReference"/>
          <w:rFonts w:ascii="Times New Roman" w:eastAsia="Times New Roman" w:hAnsi="Times New Roman" w:cs="Times New Roman"/>
        </w:rPr>
        <w:endnoteReference w:id="29"/>
      </w:r>
      <w:r w:rsidRPr="00AB69B5">
        <w:rPr>
          <w:rFonts w:ascii="Times New Roman" w:eastAsia="Times New Roman" w:hAnsi="Times New Roman" w:cs="Times New Roman"/>
        </w:rPr>
        <w:t xml:space="preserve"> However, while 43% of male solicitors are partners, the figure for women is only 19%.</w:t>
      </w:r>
    </w:p>
    <w:p w14:paraId="312615EB" w14:textId="77777777" w:rsidR="0040104B" w:rsidRPr="00AB69B5" w:rsidRDefault="0040104B" w:rsidP="0040104B">
      <w:pPr>
        <w:spacing w:after="225" w:line="480" w:lineRule="auto"/>
        <w:jc w:val="both"/>
        <w:outlineLvl w:val="0"/>
        <w:rPr>
          <w:rFonts w:ascii="Times New Roman" w:eastAsia="Times New Roman" w:hAnsi="Times New Roman" w:cs="Times New Roman"/>
        </w:rPr>
      </w:pPr>
      <w:r w:rsidRPr="00AB69B5">
        <w:rPr>
          <w:rFonts w:ascii="Times New Roman" w:eastAsia="Times New Roman" w:hAnsi="Times New Roman" w:cs="Times New Roman"/>
        </w:rPr>
        <w:t>Analysis suggests that most of the first 101 women who qualified between 1922 and 1930 had either worked as clerks in legal offices before 1919 or had fathers or close relatives who were solicitors. Shrewd principals may not have required training premiums from the former in recognition of years of loyal service and a realisation that employing a fully qualified woman could add substantial value to their practices. But it is likely that for some of the latter group their choices may, initially at least, have been limited rather than expanded by the passing of the 1919 Act, an outcome certainly not desired by its proponents.</w:t>
      </w:r>
    </w:p>
    <w:p w14:paraId="1D239BF5" w14:textId="77777777" w:rsidR="0040104B" w:rsidRPr="00AB69B5" w:rsidRDefault="0040104B" w:rsidP="0040104B">
      <w:pPr>
        <w:spacing w:after="225" w:line="480" w:lineRule="auto"/>
        <w:jc w:val="both"/>
        <w:outlineLvl w:val="0"/>
        <w:rPr>
          <w:rFonts w:ascii="Times New Roman" w:hAnsi="Times New Roman" w:cs="Times New Roman"/>
          <w:b/>
        </w:rPr>
      </w:pPr>
      <w:r w:rsidRPr="00AB69B5">
        <w:rPr>
          <w:rFonts w:ascii="Times New Roman" w:hAnsi="Times New Roman" w:cs="Times New Roman"/>
          <w:b/>
        </w:rPr>
        <w:t>General Note on sources</w:t>
      </w:r>
    </w:p>
    <w:p w14:paraId="7A22D9B2" w14:textId="77777777" w:rsidR="0040104B" w:rsidRPr="00AB69B5" w:rsidRDefault="0040104B" w:rsidP="0040104B">
      <w:pPr>
        <w:spacing w:after="225" w:line="480" w:lineRule="auto"/>
        <w:jc w:val="both"/>
        <w:outlineLvl w:val="0"/>
        <w:rPr>
          <w:rFonts w:ascii="Times New Roman" w:hAnsi="Times New Roman" w:cs="Times New Roman"/>
        </w:rPr>
      </w:pPr>
      <w:r w:rsidRPr="00AB69B5">
        <w:rPr>
          <w:rFonts w:ascii="Times New Roman" w:hAnsi="Times New Roman" w:cs="Times New Roman"/>
        </w:rPr>
        <w:t>Dates of qualification of individual women solicitors are in parentheses following their names. This information, details of addresses on qualification and of prizes and honours achieved can be found in issues of the Law Society Gazette published between 1922 and 1930.</w:t>
      </w:r>
    </w:p>
    <w:p w14:paraId="26067DBF" w14:textId="77777777" w:rsidR="0040104B" w:rsidRPr="00AB69B5" w:rsidRDefault="0040104B" w:rsidP="0040104B">
      <w:pPr>
        <w:spacing w:after="225" w:line="480" w:lineRule="auto"/>
        <w:jc w:val="both"/>
        <w:outlineLvl w:val="0"/>
        <w:rPr>
          <w:rFonts w:ascii="Times New Roman" w:hAnsi="Times New Roman" w:cs="Times New Roman"/>
        </w:rPr>
      </w:pPr>
      <w:r w:rsidRPr="00AB69B5">
        <w:rPr>
          <w:rFonts w:ascii="Times New Roman" w:hAnsi="Times New Roman" w:cs="Times New Roman"/>
        </w:rPr>
        <w:t>The Scrapbooks of Maud Crofts and the Lucy Nettlefold Papers both kept at the Women’s Library at the London School of Economics are a valuable source of newspaper cuttings on the views of the public and the legal profession between 1910 and 1930 on women as lawyers.</w:t>
      </w:r>
    </w:p>
    <w:p w14:paraId="6212DA6E" w14:textId="77777777" w:rsidR="0040104B" w:rsidRPr="00AB69B5" w:rsidRDefault="0040104B" w:rsidP="0040104B">
      <w:pPr>
        <w:spacing w:after="225" w:line="480" w:lineRule="auto"/>
        <w:jc w:val="both"/>
        <w:outlineLvl w:val="0"/>
        <w:rPr>
          <w:rFonts w:ascii="Times New Roman" w:hAnsi="Times New Roman" w:cs="Times New Roman"/>
        </w:rPr>
      </w:pPr>
      <w:r w:rsidRPr="00AB69B5">
        <w:rPr>
          <w:rFonts w:ascii="Times New Roman" w:hAnsi="Times New Roman" w:cs="Times New Roman"/>
        </w:rPr>
        <w:lastRenderedPageBreak/>
        <w:t>Much additional biographical information has been obtained from the websites of Ancestry.co.uk, (the Census and Probate entries were particularly useful, The Gazette (Official Public Record), The Probate Registry and The British Newspaper Archives.</w:t>
      </w:r>
    </w:p>
    <w:p w14:paraId="0852AA32" w14:textId="4A466981" w:rsidR="009B7AE9" w:rsidRDefault="0040104B" w:rsidP="0040104B">
      <w:pPr>
        <w:spacing w:after="225" w:line="480" w:lineRule="auto"/>
        <w:jc w:val="both"/>
        <w:outlineLvl w:val="0"/>
        <w:rPr>
          <w:rFonts w:ascii="Times New Roman" w:hAnsi="Times New Roman" w:cs="Times New Roman"/>
        </w:rPr>
      </w:pPr>
      <w:r w:rsidRPr="00AB69B5">
        <w:rPr>
          <w:rFonts w:ascii="Times New Roman" w:hAnsi="Times New Roman" w:cs="Times New Roman"/>
        </w:rPr>
        <w:t>Additional biographical information has been obtained from papers of the Association of Women Solicitors and personally conducted interviews and conversations.</w:t>
      </w:r>
    </w:p>
    <w:p w14:paraId="14144DE4" w14:textId="77777777" w:rsidR="009B7AE9" w:rsidRDefault="009B7AE9" w:rsidP="0040104B">
      <w:pPr>
        <w:spacing w:after="225" w:line="480" w:lineRule="auto"/>
        <w:jc w:val="both"/>
        <w:outlineLvl w:val="0"/>
        <w:rPr>
          <w:rFonts w:ascii="Times New Roman" w:hAnsi="Times New Roman" w:cs="Times New Roman"/>
        </w:rPr>
      </w:pPr>
    </w:p>
    <w:p w14:paraId="62E6C5FD" w14:textId="2795AB85" w:rsidR="0040104B" w:rsidRPr="00AB69B5" w:rsidRDefault="0040104B" w:rsidP="009B7AE9">
      <w:pPr>
        <w:rPr>
          <w:rFonts w:ascii="Times New Roman" w:hAnsi="Times New Roman" w:cs="Times New Roman"/>
        </w:rPr>
      </w:pPr>
    </w:p>
    <w:sectPr w:rsidR="0040104B" w:rsidRPr="00AB69B5">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EE692" w14:textId="77777777" w:rsidR="00045CAB" w:rsidRDefault="00045CAB" w:rsidP="005F7854">
      <w:pPr>
        <w:spacing w:after="0" w:line="240" w:lineRule="auto"/>
      </w:pPr>
      <w:r>
        <w:separator/>
      </w:r>
    </w:p>
  </w:endnote>
  <w:endnote w:type="continuationSeparator" w:id="0">
    <w:p w14:paraId="07DB29DC" w14:textId="77777777" w:rsidR="00045CAB" w:rsidRDefault="00045CAB" w:rsidP="005F7854">
      <w:pPr>
        <w:spacing w:after="0" w:line="240" w:lineRule="auto"/>
      </w:pPr>
      <w:r>
        <w:continuationSeparator/>
      </w:r>
    </w:p>
  </w:endnote>
  <w:endnote w:id="1">
    <w:p w14:paraId="581661A5" w14:textId="308E67D9"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Personal interview with daughter, Rosemary Vaughan,1 June 2011</w:t>
      </w:r>
    </w:p>
  </w:endnote>
  <w:endnote w:id="2">
    <w:p w14:paraId="6DACD7AC"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r>
      <w:r w:rsidRPr="0077316C">
        <w:rPr>
          <w:rFonts w:ascii="Times New Roman" w:hAnsi="Times New Roman" w:cs="Times New Roman"/>
          <w:i/>
          <w:sz w:val="16"/>
          <w:szCs w:val="16"/>
        </w:rPr>
        <w:t>Bebb v The Law Society</w:t>
      </w:r>
      <w:r w:rsidRPr="0077316C">
        <w:rPr>
          <w:rFonts w:ascii="Times New Roman" w:hAnsi="Times New Roman" w:cs="Times New Roman"/>
          <w:sz w:val="16"/>
          <w:szCs w:val="16"/>
        </w:rPr>
        <w:t xml:space="preserve"> [1914] 1Ch 286</w:t>
      </w:r>
    </w:p>
  </w:endnote>
  <w:endnote w:id="3">
    <w:p w14:paraId="1ADACE6F" w14:textId="77777777" w:rsidR="00710E11" w:rsidRPr="0077316C" w:rsidRDefault="00710E11" w:rsidP="0040104B">
      <w:pPr>
        <w:spacing w:line="480" w:lineRule="auto"/>
        <w:ind w:left="709" w:hanging="709"/>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 xml:space="preserve">Ingram and Karin Costelloe were daughters of barristers, in contrast to the other two litigants, Gwyneth Bebb and Lucy Nettlefold, who had no obvious legal connections. </w:t>
      </w:r>
    </w:p>
  </w:endnote>
  <w:endnote w:id="4">
    <w:p w14:paraId="572E2FFF"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Harry Kirk “Portrait of a Profession” 1976 page 91 ****</w:t>
      </w:r>
    </w:p>
  </w:endnote>
  <w:endnote w:id="5">
    <w:p w14:paraId="21F421E8"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Oxford Dictionary of National Biography</w:t>
      </w:r>
    </w:p>
  </w:endnote>
  <w:endnote w:id="6">
    <w:p w14:paraId="2DC573B6"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Kirk page 91</w:t>
      </w:r>
    </w:p>
  </w:endnote>
  <w:endnote w:id="7">
    <w:p w14:paraId="0AF4C9F6"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Morning Advertiser” 10 October 1913</w:t>
      </w:r>
    </w:p>
  </w:endnote>
  <w:endnote w:id="8">
    <w:p w14:paraId="6BF4A8B9"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Sydney Evening News” 27 January 1914</w:t>
      </w:r>
    </w:p>
  </w:endnote>
  <w:endnote w:id="9">
    <w:p w14:paraId="23F9B08D"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Daily Telegraph” 24 February 1914</w:t>
      </w:r>
    </w:p>
  </w:endnote>
  <w:endnote w:id="10">
    <w:p w14:paraId="3CF6E811"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Queen” 22 June 1912</w:t>
      </w:r>
    </w:p>
  </w:endnote>
  <w:endnote w:id="11">
    <w:p w14:paraId="67319BA8" w14:textId="77777777" w:rsidR="00710E11" w:rsidRPr="0077316C" w:rsidRDefault="00710E11" w:rsidP="0040104B">
      <w:pPr>
        <w:pStyle w:val="EndnoteText"/>
        <w:spacing w:line="480" w:lineRule="auto"/>
        <w:ind w:left="709" w:hanging="709"/>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Finals Pass Lists and lists of those applying for admission as printed in Law Society Gazettes between 1922 and 1930</w:t>
      </w:r>
    </w:p>
  </w:endnote>
  <w:endnote w:id="12">
    <w:p w14:paraId="752D60CF"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Kirk Pages 57-58</w:t>
      </w:r>
      <w:r w:rsidRPr="0077316C">
        <w:rPr>
          <w:rFonts w:ascii="Times New Roman" w:hAnsi="Times New Roman" w:cs="Times New Roman"/>
          <w:sz w:val="16"/>
          <w:szCs w:val="16"/>
        </w:rPr>
        <w:tab/>
      </w:r>
    </w:p>
  </w:endnote>
  <w:endnote w:id="13">
    <w:p w14:paraId="68E7CACD" w14:textId="77777777" w:rsidR="00710E11" w:rsidRPr="0077316C" w:rsidRDefault="00710E11" w:rsidP="0040104B">
      <w:pPr>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Evening Telegraph” 31 October 1922</w:t>
      </w:r>
    </w:p>
  </w:endnote>
  <w:endnote w:id="14">
    <w:p w14:paraId="1F5C0001"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Oxford Dictionary of National Biography</w:t>
      </w:r>
    </w:p>
  </w:endnote>
  <w:endnote w:id="15">
    <w:p w14:paraId="2778DE90" w14:textId="77777777" w:rsidR="00710E11" w:rsidRPr="0077316C" w:rsidRDefault="00710E11" w:rsidP="0040104B">
      <w:pPr>
        <w:pStyle w:val="EndnoteText"/>
        <w:spacing w:line="480" w:lineRule="auto"/>
        <w:ind w:left="709" w:hanging="709"/>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Daily Telegraph” 24 February 1917” commenting on a Bill promoted by Lord Buckmaster to permit women to enter the solicitors’ profession</w:t>
      </w:r>
      <w:r w:rsidRPr="0077316C">
        <w:rPr>
          <w:rFonts w:ascii="Times New Roman" w:hAnsi="Times New Roman" w:cs="Times New Roman"/>
          <w:i/>
          <w:color w:val="FF0000"/>
          <w:sz w:val="16"/>
          <w:szCs w:val="16"/>
        </w:rPr>
        <w:t>.</w:t>
      </w:r>
    </w:p>
  </w:endnote>
  <w:endnote w:id="16">
    <w:p w14:paraId="62FEF6A1"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 xml:space="preserve">“The Last Stronghold” in “The Daily Express” 18 January 1917  </w:t>
      </w:r>
    </w:p>
  </w:endnote>
  <w:endnote w:id="17">
    <w:p w14:paraId="6A4860CB"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 xml:space="preserve">Michael Cross “When a Fund United the Profession” Law Society Gazette 31 March 2015  </w:t>
      </w:r>
    </w:p>
  </w:endnote>
  <w:endnote w:id="18">
    <w:p w14:paraId="75B63192"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r>
      <w:r w:rsidRPr="0077316C">
        <w:rPr>
          <w:rFonts w:ascii="Times New Roman" w:eastAsia="Times New Roman" w:hAnsi="Times New Roman" w:cs="Times New Roman"/>
          <w:sz w:val="16"/>
          <w:szCs w:val="16"/>
        </w:rPr>
        <w:t>Kirk Page 112</w:t>
      </w:r>
    </w:p>
  </w:endnote>
  <w:endnote w:id="19">
    <w:p w14:paraId="6998A878" w14:textId="77777777" w:rsidR="00710E11" w:rsidRPr="0077316C" w:rsidRDefault="00710E11" w:rsidP="0040104B">
      <w:pPr>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w:t>
      </w:r>
      <w:r w:rsidRPr="0077316C">
        <w:rPr>
          <w:rFonts w:ascii="Times New Roman" w:eastAsia="Times New Roman" w:hAnsi="Times New Roman" w:cs="Times New Roman"/>
          <w:sz w:val="16"/>
          <w:szCs w:val="16"/>
        </w:rPr>
        <w:t>T</w:t>
      </w:r>
      <w:r w:rsidRPr="0077316C">
        <w:rPr>
          <w:rFonts w:ascii="Times New Roman" w:hAnsi="Times New Roman" w:cs="Times New Roman"/>
          <w:sz w:val="16"/>
          <w:szCs w:val="16"/>
        </w:rPr>
        <w:t xml:space="preserve">he </w:t>
      </w:r>
      <w:r w:rsidRPr="0077316C">
        <w:rPr>
          <w:rFonts w:ascii="Times New Roman" w:eastAsia="Times New Roman" w:hAnsi="Times New Roman" w:cs="Times New Roman"/>
          <w:sz w:val="16"/>
          <w:szCs w:val="16"/>
        </w:rPr>
        <w:t>Dundee Evening” Telegraph 13 June 1936</w:t>
      </w:r>
      <w:r w:rsidRPr="0077316C">
        <w:rPr>
          <w:rFonts w:ascii="Times New Roman" w:eastAsia="Times New Roman" w:hAnsi="Times New Roman" w:cs="Times New Roman"/>
          <w:color w:val="FF0000"/>
          <w:sz w:val="16"/>
          <w:szCs w:val="16"/>
        </w:rPr>
        <w:t xml:space="preserve"> </w:t>
      </w:r>
    </w:p>
  </w:endnote>
  <w:endnote w:id="20">
    <w:p w14:paraId="2083FC4E"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Daily Telegraph” 31 December 1919</w:t>
      </w:r>
    </w:p>
  </w:endnote>
  <w:endnote w:id="21">
    <w:p w14:paraId="027307B8" w14:textId="77777777" w:rsidR="00710E11" w:rsidRPr="0077316C" w:rsidRDefault="00710E11" w:rsidP="0040104B">
      <w:pPr>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“The Manchester Guardian” 10 March 1920</w:t>
      </w:r>
    </w:p>
  </w:endnote>
  <w:endnote w:id="22">
    <w:p w14:paraId="11FBC6FC"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Personal interview with her grand-daughter</w:t>
      </w:r>
      <w:r w:rsidRPr="0077316C">
        <w:rPr>
          <w:rFonts w:ascii="Times New Roman" w:hAnsi="Times New Roman" w:cs="Times New Roman"/>
          <w:sz w:val="16"/>
          <w:szCs w:val="16"/>
        </w:rPr>
        <w:tab/>
      </w:r>
    </w:p>
  </w:endnote>
  <w:endnote w:id="23">
    <w:p w14:paraId="030D5A50" w14:textId="77777777" w:rsidR="00710E11" w:rsidRPr="0077316C" w:rsidRDefault="00710E11" w:rsidP="0040104B">
      <w:pPr>
        <w:pStyle w:val="EndnoteText"/>
        <w:spacing w:line="480" w:lineRule="auto"/>
        <w:ind w:left="709" w:hanging="709"/>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Judge Edward Abbott Parry “Portia Rediviva The Sex Disqualification (Removal) Act” in “The Northern Whig” 16 January 1920</w:t>
      </w:r>
      <w:r w:rsidRPr="0077316C">
        <w:rPr>
          <w:rFonts w:ascii="Times New Roman" w:hAnsi="Times New Roman" w:cs="Times New Roman"/>
          <w:sz w:val="16"/>
          <w:szCs w:val="16"/>
        </w:rPr>
        <w:tab/>
      </w:r>
    </w:p>
  </w:endnote>
  <w:endnote w:id="24">
    <w:p w14:paraId="324E7259"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r>
      <w:r w:rsidRPr="0077316C">
        <w:rPr>
          <w:rFonts w:ascii="Times New Roman" w:eastAsia="Calibri" w:hAnsi="Times New Roman" w:cs="Times New Roman"/>
          <w:sz w:val="16"/>
          <w:szCs w:val="16"/>
        </w:rPr>
        <w:t xml:space="preserve">1921 Census Summary as recorded by </w:t>
      </w:r>
      <w:r w:rsidRPr="0077316C">
        <w:rPr>
          <w:rFonts w:ascii="Times New Roman" w:eastAsia="Times New Roman" w:hAnsi="Times New Roman" w:cs="Times New Roman"/>
          <w:sz w:val="16"/>
          <w:szCs w:val="16"/>
        </w:rPr>
        <w:t>Virginia Nicholson: “Singled Out”</w:t>
      </w:r>
      <w:r w:rsidRPr="0077316C">
        <w:rPr>
          <w:rFonts w:ascii="Times New Roman" w:eastAsia="Calibri" w:hAnsi="Times New Roman" w:cs="Times New Roman"/>
          <w:sz w:val="16"/>
          <w:szCs w:val="16"/>
        </w:rPr>
        <w:t xml:space="preserve"> page xvi</w:t>
      </w:r>
    </w:p>
  </w:endnote>
  <w:endnote w:id="25">
    <w:p w14:paraId="06859E86"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 xml:space="preserve">“The </w:t>
      </w:r>
      <w:r w:rsidRPr="0077316C">
        <w:rPr>
          <w:rFonts w:ascii="Times New Roman" w:eastAsia="Times New Roman" w:hAnsi="Times New Roman" w:cs="Times New Roman"/>
          <w:sz w:val="16"/>
          <w:szCs w:val="16"/>
        </w:rPr>
        <w:t>Nottingham Evening Post” 23 December 1930</w:t>
      </w:r>
      <w:r w:rsidRPr="0077316C">
        <w:rPr>
          <w:rFonts w:ascii="Times New Roman" w:hAnsi="Times New Roman" w:cs="Times New Roman"/>
          <w:sz w:val="16"/>
          <w:szCs w:val="16"/>
        </w:rPr>
        <w:tab/>
      </w:r>
    </w:p>
  </w:endnote>
  <w:endnote w:id="26">
    <w:p w14:paraId="4F1F2B28" w14:textId="77777777" w:rsidR="00710E11" w:rsidRPr="0077316C" w:rsidRDefault="00710E11" w:rsidP="0040104B">
      <w:pPr>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Letter 1994</w:t>
      </w:r>
    </w:p>
  </w:endnote>
  <w:endnote w:id="27">
    <w:p w14:paraId="79C78B5F"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r>
      <w:r w:rsidRPr="0077316C">
        <w:rPr>
          <w:rFonts w:ascii="Times New Roman" w:eastAsia="Times New Roman" w:hAnsi="Times New Roman" w:cs="Times New Roman"/>
          <w:sz w:val="16"/>
          <w:szCs w:val="16"/>
        </w:rPr>
        <w:t>Interview of unknown date</w:t>
      </w:r>
    </w:p>
  </w:endnote>
  <w:endnote w:id="28">
    <w:p w14:paraId="773AC6A7" w14:textId="77777777" w:rsidR="00710E11" w:rsidRPr="0077316C" w:rsidRDefault="00710E11" w:rsidP="0040104B">
      <w:pPr>
        <w:pStyle w:val="EndnoteText"/>
        <w:spacing w:line="480" w:lineRule="auto"/>
        <w:rPr>
          <w:rFonts w:ascii="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t>Letter 1990</w:t>
      </w:r>
    </w:p>
  </w:endnote>
  <w:endnote w:id="29">
    <w:p w14:paraId="24E3DA59" w14:textId="77777777" w:rsidR="00710E11" w:rsidRDefault="00710E11" w:rsidP="0040104B">
      <w:pPr>
        <w:spacing w:after="225" w:line="480" w:lineRule="auto"/>
        <w:outlineLvl w:val="0"/>
        <w:rPr>
          <w:rFonts w:ascii="Times New Roman" w:eastAsia="Times New Roman" w:hAnsi="Times New Roman" w:cs="Times New Roman"/>
          <w:sz w:val="16"/>
          <w:szCs w:val="16"/>
        </w:rPr>
      </w:pPr>
      <w:r w:rsidRPr="0077316C">
        <w:rPr>
          <w:rStyle w:val="EndnoteReference"/>
          <w:rFonts w:ascii="Times New Roman" w:hAnsi="Times New Roman" w:cs="Times New Roman"/>
          <w:sz w:val="16"/>
          <w:szCs w:val="16"/>
        </w:rPr>
        <w:end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rPr>
        <w:tab/>
      </w:r>
      <w:r w:rsidRPr="0077316C">
        <w:rPr>
          <w:rFonts w:ascii="Times New Roman" w:eastAsia="Times New Roman" w:hAnsi="Times New Roman" w:cs="Times New Roman"/>
          <w:sz w:val="16"/>
          <w:szCs w:val="16"/>
        </w:rPr>
        <w:t>“</w:t>
      </w:r>
      <w:r w:rsidRPr="0077316C">
        <w:rPr>
          <w:rFonts w:ascii="Times New Roman" w:eastAsia="Times New Roman" w:hAnsi="Times New Roman" w:cs="Times New Roman"/>
          <w:kern w:val="36"/>
          <w:sz w:val="16"/>
          <w:szCs w:val="16"/>
        </w:rPr>
        <w:t xml:space="preserve">95 years on, women set to tip gender balance” Law Society Gazette </w:t>
      </w:r>
      <w:r w:rsidRPr="0077316C">
        <w:rPr>
          <w:rFonts w:ascii="Times New Roman" w:eastAsia="Times New Roman" w:hAnsi="Times New Roman" w:cs="Times New Roman"/>
          <w:sz w:val="16"/>
          <w:szCs w:val="16"/>
        </w:rPr>
        <w:t xml:space="preserve">25 April 2016 </w:t>
      </w:r>
    </w:p>
    <w:p w14:paraId="7A34723A" w14:textId="77777777" w:rsidR="009B7AE9" w:rsidRPr="005373A4" w:rsidRDefault="009B7AE9" w:rsidP="0040104B">
      <w:pPr>
        <w:spacing w:after="225" w:line="480" w:lineRule="auto"/>
        <w:outlineLvl w:val="0"/>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ova Light">
    <w:altName w:val="Arial"/>
    <w:charset w:val="00"/>
    <w:family w:val="swiss"/>
    <w:pitch w:val="variable"/>
    <w:sig w:usb0="00000001" w:usb1="0000000A"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D69D" w14:textId="61B44F89" w:rsidR="00710E11" w:rsidRDefault="00710E11">
    <w:pPr>
      <w:pStyle w:val="Footer"/>
      <w:tabs>
        <w:tab w:val="clear" w:pos="4680"/>
        <w:tab w:val="clear" w:pos="9360"/>
      </w:tabs>
      <w:jc w:val="center"/>
      <w:rPr>
        <w:caps/>
        <w:noProof/>
        <w:color w:val="5B9BD5" w:themeColor="accent1"/>
      </w:rPr>
    </w:pPr>
    <w:r>
      <w:rPr>
        <w:caps/>
        <w:color w:val="5B9BD5" w:themeColor="accent1"/>
      </w:rPr>
      <w:t xml:space="preserve">ISSN 2398-5461  </w:t>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261CE">
      <w:rPr>
        <w:caps/>
        <w:noProof/>
        <w:color w:val="5B9BD5" w:themeColor="accent1"/>
      </w:rPr>
      <w:t>3</w:t>
    </w:r>
    <w:r>
      <w:rPr>
        <w:caps/>
        <w:noProof/>
        <w:color w:val="5B9BD5" w:themeColor="accent1"/>
      </w:rPr>
      <w:fldChar w:fldCharType="end"/>
    </w:r>
  </w:p>
  <w:p w14:paraId="6D13C4A5" w14:textId="77777777" w:rsidR="00710E11" w:rsidRDefault="00710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AD0B3" w14:textId="77777777" w:rsidR="00045CAB" w:rsidRDefault="00045CAB" w:rsidP="005F7854">
      <w:pPr>
        <w:spacing w:after="0" w:line="240" w:lineRule="auto"/>
      </w:pPr>
      <w:r>
        <w:separator/>
      </w:r>
    </w:p>
  </w:footnote>
  <w:footnote w:type="continuationSeparator" w:id="0">
    <w:p w14:paraId="1681C884" w14:textId="77777777" w:rsidR="00045CAB" w:rsidRDefault="00045CAB" w:rsidP="005F7854">
      <w:pPr>
        <w:spacing w:after="0" w:line="240" w:lineRule="auto"/>
      </w:pPr>
      <w:r>
        <w:continuationSeparator/>
      </w:r>
    </w:p>
  </w:footnote>
  <w:footnote w:id="1">
    <w:p w14:paraId="34C8A748" w14:textId="77777777" w:rsidR="00710E11" w:rsidRDefault="00710E11" w:rsidP="00710E11">
      <w:pPr>
        <w:pStyle w:val="FootnoteText"/>
        <w:spacing w:line="360" w:lineRule="auto"/>
      </w:pPr>
      <w:r>
        <w:rPr>
          <w:rStyle w:val="FootnoteReference"/>
        </w:rPr>
        <w:footnoteRef/>
      </w:r>
      <w:r>
        <w:rPr>
          <w:rFonts w:ascii="Times New Roman" w:hAnsi="Times New Roman"/>
          <w:sz w:val="16"/>
          <w:szCs w:val="16"/>
        </w:rPr>
        <w:t xml:space="preserve"> Drachman, V. G.  </w:t>
      </w:r>
      <w:r>
        <w:rPr>
          <w:rFonts w:ascii="Times New Roman" w:hAnsi="Times New Roman"/>
          <w:i/>
          <w:sz w:val="16"/>
          <w:szCs w:val="16"/>
        </w:rPr>
        <w:t xml:space="preserve">Women Lawyers and the origins of Professional Identity in America: the Letters of the Equity Club 1887 to 1890 </w:t>
      </w:r>
      <w:r>
        <w:rPr>
          <w:rFonts w:ascii="Times New Roman" w:hAnsi="Times New Roman"/>
          <w:sz w:val="16"/>
          <w:szCs w:val="16"/>
        </w:rPr>
        <w:t>1993 Ann Arbor, University of Michigan Press, p. vii</w:t>
      </w:r>
    </w:p>
  </w:footnote>
  <w:footnote w:id="2">
    <w:p w14:paraId="704F676B" w14:textId="422C1BCE" w:rsidR="00710E11" w:rsidRPr="0077316C" w:rsidRDefault="00710E11" w:rsidP="0077316C">
      <w:pPr>
        <w:spacing w:after="0"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This paper was presented at the First Women Lawyers in England, Wales and the Empire Symposia at St Mary’s University, Twickenham, on 9 September 2015.</w:t>
      </w:r>
    </w:p>
  </w:footnote>
  <w:footnote w:id="3">
    <w:p w14:paraId="457D577F" w14:textId="0500BEAC" w:rsidR="00710E11" w:rsidRPr="0077316C" w:rsidRDefault="00710E11" w:rsidP="0077316C">
      <w:pPr>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PM Glazer and M Slater, </w:t>
      </w:r>
      <w:r w:rsidRPr="0077316C">
        <w:rPr>
          <w:rFonts w:ascii="Times New Roman" w:hAnsi="Times New Roman" w:cs="Times New Roman"/>
          <w:i/>
          <w:sz w:val="16"/>
          <w:szCs w:val="16"/>
        </w:rPr>
        <w:t>Unequal Colleagues: The Entrance of Women into Professions, 1890-1940</w:t>
      </w:r>
      <w:r w:rsidRPr="0077316C">
        <w:rPr>
          <w:rFonts w:ascii="Times New Roman" w:hAnsi="Times New Roman" w:cs="Times New Roman"/>
          <w:sz w:val="16"/>
          <w:szCs w:val="16"/>
        </w:rPr>
        <w:t xml:space="preserve"> (New Brunswick and London, Rutgers University Press, 1987) at 12.</w:t>
      </w:r>
    </w:p>
  </w:footnote>
  <w:footnote w:id="4">
    <w:p w14:paraId="28D7FE4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MJ Mossman, </w:t>
      </w:r>
      <w:r w:rsidRPr="0077316C">
        <w:rPr>
          <w:rFonts w:ascii="Times New Roman" w:hAnsi="Times New Roman" w:cs="Times New Roman"/>
          <w:i/>
          <w:sz w:val="16"/>
          <w:szCs w:val="16"/>
        </w:rPr>
        <w:t>The First Women Lawyers: A Comparative Study of Gender, Law and the Legal Professions</w:t>
      </w:r>
      <w:r w:rsidRPr="0077316C">
        <w:rPr>
          <w:rFonts w:ascii="Times New Roman" w:hAnsi="Times New Roman" w:cs="Times New Roman"/>
          <w:sz w:val="16"/>
          <w:szCs w:val="16"/>
        </w:rPr>
        <w:t xml:space="preserve"> (Oxford and Portland OR: Hart Publishing, 2006).</w:t>
      </w:r>
    </w:p>
  </w:footnote>
  <w:footnote w:id="5">
    <w:p w14:paraId="3B501F9A" w14:textId="761FE58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279-281.</w:t>
      </w:r>
    </w:p>
  </w:footnote>
  <w:footnote w:id="6">
    <w:p w14:paraId="10300579" w14:textId="7B6A879F" w:rsidR="00710E11" w:rsidRPr="0077316C" w:rsidRDefault="00710E11" w:rsidP="0077316C">
      <w:pPr>
        <w:spacing w:after="0"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Wallach Scott, </w:t>
      </w:r>
      <w:r w:rsidRPr="0077316C">
        <w:rPr>
          <w:rFonts w:ascii="Times New Roman" w:hAnsi="Times New Roman" w:cs="Times New Roman"/>
          <w:i/>
          <w:sz w:val="16"/>
          <w:szCs w:val="16"/>
        </w:rPr>
        <w:t>Gender and the Politics of History</w:t>
      </w:r>
      <w:r w:rsidRPr="0077316C">
        <w:rPr>
          <w:rFonts w:ascii="Times New Roman" w:hAnsi="Times New Roman" w:cs="Times New Roman"/>
          <w:sz w:val="16"/>
          <w:szCs w:val="16"/>
        </w:rPr>
        <w:t xml:space="preserve"> (New York: Columbia University Press, 1999) at 27.</w:t>
      </w:r>
    </w:p>
    <w:p w14:paraId="70A5653F" w14:textId="2D81F417" w:rsidR="00710E11" w:rsidRPr="0077316C" w:rsidRDefault="00710E11" w:rsidP="0077316C">
      <w:pPr>
        <w:pStyle w:val="FootnoteText"/>
        <w:spacing w:line="480" w:lineRule="auto"/>
        <w:rPr>
          <w:rFonts w:ascii="Times New Roman" w:hAnsi="Times New Roman" w:cs="Times New Roman"/>
          <w:sz w:val="16"/>
          <w:szCs w:val="16"/>
        </w:rPr>
      </w:pPr>
    </w:p>
  </w:footnote>
  <w:footnote w:id="7">
    <w:p w14:paraId="153ACE67" w14:textId="18A641E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RD Gidney and WPJ Millar, </w:t>
      </w:r>
      <w:r w:rsidRPr="0077316C">
        <w:rPr>
          <w:rFonts w:ascii="Times New Roman" w:hAnsi="Times New Roman" w:cs="Times New Roman"/>
          <w:i/>
          <w:sz w:val="16"/>
          <w:szCs w:val="16"/>
        </w:rPr>
        <w:t>Professional Gentlemen: The Professions in Nineteenth-Century Ontario</w:t>
      </w:r>
      <w:r w:rsidRPr="0077316C">
        <w:rPr>
          <w:rFonts w:ascii="Times New Roman" w:hAnsi="Times New Roman" w:cs="Times New Roman"/>
          <w:sz w:val="16"/>
          <w:szCs w:val="16"/>
        </w:rPr>
        <w:t xml:space="preserve"> (Toronto: University of Toronto Press, 1994) at 239.</w:t>
      </w:r>
    </w:p>
  </w:footnote>
  <w:footnote w:id="8">
    <w:p w14:paraId="251D5001" w14:textId="1D7A692F"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Bradwell v Illinois</w:t>
      </w:r>
      <w:r w:rsidRPr="0077316C">
        <w:rPr>
          <w:rFonts w:ascii="Times New Roman" w:hAnsi="Times New Roman" w:cs="Times New Roman"/>
          <w:sz w:val="16"/>
          <w:szCs w:val="16"/>
        </w:rPr>
        <w:t xml:space="preserve"> 83 US (16 Wallace’s Supreme Court Reports) 130 (1873) at 141.</w:t>
      </w:r>
    </w:p>
  </w:footnote>
  <w:footnote w:id="9">
    <w:p w14:paraId="202B5BF6" w14:textId="176CA849"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Langstaff v Bar of Quebec</w:t>
      </w:r>
      <w:r w:rsidRPr="0077316C">
        <w:rPr>
          <w:rFonts w:ascii="Times New Roman" w:hAnsi="Times New Roman" w:cs="Times New Roman"/>
          <w:sz w:val="16"/>
          <w:szCs w:val="16"/>
        </w:rPr>
        <w:t xml:space="preserve"> (1915) 47 Rapports Judiciares de Quebec 131 (CS) at 139 (emphasis in original).</w:t>
      </w:r>
    </w:p>
  </w:footnote>
  <w:footnote w:id="10">
    <w:p w14:paraId="2F02FD14" w14:textId="11809F5B"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Letter of Lelia Robinson, 1887 in VG Drachman, </w:t>
      </w:r>
      <w:r w:rsidRPr="0077316C">
        <w:rPr>
          <w:rFonts w:ascii="Times New Roman" w:hAnsi="Times New Roman" w:cs="Times New Roman"/>
          <w:i/>
          <w:sz w:val="16"/>
          <w:szCs w:val="16"/>
        </w:rPr>
        <w:t>Women Lawyers and the Origins of Professional Identity in America: The Letters of the Equity Club, 1887 to 1890</w:t>
      </w:r>
      <w:r w:rsidRPr="0077316C">
        <w:rPr>
          <w:rFonts w:ascii="Times New Roman" w:hAnsi="Times New Roman" w:cs="Times New Roman"/>
          <w:sz w:val="16"/>
          <w:szCs w:val="16"/>
        </w:rPr>
        <w:t xml:space="preserve"> (Ann Arbor: University of Michigan Press, 1993) at 66 (emphasis in original).</w:t>
      </w:r>
    </w:p>
  </w:footnote>
  <w:footnote w:id="11">
    <w:p w14:paraId="320720BC" w14:textId="44481C89"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‘The Legal Lady,’ </w:t>
      </w:r>
      <w:r w:rsidRPr="0077316C">
        <w:rPr>
          <w:rFonts w:ascii="Times New Roman" w:hAnsi="Times New Roman" w:cs="Times New Roman"/>
          <w:i/>
          <w:sz w:val="16"/>
          <w:szCs w:val="16"/>
        </w:rPr>
        <w:t>Maclean’s Magazine</w:t>
      </w:r>
      <w:r w:rsidRPr="0077316C">
        <w:rPr>
          <w:rFonts w:ascii="Times New Roman" w:hAnsi="Times New Roman" w:cs="Times New Roman"/>
          <w:sz w:val="16"/>
          <w:szCs w:val="16"/>
        </w:rPr>
        <w:t>, 1949 at 23.</w:t>
      </w:r>
    </w:p>
  </w:footnote>
  <w:footnote w:id="12">
    <w:p w14:paraId="28E3009D" w14:textId="6555015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63-64.</w:t>
      </w:r>
    </w:p>
  </w:footnote>
  <w:footnote w:id="13">
    <w:p w14:paraId="6F4D3C3A" w14:textId="24A9F846"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 Heilbron, </w:t>
      </w:r>
      <w:r w:rsidRPr="0077316C">
        <w:rPr>
          <w:rFonts w:ascii="Times New Roman" w:hAnsi="Times New Roman" w:cs="Times New Roman"/>
          <w:i/>
          <w:sz w:val="16"/>
          <w:szCs w:val="16"/>
        </w:rPr>
        <w:t>Rose Heilbron: The Story of England’s First Woman Queen’s Counsel and Judge</w:t>
      </w:r>
      <w:r w:rsidRPr="0077316C">
        <w:rPr>
          <w:rFonts w:ascii="Times New Roman" w:hAnsi="Times New Roman" w:cs="Times New Roman"/>
          <w:sz w:val="16"/>
          <w:szCs w:val="16"/>
        </w:rPr>
        <w:t xml:space="preserve"> (Oxford and Portland OR: Hart Publishing, 2012) at 240-241.</w:t>
      </w:r>
    </w:p>
  </w:footnote>
  <w:footnote w:id="14">
    <w:p w14:paraId="0AADB61A" w14:textId="3E82A212"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Obituary, ‘Eileen Mitchell Thomas,’ </w:t>
      </w:r>
      <w:r w:rsidRPr="0077316C">
        <w:rPr>
          <w:rFonts w:ascii="Times New Roman" w:hAnsi="Times New Roman" w:cs="Times New Roman"/>
          <w:i/>
          <w:sz w:val="16"/>
          <w:szCs w:val="16"/>
        </w:rPr>
        <w:t>The Ottawa Citizen</w:t>
      </w:r>
      <w:r w:rsidRPr="0077316C">
        <w:rPr>
          <w:rFonts w:ascii="Times New Roman" w:hAnsi="Times New Roman" w:cs="Times New Roman"/>
          <w:sz w:val="16"/>
          <w:szCs w:val="16"/>
        </w:rPr>
        <w:t>, 6 April 2007.</w:t>
      </w:r>
    </w:p>
  </w:footnote>
  <w:footnote w:id="15">
    <w:p w14:paraId="2EFC0EC0" w14:textId="454E2635"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Oral history transcript, Osgoode Society for Canadian Legal History, ‘Mabel Van Camp’ at 174.</w:t>
      </w:r>
    </w:p>
  </w:footnote>
  <w:footnote w:id="16">
    <w:p w14:paraId="7FFBAA70" w14:textId="4477AF08"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Obituary, ‘Mabel Van Camp,’ </w:t>
      </w:r>
      <w:r w:rsidRPr="0077316C">
        <w:rPr>
          <w:rFonts w:ascii="Times New Roman" w:hAnsi="Times New Roman" w:cs="Times New Roman"/>
          <w:i/>
          <w:sz w:val="16"/>
          <w:szCs w:val="16"/>
        </w:rPr>
        <w:t>The Globe and Mail</w:t>
      </w:r>
      <w:r w:rsidRPr="0077316C">
        <w:rPr>
          <w:rFonts w:ascii="Times New Roman" w:hAnsi="Times New Roman" w:cs="Times New Roman"/>
          <w:sz w:val="16"/>
          <w:szCs w:val="16"/>
        </w:rPr>
        <w:t>, 9 August 2012.</w:t>
      </w:r>
    </w:p>
  </w:footnote>
  <w:footnote w:id="17">
    <w:p w14:paraId="11283079" w14:textId="037FCEA4"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See J Albisetti, ‘Portia Ante Portas: Women and the Legal Profession in Europe, ca 1870-1925’ (2000) 33 </w:t>
      </w:r>
      <w:r w:rsidRPr="0077316C">
        <w:rPr>
          <w:rFonts w:ascii="Times New Roman" w:hAnsi="Times New Roman" w:cs="Times New Roman"/>
          <w:i/>
          <w:sz w:val="16"/>
          <w:szCs w:val="16"/>
        </w:rPr>
        <w:t>Journal of Social History</w:t>
      </w:r>
      <w:r w:rsidRPr="0077316C">
        <w:rPr>
          <w:rFonts w:ascii="Times New Roman" w:hAnsi="Times New Roman" w:cs="Times New Roman"/>
          <w:sz w:val="16"/>
          <w:szCs w:val="16"/>
        </w:rPr>
        <w:t xml:space="preserve"> 825; and B Abel-Smith and R Stevens (with R Brooke), </w:t>
      </w:r>
      <w:r w:rsidRPr="0077316C">
        <w:rPr>
          <w:rFonts w:ascii="Times New Roman" w:hAnsi="Times New Roman" w:cs="Times New Roman"/>
          <w:i/>
          <w:sz w:val="16"/>
          <w:szCs w:val="16"/>
        </w:rPr>
        <w:t>Lawyers and the Courts: A Sociological Study of the English Legal System</w:t>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1750-1965</w:t>
      </w:r>
      <w:r w:rsidRPr="0077316C">
        <w:rPr>
          <w:rFonts w:ascii="Times New Roman" w:hAnsi="Times New Roman" w:cs="Times New Roman"/>
          <w:sz w:val="16"/>
          <w:szCs w:val="16"/>
        </w:rPr>
        <w:t xml:space="preserve"> (London: Heinemann, 1967).</w:t>
      </w:r>
    </w:p>
  </w:footnote>
  <w:footnote w:id="18">
    <w:p w14:paraId="4C3677E5" w14:textId="48EAB50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Orme was the first woman to graduate with the LLB degree at the University of London in 1888. However, she and another woman law student opened an office in Chancery Lane in 1875, where they engaged in conveyancing, estates and patent work; they also provided opinions to barristers. Orme never sought admission to the bar of the solicitors’ profession. See L Howsam, ‘Sound-Minded Women: Eliza Orme and the Study and Practice of Law in Late-Victorian England’ (1989) 15:1 </w:t>
      </w:r>
      <w:r w:rsidRPr="0077316C">
        <w:rPr>
          <w:rFonts w:ascii="Times New Roman" w:hAnsi="Times New Roman" w:cs="Times New Roman"/>
          <w:i/>
          <w:sz w:val="16"/>
          <w:szCs w:val="16"/>
        </w:rPr>
        <w:t>Atlantis</w:t>
      </w:r>
      <w:r w:rsidRPr="0077316C">
        <w:rPr>
          <w:rFonts w:ascii="Times New Roman" w:hAnsi="Times New Roman" w:cs="Times New Roman"/>
          <w:sz w:val="16"/>
          <w:szCs w:val="16"/>
        </w:rPr>
        <w:t xml:space="preserve"> 44; and Letter of J Wright in Drachman, note 9 at 144.</w:t>
      </w:r>
    </w:p>
  </w:footnote>
  <w:footnote w:id="19">
    <w:p w14:paraId="71DC17E7" w14:textId="477BBA0C"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 Witz, </w:t>
      </w:r>
      <w:r w:rsidRPr="0077316C">
        <w:rPr>
          <w:rFonts w:ascii="Times New Roman" w:hAnsi="Times New Roman" w:cs="Times New Roman"/>
          <w:i/>
          <w:sz w:val="16"/>
          <w:szCs w:val="16"/>
        </w:rPr>
        <w:t>Professions and Patriarchy</w:t>
      </w:r>
      <w:r w:rsidRPr="0077316C">
        <w:rPr>
          <w:rFonts w:ascii="Times New Roman" w:hAnsi="Times New Roman" w:cs="Times New Roman"/>
          <w:sz w:val="16"/>
          <w:szCs w:val="16"/>
        </w:rPr>
        <w:t xml:space="preserve"> (London &amp; New York: Routledge, 1992) at 102.</w:t>
      </w:r>
    </w:p>
  </w:footnote>
  <w:footnote w:id="20">
    <w:p w14:paraId="42A9F685"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NF Cott, </w:t>
      </w:r>
      <w:r w:rsidRPr="0077316C">
        <w:rPr>
          <w:rFonts w:ascii="Times New Roman" w:hAnsi="Times New Roman" w:cs="Times New Roman"/>
          <w:i/>
          <w:sz w:val="16"/>
          <w:szCs w:val="16"/>
        </w:rPr>
        <w:t>The Grounding of Modern Feminism</w:t>
      </w:r>
      <w:r w:rsidRPr="0077316C">
        <w:rPr>
          <w:rFonts w:ascii="Times New Roman" w:hAnsi="Times New Roman" w:cs="Times New Roman"/>
          <w:sz w:val="16"/>
          <w:szCs w:val="16"/>
        </w:rPr>
        <w:t xml:space="preserve"> (New Haven &amp; London: Yale University Press, 1987) at 232-234.</w:t>
      </w:r>
    </w:p>
  </w:footnote>
  <w:footnote w:id="21">
    <w:p w14:paraId="2A731ED8" w14:textId="3852BADF"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Cott, note 19; and J Margolis, ‘Pierre Bourdieu: </w:t>
      </w:r>
      <w:r w:rsidRPr="0077316C">
        <w:rPr>
          <w:rFonts w:ascii="Times New Roman" w:hAnsi="Times New Roman" w:cs="Times New Roman"/>
          <w:i/>
          <w:sz w:val="16"/>
          <w:szCs w:val="16"/>
        </w:rPr>
        <w:t>Habitus</w:t>
      </w:r>
      <w:r w:rsidRPr="0077316C">
        <w:rPr>
          <w:rFonts w:ascii="Times New Roman" w:hAnsi="Times New Roman" w:cs="Times New Roman"/>
          <w:sz w:val="16"/>
          <w:szCs w:val="16"/>
        </w:rPr>
        <w:t xml:space="preserve"> and the Logic of Practice’ in R Shusterman, ed, </w:t>
      </w:r>
      <w:r w:rsidRPr="0077316C">
        <w:rPr>
          <w:rFonts w:ascii="Times New Roman" w:hAnsi="Times New Roman" w:cs="Times New Roman"/>
          <w:i/>
          <w:sz w:val="16"/>
          <w:szCs w:val="16"/>
        </w:rPr>
        <w:t>Bourdieu: A Critical Reader</w:t>
      </w:r>
      <w:r w:rsidRPr="0077316C">
        <w:rPr>
          <w:rFonts w:ascii="Times New Roman" w:hAnsi="Times New Roman" w:cs="Times New Roman"/>
          <w:sz w:val="16"/>
          <w:szCs w:val="16"/>
        </w:rPr>
        <w:t xml:space="preserve"> (Oxford: Blackwell Publishers Ltd, 1999) at 64.</w:t>
      </w:r>
    </w:p>
  </w:footnote>
  <w:footnote w:id="22">
    <w:p w14:paraId="58B1D8FF" w14:textId="386B142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138-142; and E Orme, </w:t>
      </w:r>
      <w:r w:rsidRPr="0077316C">
        <w:rPr>
          <w:rFonts w:ascii="Times New Roman" w:hAnsi="Times New Roman" w:cs="Times New Roman"/>
          <w:i/>
          <w:sz w:val="16"/>
          <w:szCs w:val="16"/>
        </w:rPr>
        <w:t>Lady Fry of Darlington</w:t>
      </w:r>
      <w:r w:rsidRPr="0077316C">
        <w:rPr>
          <w:rFonts w:ascii="Times New Roman" w:hAnsi="Times New Roman" w:cs="Times New Roman"/>
          <w:sz w:val="16"/>
          <w:szCs w:val="16"/>
        </w:rPr>
        <w:t xml:space="preserve"> (London: Hodder &amp; Stoughton, 1898).</w:t>
      </w:r>
    </w:p>
  </w:footnote>
  <w:footnote w:id="23">
    <w:p w14:paraId="3058F7B4" w14:textId="224612AD"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152 and 211.</w:t>
      </w:r>
    </w:p>
  </w:footnote>
  <w:footnote w:id="24">
    <w:p w14:paraId="16EB5419" w14:textId="46520246"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232-237.</w:t>
      </w:r>
    </w:p>
  </w:footnote>
  <w:footnote w:id="25">
    <w:p w14:paraId="10AB177B" w14:textId="7CDCBE9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Bourne, ‘Helena Normanton and the Opening of the Bar to Women’ (PhD dissertation: King’s College, London, 2014). </w:t>
      </w:r>
    </w:p>
  </w:footnote>
  <w:footnote w:id="26">
    <w:p w14:paraId="6AA332AC" w14:textId="25B558C0"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 Ritchie, quoted in C Harvey, ‘Women in Law in Canada’ (1970-71) 4 </w:t>
      </w:r>
      <w:r w:rsidRPr="0077316C">
        <w:rPr>
          <w:rFonts w:ascii="Times New Roman" w:hAnsi="Times New Roman" w:cs="Times New Roman"/>
          <w:i/>
          <w:sz w:val="16"/>
          <w:szCs w:val="16"/>
        </w:rPr>
        <w:t>Manitoba Law Journal</w:t>
      </w:r>
      <w:r w:rsidRPr="0077316C">
        <w:rPr>
          <w:rFonts w:ascii="Times New Roman" w:hAnsi="Times New Roman" w:cs="Times New Roman"/>
          <w:sz w:val="16"/>
          <w:szCs w:val="16"/>
        </w:rPr>
        <w:t xml:space="preserve"> 9 at13 (emphasis added).</w:t>
      </w:r>
    </w:p>
  </w:footnote>
  <w:footnote w:id="27">
    <w:p w14:paraId="5B73A7CE" w14:textId="224DE465"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Law Society of Upper Canada Archives, Transcript of interview ‘Laura Legge’ at 54 and 72.</w:t>
      </w:r>
    </w:p>
  </w:footnote>
  <w:footnote w:id="28">
    <w:p w14:paraId="5878E3A5" w14:textId="502AF3C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Scott, note 5.</w:t>
      </w:r>
    </w:p>
  </w:footnote>
  <w:footnote w:id="29">
    <w:p w14:paraId="63B62B85" w14:textId="35DBDB70"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Rendall, ‘Uneven Developments: Women’s History, Feminist History and Gender History in Great Britain’ in K Offen, R Roach Pierson and J Rendall, eds, </w:t>
      </w:r>
      <w:r w:rsidRPr="0077316C">
        <w:rPr>
          <w:rFonts w:ascii="Times New Roman" w:hAnsi="Times New Roman" w:cs="Times New Roman"/>
          <w:i/>
          <w:sz w:val="16"/>
          <w:szCs w:val="16"/>
        </w:rPr>
        <w:t>Writing Women’s History: International Perspectives</w:t>
      </w:r>
      <w:r w:rsidRPr="0077316C">
        <w:rPr>
          <w:rFonts w:ascii="Times New Roman" w:hAnsi="Times New Roman" w:cs="Times New Roman"/>
          <w:sz w:val="16"/>
          <w:szCs w:val="16"/>
        </w:rPr>
        <w:t xml:space="preserve"> (Bloomington: Indiana University Press, 1991).</w:t>
      </w:r>
    </w:p>
  </w:footnote>
  <w:footnote w:id="30">
    <w:p w14:paraId="4A884283" w14:textId="6F26EF92" w:rsidR="00710E11" w:rsidRPr="0077316C" w:rsidRDefault="00710E11" w:rsidP="007900C7">
      <w:pPr>
        <w:spacing w:after="0"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 Lee, </w:t>
      </w:r>
      <w:r w:rsidRPr="0077316C">
        <w:rPr>
          <w:rFonts w:ascii="Times New Roman" w:hAnsi="Times New Roman" w:cs="Times New Roman"/>
          <w:i/>
          <w:sz w:val="16"/>
          <w:szCs w:val="16"/>
        </w:rPr>
        <w:t>Virginia Woolf’s Nose: Essays on Biography</w:t>
      </w:r>
      <w:r w:rsidRPr="0077316C">
        <w:rPr>
          <w:rFonts w:ascii="Times New Roman" w:hAnsi="Times New Roman" w:cs="Times New Roman"/>
          <w:sz w:val="16"/>
          <w:szCs w:val="16"/>
        </w:rPr>
        <w:t xml:space="preserve"> (Princeton and Oxford: Princeton Univ</w:t>
      </w:r>
      <w:r>
        <w:rPr>
          <w:rFonts w:ascii="Times New Roman" w:hAnsi="Times New Roman" w:cs="Times New Roman"/>
          <w:sz w:val="16"/>
          <w:szCs w:val="16"/>
        </w:rPr>
        <w:t>ersity Press, 2005) at 1 and 5.</w:t>
      </w:r>
    </w:p>
  </w:footnote>
  <w:footnote w:id="31">
    <w:p w14:paraId="268ACBE5" w14:textId="1AD7F82F"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Albisetti, note 16 at 846.</w:t>
      </w:r>
    </w:p>
  </w:footnote>
  <w:footnote w:id="32">
    <w:p w14:paraId="46CD07E9" w14:textId="05DB866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 Backscheider, </w:t>
      </w:r>
      <w:r w:rsidRPr="0077316C">
        <w:rPr>
          <w:rFonts w:ascii="Times New Roman" w:hAnsi="Times New Roman" w:cs="Times New Roman"/>
          <w:i/>
          <w:sz w:val="16"/>
          <w:szCs w:val="16"/>
        </w:rPr>
        <w:t>Reflections on Biography</w:t>
      </w:r>
      <w:r w:rsidRPr="0077316C">
        <w:rPr>
          <w:rFonts w:ascii="Times New Roman" w:hAnsi="Times New Roman" w:cs="Times New Roman"/>
          <w:sz w:val="16"/>
          <w:szCs w:val="16"/>
        </w:rPr>
        <w:t xml:space="preserve"> (Oxford: Oxford University Press, 1999) at 59.</w:t>
      </w:r>
    </w:p>
  </w:footnote>
  <w:footnote w:id="33">
    <w:p w14:paraId="4642186D" w14:textId="3B2B1864"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Ker Conway, </w:t>
      </w:r>
      <w:r w:rsidRPr="0077316C">
        <w:rPr>
          <w:rFonts w:ascii="Times New Roman" w:hAnsi="Times New Roman" w:cs="Times New Roman"/>
          <w:i/>
          <w:sz w:val="16"/>
          <w:szCs w:val="16"/>
        </w:rPr>
        <w:t>When Memory Speaks</w:t>
      </w:r>
      <w:r w:rsidRPr="0077316C">
        <w:rPr>
          <w:rFonts w:ascii="Times New Roman" w:hAnsi="Times New Roman" w:cs="Times New Roman"/>
          <w:sz w:val="16"/>
          <w:szCs w:val="16"/>
        </w:rPr>
        <w:t xml:space="preserve"> (New York: Vintage Books, 1999) at 7 and 15-16 (emphasis added).</w:t>
      </w:r>
    </w:p>
  </w:footnote>
  <w:footnote w:id="34">
    <w:p w14:paraId="3E900A5A" w14:textId="70C0A7A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Woolf, ‘Silent Witness: Memory and Omission in Natalia Ginzburg’s </w:t>
      </w:r>
      <w:r w:rsidRPr="0077316C">
        <w:rPr>
          <w:rFonts w:ascii="Times New Roman" w:hAnsi="Times New Roman" w:cs="Times New Roman"/>
          <w:i/>
          <w:sz w:val="16"/>
          <w:szCs w:val="16"/>
        </w:rPr>
        <w:t>Family Sayings</w:t>
      </w:r>
      <w:r w:rsidRPr="0077316C">
        <w:rPr>
          <w:rFonts w:ascii="Times New Roman" w:hAnsi="Times New Roman" w:cs="Times New Roman"/>
          <w:sz w:val="16"/>
          <w:szCs w:val="16"/>
        </w:rPr>
        <w:t xml:space="preserve">’ in TL Broughton and L Anderson, eds, </w:t>
      </w:r>
      <w:r w:rsidRPr="0077316C">
        <w:rPr>
          <w:rFonts w:ascii="Times New Roman" w:hAnsi="Times New Roman" w:cs="Times New Roman"/>
          <w:i/>
          <w:sz w:val="16"/>
          <w:szCs w:val="16"/>
        </w:rPr>
        <w:t>Women’s Lives/Women’s Times: New Essays on Auto/Biography</w:t>
      </w:r>
      <w:r w:rsidRPr="0077316C">
        <w:rPr>
          <w:rFonts w:ascii="Times New Roman" w:hAnsi="Times New Roman" w:cs="Times New Roman"/>
          <w:sz w:val="16"/>
          <w:szCs w:val="16"/>
        </w:rPr>
        <w:t xml:space="preserve"> (New York: State University of New York Press, 1997) 203 at 212. See also J Malcolm, </w:t>
      </w:r>
      <w:r w:rsidRPr="0077316C">
        <w:rPr>
          <w:rFonts w:ascii="Times New Roman" w:hAnsi="Times New Roman" w:cs="Times New Roman"/>
          <w:i/>
          <w:sz w:val="16"/>
          <w:szCs w:val="16"/>
        </w:rPr>
        <w:t>The Silent Woman: Sylvia Plath &amp; Ted Hughes</w:t>
      </w:r>
      <w:r w:rsidRPr="0077316C">
        <w:rPr>
          <w:rFonts w:ascii="Times New Roman" w:hAnsi="Times New Roman" w:cs="Times New Roman"/>
          <w:sz w:val="16"/>
          <w:szCs w:val="16"/>
        </w:rPr>
        <w:t xml:space="preserve"> (London: Granta Publications, 2012).</w:t>
      </w:r>
    </w:p>
  </w:footnote>
  <w:footnote w:id="35">
    <w:p w14:paraId="5E1D3015" w14:textId="59B5276E"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Transcript of interview, ‘Laura Legge,’ note 26 at 123.</w:t>
      </w:r>
    </w:p>
  </w:footnote>
  <w:footnote w:id="36">
    <w:p w14:paraId="1FCD936F" w14:textId="42E0805D"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 Morton, ‘Dame Rose Heilbron’, </w:t>
      </w:r>
      <w:r w:rsidRPr="0077316C">
        <w:rPr>
          <w:rFonts w:ascii="Times New Roman" w:hAnsi="Times New Roman" w:cs="Times New Roman"/>
          <w:i/>
          <w:iCs/>
          <w:sz w:val="16"/>
          <w:szCs w:val="16"/>
        </w:rPr>
        <w:t>The Guardian</w:t>
      </w:r>
      <w:r w:rsidRPr="0077316C">
        <w:rPr>
          <w:rFonts w:ascii="Times New Roman" w:hAnsi="Times New Roman" w:cs="Times New Roman"/>
          <w:sz w:val="16"/>
          <w:szCs w:val="16"/>
        </w:rPr>
        <w:t xml:space="preserve"> (13 December 2005) 32. </w:t>
      </w:r>
    </w:p>
  </w:footnote>
  <w:footnote w:id="37">
    <w:p w14:paraId="3D4E95B4" w14:textId="5C09F8C9"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Heilbron, note 12.</w:t>
      </w:r>
    </w:p>
  </w:footnote>
  <w:footnote w:id="38">
    <w:p w14:paraId="38EBA273" w14:textId="059A2325"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Ritchie, note 25.</w:t>
      </w:r>
    </w:p>
  </w:footnote>
  <w:footnote w:id="39">
    <w:p w14:paraId="01DEC182" w14:textId="0542FA0B"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Letter of J Wright, note 17.</w:t>
      </w:r>
    </w:p>
  </w:footnote>
  <w:footnote w:id="40">
    <w:p w14:paraId="064C5258" w14:textId="38C7B05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‘Women and the Bar,’ </w:t>
      </w:r>
      <w:r w:rsidRPr="0077316C">
        <w:rPr>
          <w:rFonts w:ascii="Times New Roman" w:hAnsi="Times New Roman" w:cs="Times New Roman"/>
          <w:i/>
          <w:sz w:val="16"/>
          <w:szCs w:val="16"/>
        </w:rPr>
        <w:t>The Law Journal</w:t>
      </w:r>
      <w:r w:rsidRPr="0077316C">
        <w:rPr>
          <w:rFonts w:ascii="Times New Roman" w:hAnsi="Times New Roman" w:cs="Times New Roman"/>
          <w:sz w:val="16"/>
          <w:szCs w:val="16"/>
        </w:rPr>
        <w:t xml:space="preserve">, 12 December 1903, at 620. </w:t>
      </w:r>
    </w:p>
  </w:footnote>
  <w:footnote w:id="41">
    <w:p w14:paraId="1E3B1F37" w14:textId="620FB7A6"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The Ottawa Journal</w:t>
      </w:r>
      <w:r w:rsidRPr="0077316C">
        <w:rPr>
          <w:rFonts w:ascii="Times New Roman" w:hAnsi="Times New Roman" w:cs="Times New Roman"/>
          <w:sz w:val="16"/>
          <w:szCs w:val="16"/>
        </w:rPr>
        <w:t>, 16 March 1973.</w:t>
      </w:r>
    </w:p>
  </w:footnote>
  <w:footnote w:id="42">
    <w:p w14:paraId="3789B62C" w14:textId="1E0D37A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Lee, note 29.  </w:t>
      </w:r>
    </w:p>
  </w:footnote>
  <w:footnote w:id="43">
    <w:p w14:paraId="07FEF37A" w14:textId="7790EB3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‘Winnipeg Girl Lawyer Surprises Londoner’ (unidentified press clipping, 1917, on file).</w:t>
      </w:r>
    </w:p>
  </w:footnote>
  <w:footnote w:id="44">
    <w:p w14:paraId="181D1514" w14:textId="378D478C"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British Library, Cornelia Sorabji fonds, F165/16: letter to Lady Hobouse, 13 April 1899 (emphasis added). See also Mossman, note 3 at 217-223.</w:t>
      </w:r>
    </w:p>
  </w:footnote>
  <w:footnote w:id="45">
    <w:p w14:paraId="69876933" w14:textId="597A278B"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 Heilbrun, </w:t>
      </w:r>
      <w:r w:rsidRPr="0077316C">
        <w:rPr>
          <w:rFonts w:ascii="Times New Roman" w:hAnsi="Times New Roman" w:cs="Times New Roman"/>
          <w:i/>
          <w:sz w:val="16"/>
          <w:szCs w:val="16"/>
        </w:rPr>
        <w:t>Writing a Woman’s Life</w:t>
      </w:r>
      <w:r w:rsidRPr="0077316C">
        <w:rPr>
          <w:rFonts w:ascii="Times New Roman" w:hAnsi="Times New Roman" w:cs="Times New Roman"/>
          <w:sz w:val="16"/>
          <w:szCs w:val="16"/>
        </w:rPr>
        <w:t xml:space="preserve"> (New York: Ballantyne Books, 1988) at 31.</w:t>
      </w:r>
    </w:p>
  </w:footnote>
  <w:footnote w:id="46">
    <w:p w14:paraId="6B0C1D86" w14:textId="5CA99115"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Backscheider, note 31 at 132 and 149.</w:t>
      </w:r>
    </w:p>
  </w:footnote>
  <w:footnote w:id="47">
    <w:p w14:paraId="7E5C78A4" w14:textId="4065265F"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CA Corcos, ‘Portia and her Partners in Popular Culture: A Bibliography’ (1998) 22 </w:t>
      </w:r>
      <w:r w:rsidRPr="0077316C">
        <w:rPr>
          <w:rFonts w:ascii="Times New Roman" w:hAnsi="Times New Roman" w:cs="Times New Roman"/>
          <w:i/>
          <w:sz w:val="16"/>
          <w:szCs w:val="16"/>
        </w:rPr>
        <w:t>Legal Studies Forum</w:t>
      </w:r>
      <w:r w:rsidRPr="0077316C">
        <w:rPr>
          <w:rFonts w:ascii="Times New Roman" w:hAnsi="Times New Roman" w:cs="Times New Roman"/>
          <w:sz w:val="16"/>
          <w:szCs w:val="16"/>
        </w:rPr>
        <w:t xml:space="preserve"> 269.</w:t>
      </w:r>
    </w:p>
  </w:footnote>
  <w:footnote w:id="48">
    <w:p w14:paraId="44E8D116" w14:textId="0266D880"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 Grossberg, ‘Institutionalizing Masculinity: The Law as a Masculine Profession’ in MC Carnes and C Griffen, eds, </w:t>
      </w:r>
      <w:r w:rsidRPr="0077316C">
        <w:rPr>
          <w:rFonts w:ascii="Times New Roman" w:hAnsi="Times New Roman" w:cs="Times New Roman"/>
          <w:i/>
          <w:sz w:val="16"/>
          <w:szCs w:val="16"/>
        </w:rPr>
        <w:t>Meanings for Manhood: Constructions of Masculinity in Victorian America</w:t>
      </w:r>
      <w:r w:rsidRPr="0077316C">
        <w:rPr>
          <w:rFonts w:ascii="Times New Roman" w:hAnsi="Times New Roman" w:cs="Times New Roman"/>
          <w:sz w:val="16"/>
          <w:szCs w:val="16"/>
        </w:rPr>
        <w:t xml:space="preserve"> (Chicago: University of Chicago Press, 1990) 133 at 148.</w:t>
      </w:r>
    </w:p>
  </w:footnote>
  <w:footnote w:id="49">
    <w:p w14:paraId="23AD8167" w14:textId="14A666D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Although these questions raise contemporary concerns, issues about feminism also need to be addressed in a historical context. For contemporary assessments, see M Davies and VE Munro, </w:t>
      </w:r>
      <w:r w:rsidRPr="0077316C">
        <w:rPr>
          <w:rFonts w:ascii="Times New Roman" w:hAnsi="Times New Roman" w:cs="Times New Roman"/>
          <w:i/>
          <w:sz w:val="16"/>
          <w:szCs w:val="16"/>
        </w:rPr>
        <w:t>The Ashgate Research Companion to Feminist Legal Theory</w:t>
      </w:r>
      <w:r w:rsidRPr="0077316C">
        <w:rPr>
          <w:rFonts w:ascii="Times New Roman" w:hAnsi="Times New Roman" w:cs="Times New Roman"/>
          <w:sz w:val="16"/>
          <w:szCs w:val="16"/>
        </w:rPr>
        <w:t xml:space="preserve"> (Farnham, England: Ashgate Publishing Limited, 2013); and for historical accounts, see S Morgan, ed, </w:t>
      </w:r>
      <w:r w:rsidRPr="0077316C">
        <w:rPr>
          <w:rFonts w:ascii="Times New Roman" w:hAnsi="Times New Roman" w:cs="Times New Roman"/>
          <w:i/>
          <w:sz w:val="16"/>
          <w:szCs w:val="16"/>
        </w:rPr>
        <w:t>The Feminist History Reader</w:t>
      </w:r>
      <w:r w:rsidRPr="0077316C">
        <w:rPr>
          <w:rFonts w:ascii="Times New Roman" w:hAnsi="Times New Roman" w:cs="Times New Roman"/>
          <w:sz w:val="16"/>
          <w:szCs w:val="16"/>
        </w:rPr>
        <w:t xml:space="preserve"> (London &amp; New York: Routledge, 2006).</w:t>
      </w:r>
    </w:p>
  </w:footnote>
  <w:footnote w:id="50">
    <w:p w14:paraId="3896CB02" w14:textId="7206322D"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F Kay, ‘Review Essay: The Social Significance of the World’s First Women Lawyers’ (2007) 45:2 </w:t>
      </w:r>
      <w:r w:rsidRPr="0077316C">
        <w:rPr>
          <w:rFonts w:ascii="Times New Roman" w:hAnsi="Times New Roman" w:cs="Times New Roman"/>
          <w:i/>
          <w:sz w:val="16"/>
          <w:szCs w:val="16"/>
        </w:rPr>
        <w:t>Osgoode Hall Law Journal</w:t>
      </w:r>
      <w:r w:rsidRPr="0077316C">
        <w:rPr>
          <w:rFonts w:ascii="Times New Roman" w:hAnsi="Times New Roman" w:cs="Times New Roman"/>
          <w:sz w:val="16"/>
          <w:szCs w:val="16"/>
        </w:rPr>
        <w:t xml:space="preserve"> 397.</w:t>
      </w:r>
    </w:p>
  </w:footnote>
  <w:footnote w:id="51">
    <w:p w14:paraId="2F4D1AF9" w14:textId="186085E8"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 Sommerlad and P Sanderson, </w:t>
      </w:r>
      <w:r w:rsidRPr="0077316C">
        <w:rPr>
          <w:rFonts w:ascii="Times New Roman" w:hAnsi="Times New Roman" w:cs="Times New Roman"/>
          <w:i/>
          <w:sz w:val="16"/>
          <w:szCs w:val="16"/>
        </w:rPr>
        <w:t>Gender, Choice and Commitment: Women Solicitors in England and Wales and the Struggle for Equal Status</w:t>
      </w:r>
      <w:r w:rsidRPr="0077316C">
        <w:rPr>
          <w:rFonts w:ascii="Times New Roman" w:hAnsi="Times New Roman" w:cs="Times New Roman"/>
          <w:sz w:val="16"/>
          <w:szCs w:val="16"/>
        </w:rPr>
        <w:t xml:space="preserve"> (Aldershot, UK: Ashgate/Dartmouth, 1998) at 119 (emphasis in original).</w:t>
      </w:r>
    </w:p>
  </w:footnote>
  <w:footnote w:id="52">
    <w:p w14:paraId="3BDFBCD0" w14:textId="299E60F4"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Mossman, note 3 at 289.</w:t>
      </w:r>
    </w:p>
  </w:footnote>
  <w:footnote w:id="53">
    <w:p w14:paraId="0FD40E1B" w14:textId="4E1D9295"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Carol Dyhouse </w:t>
      </w:r>
      <w:r w:rsidRPr="0077316C">
        <w:rPr>
          <w:rFonts w:ascii="Times New Roman" w:hAnsi="Times New Roman" w:cs="Times New Roman"/>
          <w:i/>
          <w:sz w:val="16"/>
          <w:szCs w:val="16"/>
        </w:rPr>
        <w:t xml:space="preserve">No Distinction of Sex? Women in British Universities, 1870-1939. </w:t>
      </w:r>
      <w:r w:rsidRPr="0077316C">
        <w:rPr>
          <w:rFonts w:ascii="Times New Roman" w:hAnsi="Times New Roman" w:cs="Times New Roman"/>
          <w:sz w:val="16"/>
          <w:szCs w:val="16"/>
        </w:rPr>
        <w:t>(London, UCL Press, 1995).</w:t>
      </w:r>
    </w:p>
  </w:footnote>
  <w:footnote w:id="54">
    <w:p w14:paraId="552DE9E3" w14:textId="77777777" w:rsidR="00710E11" w:rsidRPr="0077316C" w:rsidRDefault="00710E11" w:rsidP="0077316C">
      <w:pPr>
        <w:pStyle w:val="FootnoteText"/>
        <w:spacing w:line="480" w:lineRule="auto"/>
        <w:rPr>
          <w:rFonts w:ascii="Times New Roman" w:hAnsi="Times New Roman" w:cs="Times New Roman"/>
          <w:sz w:val="16"/>
          <w:szCs w:val="16"/>
          <w:u w:val="singl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Emily Davies </w:t>
      </w:r>
      <w:r w:rsidRPr="0077316C">
        <w:rPr>
          <w:rFonts w:ascii="Times New Roman" w:hAnsi="Times New Roman" w:cs="Times New Roman"/>
          <w:i/>
          <w:sz w:val="16"/>
          <w:szCs w:val="16"/>
        </w:rPr>
        <w:t xml:space="preserve">The Higher Education of Women </w:t>
      </w:r>
      <w:r w:rsidRPr="0077316C">
        <w:rPr>
          <w:rFonts w:ascii="Times New Roman" w:hAnsi="Times New Roman" w:cs="Times New Roman"/>
          <w:sz w:val="16"/>
          <w:szCs w:val="16"/>
        </w:rPr>
        <w:t>(1866), edited, with Introduction by J.Howarth ( London: The Hambledon Press, 1988).</w:t>
      </w:r>
    </w:p>
  </w:footnote>
  <w:footnote w:id="55">
    <w:p w14:paraId="5D729FA0" w14:textId="4B43AD40"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Carol Dyhouse </w:t>
      </w:r>
      <w:r w:rsidRPr="0077316C">
        <w:rPr>
          <w:rFonts w:ascii="Times New Roman" w:hAnsi="Times New Roman" w:cs="Times New Roman"/>
          <w:i/>
          <w:sz w:val="16"/>
          <w:szCs w:val="16"/>
        </w:rPr>
        <w:t xml:space="preserve">Students: A Gendered History </w:t>
      </w:r>
      <w:r w:rsidRPr="0077316C">
        <w:rPr>
          <w:rFonts w:ascii="Times New Roman" w:hAnsi="Times New Roman" w:cs="Times New Roman"/>
          <w:sz w:val="16"/>
          <w:szCs w:val="16"/>
        </w:rPr>
        <w:t>(London: Routledge, 2006), Ch 3 ‘Driving Ambitions: women in pursuit of a medical education, 1890-1939’ pp. 60-78.</w:t>
      </w:r>
    </w:p>
  </w:footnote>
  <w:footnote w:id="56">
    <w:p w14:paraId="1162A82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Dyhouse </w:t>
      </w:r>
      <w:r w:rsidRPr="0077316C">
        <w:rPr>
          <w:rFonts w:ascii="Times New Roman" w:hAnsi="Times New Roman" w:cs="Times New Roman"/>
          <w:i/>
          <w:sz w:val="16"/>
          <w:szCs w:val="16"/>
        </w:rPr>
        <w:t xml:space="preserve">Students, </w:t>
      </w:r>
      <w:r w:rsidRPr="0077316C">
        <w:rPr>
          <w:rFonts w:ascii="Times New Roman" w:hAnsi="Times New Roman" w:cs="Times New Roman"/>
          <w:sz w:val="16"/>
          <w:szCs w:val="16"/>
        </w:rPr>
        <w:t>pp. 4,53.</w:t>
      </w:r>
    </w:p>
  </w:footnote>
  <w:footnote w:id="57">
    <w:p w14:paraId="10D895C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Sheila Fletcher </w:t>
      </w:r>
      <w:r w:rsidRPr="0077316C">
        <w:rPr>
          <w:rFonts w:ascii="Times New Roman" w:hAnsi="Times New Roman" w:cs="Times New Roman"/>
          <w:i/>
          <w:sz w:val="16"/>
          <w:szCs w:val="16"/>
        </w:rPr>
        <w:t xml:space="preserve">Feminists and Bureaucrats. A Study in the Development of Girls’ Education in the Nineteenth Century. </w:t>
      </w:r>
      <w:r w:rsidRPr="0077316C">
        <w:rPr>
          <w:rFonts w:ascii="Times New Roman" w:hAnsi="Times New Roman" w:cs="Times New Roman"/>
          <w:sz w:val="16"/>
          <w:szCs w:val="16"/>
        </w:rPr>
        <w:t>( Cambridge University Press, 1980).</w:t>
      </w:r>
    </w:p>
  </w:footnote>
  <w:footnote w:id="58">
    <w:p w14:paraId="5FF728C5" w14:textId="30FEB8A1"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w:t>
      </w:r>
      <w:r w:rsidRPr="0077316C">
        <w:rPr>
          <w:rFonts w:ascii="Times New Roman" w:hAnsi="Times New Roman" w:cs="Times New Roman"/>
          <w:sz w:val="16"/>
          <w:szCs w:val="16"/>
        </w:rPr>
        <w:t>bid.</w:t>
      </w:r>
    </w:p>
  </w:footnote>
  <w:footnote w:id="59">
    <w:p w14:paraId="27E3E4DC"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Dyhouse </w:t>
      </w:r>
      <w:r w:rsidRPr="0077316C">
        <w:rPr>
          <w:rFonts w:ascii="Times New Roman" w:hAnsi="Times New Roman" w:cs="Times New Roman"/>
          <w:i/>
          <w:sz w:val="16"/>
          <w:szCs w:val="16"/>
        </w:rPr>
        <w:t xml:space="preserve">Students </w:t>
      </w:r>
      <w:r w:rsidRPr="0077316C">
        <w:rPr>
          <w:rFonts w:ascii="Times New Roman" w:hAnsi="Times New Roman" w:cs="Times New Roman"/>
          <w:sz w:val="16"/>
          <w:szCs w:val="16"/>
        </w:rPr>
        <w:t>p.115- 6</w:t>
      </w:r>
    </w:p>
  </w:footnote>
  <w:footnote w:id="60">
    <w:p w14:paraId="6CCF96D9" w14:textId="424134C6"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w:t>
      </w:r>
      <w:r w:rsidRPr="0077316C">
        <w:rPr>
          <w:rFonts w:ascii="Times New Roman" w:hAnsi="Times New Roman" w:cs="Times New Roman"/>
          <w:sz w:val="16"/>
          <w:szCs w:val="16"/>
        </w:rPr>
        <w:t>bid.</w:t>
      </w:r>
    </w:p>
  </w:footnote>
  <w:footnote w:id="61">
    <w:p w14:paraId="72DAF53F" w14:textId="4C5E339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Judith Bourne ‘Helena Normanton and the</w:t>
      </w:r>
      <w:r>
        <w:rPr>
          <w:rFonts w:ascii="Times New Roman" w:hAnsi="Times New Roman" w:cs="Times New Roman"/>
          <w:sz w:val="16"/>
          <w:szCs w:val="16"/>
        </w:rPr>
        <w:t xml:space="preserve"> Opening of the Bar to Women’ (</w:t>
      </w:r>
      <w:r w:rsidRPr="0077316C">
        <w:rPr>
          <w:rFonts w:ascii="Times New Roman" w:hAnsi="Times New Roman" w:cs="Times New Roman"/>
          <w:sz w:val="16"/>
          <w:szCs w:val="16"/>
        </w:rPr>
        <w:t>PhD thesis, Kings College London, 2014).</w:t>
      </w:r>
    </w:p>
  </w:footnote>
  <w:footnote w:id="62">
    <w:p w14:paraId="54FF59D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Lee Holcombe </w:t>
      </w:r>
      <w:r w:rsidRPr="0077316C">
        <w:rPr>
          <w:rFonts w:ascii="Times New Roman" w:hAnsi="Times New Roman" w:cs="Times New Roman"/>
          <w:i/>
          <w:sz w:val="16"/>
          <w:szCs w:val="16"/>
        </w:rPr>
        <w:t xml:space="preserve">Victorian Ladies at Work. Middle Class Working Women in England and Wales, 1850-1914 </w:t>
      </w:r>
      <w:r w:rsidRPr="0077316C">
        <w:rPr>
          <w:rFonts w:ascii="Times New Roman" w:hAnsi="Times New Roman" w:cs="Times New Roman"/>
          <w:sz w:val="16"/>
          <w:szCs w:val="16"/>
        </w:rPr>
        <w:t xml:space="preserve">(Newton Abbot: David and Charles, 1973); Helen Glew </w:t>
      </w:r>
      <w:r w:rsidRPr="0077316C">
        <w:rPr>
          <w:rFonts w:ascii="Times New Roman" w:hAnsi="Times New Roman" w:cs="Times New Roman"/>
          <w:i/>
          <w:sz w:val="16"/>
          <w:szCs w:val="16"/>
        </w:rPr>
        <w:t xml:space="preserve">Gender, Rhetoric and Regulation . Women’s Work in the Civil Service and the London County Council, 1900-1955. </w:t>
      </w:r>
      <w:r w:rsidRPr="0077316C">
        <w:rPr>
          <w:rFonts w:ascii="Times New Roman" w:hAnsi="Times New Roman" w:cs="Times New Roman"/>
          <w:sz w:val="16"/>
          <w:szCs w:val="16"/>
        </w:rPr>
        <w:t>(Manchester University Press, 2016).</w:t>
      </w:r>
    </w:p>
  </w:footnote>
  <w:footnote w:id="63">
    <w:p w14:paraId="63255801"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Pat Thane ‘The Careers of Female Graduates of Cambridge University, 1920s-1970s’ in D.Mitch,J.Brown, MHD Van Leeuwen eds </w:t>
      </w:r>
      <w:r w:rsidRPr="0077316C">
        <w:rPr>
          <w:rFonts w:ascii="Times New Roman" w:hAnsi="Times New Roman" w:cs="Times New Roman"/>
          <w:i/>
          <w:sz w:val="16"/>
          <w:szCs w:val="16"/>
        </w:rPr>
        <w:t xml:space="preserve">Origins of the Modern Career </w:t>
      </w:r>
      <w:r w:rsidRPr="0077316C">
        <w:rPr>
          <w:rFonts w:ascii="Times New Roman" w:hAnsi="Times New Roman" w:cs="Times New Roman"/>
          <w:sz w:val="16"/>
          <w:szCs w:val="16"/>
        </w:rPr>
        <w:t>(Aldershot: Ashgate, 2004) p. 218.</w:t>
      </w:r>
    </w:p>
  </w:footnote>
  <w:footnote w:id="64">
    <w:p w14:paraId="2AADF73B"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Glew </w:t>
      </w:r>
      <w:r w:rsidRPr="0077316C">
        <w:rPr>
          <w:rFonts w:ascii="Times New Roman" w:hAnsi="Times New Roman" w:cs="Times New Roman"/>
          <w:i/>
          <w:sz w:val="16"/>
          <w:szCs w:val="16"/>
        </w:rPr>
        <w:t xml:space="preserve">Gender </w:t>
      </w:r>
      <w:r w:rsidRPr="0077316C">
        <w:rPr>
          <w:rFonts w:ascii="Times New Roman" w:hAnsi="Times New Roman" w:cs="Times New Roman"/>
          <w:sz w:val="16"/>
          <w:szCs w:val="16"/>
        </w:rPr>
        <w:t>pp. 178-215.</w:t>
      </w:r>
    </w:p>
  </w:footnote>
  <w:footnote w:id="65">
    <w:p w14:paraId="6EF2563E" w14:textId="6BC1A488"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Helen McCarthy </w:t>
      </w:r>
      <w:r w:rsidRPr="0077316C">
        <w:rPr>
          <w:rFonts w:ascii="Times New Roman" w:hAnsi="Times New Roman" w:cs="Times New Roman"/>
          <w:i/>
          <w:sz w:val="16"/>
          <w:szCs w:val="16"/>
        </w:rPr>
        <w:t xml:space="preserve">Women of the World: The Rise of the Female Diplomat </w:t>
      </w:r>
      <w:r w:rsidRPr="0077316C">
        <w:rPr>
          <w:rFonts w:ascii="Times New Roman" w:hAnsi="Times New Roman" w:cs="Times New Roman"/>
          <w:sz w:val="16"/>
          <w:szCs w:val="16"/>
        </w:rPr>
        <w:t>(London: Bloomsbury, 2014).</w:t>
      </w:r>
    </w:p>
  </w:footnote>
  <w:footnote w:id="66">
    <w:p w14:paraId="61E3711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Dyhouse </w:t>
      </w:r>
      <w:r w:rsidRPr="0077316C">
        <w:rPr>
          <w:rFonts w:ascii="Times New Roman" w:hAnsi="Times New Roman" w:cs="Times New Roman"/>
          <w:i/>
          <w:sz w:val="16"/>
          <w:szCs w:val="16"/>
        </w:rPr>
        <w:t xml:space="preserve">Students </w:t>
      </w:r>
      <w:r w:rsidRPr="0077316C">
        <w:rPr>
          <w:rFonts w:ascii="Times New Roman" w:hAnsi="Times New Roman" w:cs="Times New Roman"/>
          <w:sz w:val="16"/>
          <w:szCs w:val="16"/>
        </w:rPr>
        <w:t>pp 60-78, 137-154.</w:t>
      </w:r>
    </w:p>
  </w:footnote>
  <w:footnote w:id="67">
    <w:p w14:paraId="6D77A1FA" w14:textId="3188E360"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Association of Women Solicitors </w:t>
      </w:r>
      <w:r w:rsidRPr="0077316C">
        <w:rPr>
          <w:rFonts w:ascii="Times New Roman" w:hAnsi="Times New Roman" w:cs="Times New Roman"/>
          <w:i/>
          <w:sz w:val="16"/>
          <w:szCs w:val="16"/>
        </w:rPr>
        <w:t xml:space="preserve">Link </w:t>
      </w:r>
      <w:r w:rsidRPr="0077316C">
        <w:rPr>
          <w:rFonts w:ascii="Times New Roman" w:hAnsi="Times New Roman" w:cs="Times New Roman"/>
          <w:sz w:val="16"/>
          <w:szCs w:val="16"/>
        </w:rPr>
        <w:t>Special 80</w:t>
      </w:r>
      <w:r w:rsidRPr="0077316C">
        <w:rPr>
          <w:rFonts w:ascii="Times New Roman" w:hAnsi="Times New Roman" w:cs="Times New Roman"/>
          <w:sz w:val="16"/>
          <w:szCs w:val="16"/>
          <w:vertAlign w:val="superscript"/>
        </w:rPr>
        <w:t>th</w:t>
      </w:r>
      <w:r w:rsidRPr="0077316C">
        <w:rPr>
          <w:rFonts w:ascii="Times New Roman" w:hAnsi="Times New Roman" w:cs="Times New Roman"/>
          <w:sz w:val="16"/>
          <w:szCs w:val="16"/>
        </w:rPr>
        <w:t xml:space="preserve"> Anniversary Commemorat</w:t>
      </w:r>
      <w:r>
        <w:rPr>
          <w:rFonts w:ascii="Times New Roman" w:hAnsi="Times New Roman" w:cs="Times New Roman"/>
          <w:sz w:val="16"/>
          <w:szCs w:val="16"/>
        </w:rPr>
        <w:t xml:space="preserve">ive edition Dec 2002-Feb 2003, </w:t>
      </w:r>
      <w:r w:rsidRPr="0077316C">
        <w:rPr>
          <w:rFonts w:ascii="Times New Roman" w:hAnsi="Times New Roman" w:cs="Times New Roman"/>
          <w:sz w:val="16"/>
          <w:szCs w:val="16"/>
        </w:rPr>
        <w:t>p. 7.</w:t>
      </w:r>
    </w:p>
  </w:footnote>
  <w:footnote w:id="68">
    <w:p w14:paraId="218DED5B" w14:textId="5BFFA48A"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w:t>
      </w:r>
      <w:r w:rsidRPr="0077316C">
        <w:rPr>
          <w:rFonts w:ascii="Times New Roman" w:hAnsi="Times New Roman" w:cs="Times New Roman"/>
          <w:sz w:val="16"/>
          <w:szCs w:val="16"/>
        </w:rPr>
        <w:t>bid. Law Society Annual Report 1919</w:t>
      </w:r>
    </w:p>
  </w:footnote>
  <w:footnote w:id="69">
    <w:p w14:paraId="5CD7878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Mari Takanayagi ‘Parliament and Women, c.1900-1945’ ( PhD thesis, King’s College, London  2012)</w:t>
      </w:r>
    </w:p>
  </w:footnote>
  <w:footnote w:id="70">
    <w:p w14:paraId="5376830E" w14:textId="52FFAA83"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Anne Logan </w:t>
      </w:r>
      <w:r w:rsidRPr="0077316C">
        <w:rPr>
          <w:rFonts w:ascii="Times New Roman" w:hAnsi="Times New Roman" w:cs="Times New Roman"/>
          <w:i/>
          <w:sz w:val="16"/>
          <w:szCs w:val="16"/>
        </w:rPr>
        <w:t xml:space="preserve">Feminism and Criminal Justice. A Historical Perspective </w:t>
      </w:r>
      <w:r w:rsidRPr="0077316C">
        <w:rPr>
          <w:rFonts w:ascii="Times New Roman" w:hAnsi="Times New Roman" w:cs="Times New Roman"/>
          <w:sz w:val="16"/>
          <w:szCs w:val="16"/>
        </w:rPr>
        <w:t>(Basingstoke: Palgrave Macmillan, 2008).</w:t>
      </w:r>
    </w:p>
  </w:footnote>
  <w:footnote w:id="71">
    <w:p w14:paraId="048EA175"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Pat Thane ‘What Difference did the Vote Make?’ in Amanda Vickery ed. </w:t>
      </w:r>
      <w:r w:rsidRPr="0077316C">
        <w:rPr>
          <w:rFonts w:ascii="Times New Roman" w:hAnsi="Times New Roman" w:cs="Times New Roman"/>
          <w:i/>
          <w:sz w:val="16"/>
          <w:szCs w:val="16"/>
        </w:rPr>
        <w:t xml:space="preserve">Women, Privilege and Power. British Politics 1750 to the Present </w:t>
      </w:r>
      <w:r w:rsidRPr="0077316C">
        <w:rPr>
          <w:rFonts w:ascii="Times New Roman" w:hAnsi="Times New Roman" w:cs="Times New Roman"/>
          <w:sz w:val="16"/>
          <w:szCs w:val="16"/>
        </w:rPr>
        <w:t>(Stanford University Press, 2001) pp.253-288.</w:t>
      </w:r>
    </w:p>
  </w:footnote>
  <w:footnote w:id="72">
    <w:p w14:paraId="6ED4B229" w14:textId="0908BB09"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Louise Jackson </w:t>
      </w:r>
      <w:r w:rsidRPr="0077316C">
        <w:rPr>
          <w:rFonts w:ascii="Times New Roman" w:hAnsi="Times New Roman" w:cs="Times New Roman"/>
          <w:i/>
          <w:sz w:val="16"/>
          <w:szCs w:val="16"/>
        </w:rPr>
        <w:t xml:space="preserve">Women Police. Gender, Welfare and Surveillance in the Twentieth Century. </w:t>
      </w:r>
      <w:r w:rsidRPr="0077316C">
        <w:rPr>
          <w:rFonts w:ascii="Times New Roman" w:hAnsi="Times New Roman" w:cs="Times New Roman"/>
          <w:sz w:val="16"/>
          <w:szCs w:val="16"/>
        </w:rPr>
        <w:t>(Manchester University Press, 2006).</w:t>
      </w:r>
    </w:p>
  </w:footnote>
  <w:footnote w:id="73">
    <w:p w14:paraId="70C3B29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Stephen Cretney </w:t>
      </w:r>
      <w:r w:rsidRPr="0077316C">
        <w:rPr>
          <w:rFonts w:ascii="Times New Roman" w:hAnsi="Times New Roman" w:cs="Times New Roman"/>
          <w:i/>
          <w:sz w:val="16"/>
          <w:szCs w:val="16"/>
        </w:rPr>
        <w:t xml:space="preserve">Family Law in the Twentieth Century </w:t>
      </w:r>
      <w:r w:rsidRPr="0077316C">
        <w:rPr>
          <w:rFonts w:ascii="Times New Roman" w:hAnsi="Times New Roman" w:cs="Times New Roman"/>
          <w:sz w:val="16"/>
          <w:szCs w:val="16"/>
        </w:rPr>
        <w:t>( Oxford University Press, 2003) pp. 161-394</w:t>
      </w:r>
    </w:p>
  </w:footnote>
  <w:footnote w:id="74">
    <w:p w14:paraId="1EA874F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Pat Thane and Tanya Evans </w:t>
      </w:r>
      <w:r w:rsidRPr="0077316C">
        <w:rPr>
          <w:rFonts w:ascii="Times New Roman" w:hAnsi="Times New Roman" w:cs="Times New Roman"/>
          <w:i/>
          <w:sz w:val="16"/>
          <w:szCs w:val="16"/>
        </w:rPr>
        <w:t xml:space="preserve">Sinners? Scroungers? Saints? Unmarried Motherhood in Twentieth Century England </w:t>
      </w:r>
      <w:r w:rsidRPr="0077316C">
        <w:rPr>
          <w:rFonts w:ascii="Times New Roman" w:hAnsi="Times New Roman" w:cs="Times New Roman"/>
          <w:sz w:val="16"/>
          <w:szCs w:val="16"/>
        </w:rPr>
        <w:t>( Oxford University Press, 2012) pp. 46-53</w:t>
      </w:r>
    </w:p>
  </w:footnote>
  <w:footnote w:id="75">
    <w:p w14:paraId="3F9C4DF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Jenny Keating </w:t>
      </w:r>
      <w:r w:rsidRPr="0077316C">
        <w:rPr>
          <w:rFonts w:ascii="Times New Roman" w:hAnsi="Times New Roman" w:cs="Times New Roman"/>
          <w:i/>
          <w:sz w:val="16"/>
          <w:szCs w:val="16"/>
        </w:rPr>
        <w:t xml:space="preserve">A Child for Keeps: The History of Adoption in England 1918-1945 </w:t>
      </w:r>
      <w:r w:rsidRPr="0077316C">
        <w:rPr>
          <w:rFonts w:ascii="Times New Roman" w:hAnsi="Times New Roman" w:cs="Times New Roman"/>
          <w:sz w:val="16"/>
          <w:szCs w:val="16"/>
        </w:rPr>
        <w:t>(Basingstoke: Palgrave, 2009).</w:t>
      </w:r>
    </w:p>
  </w:footnote>
  <w:footnote w:id="76">
    <w:p w14:paraId="6A690BCC"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Daniel J.R.Grey ‘Women’s Policy Networks and the Infanticide Act, 1922’ </w:t>
      </w:r>
      <w:r w:rsidRPr="0077316C">
        <w:rPr>
          <w:rFonts w:ascii="Times New Roman" w:hAnsi="Times New Roman" w:cs="Times New Roman"/>
          <w:i/>
          <w:sz w:val="16"/>
          <w:szCs w:val="16"/>
        </w:rPr>
        <w:t xml:space="preserve">Twentieth Century British History, </w:t>
      </w:r>
      <w:r w:rsidRPr="0077316C">
        <w:rPr>
          <w:rFonts w:ascii="Times New Roman" w:hAnsi="Times New Roman" w:cs="Times New Roman"/>
          <w:sz w:val="16"/>
          <w:szCs w:val="16"/>
        </w:rPr>
        <w:t>21:40 (2010), pp.441-63.</w:t>
      </w:r>
    </w:p>
  </w:footnote>
  <w:footnote w:id="77">
    <w:p w14:paraId="5AF67AFB"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Cretney </w:t>
      </w:r>
      <w:r w:rsidRPr="0077316C">
        <w:rPr>
          <w:rFonts w:ascii="Times New Roman" w:hAnsi="Times New Roman" w:cs="Times New Roman"/>
          <w:i/>
          <w:sz w:val="16"/>
          <w:szCs w:val="16"/>
        </w:rPr>
        <w:t xml:space="preserve">Family Law </w:t>
      </w:r>
      <w:r w:rsidRPr="0077316C">
        <w:rPr>
          <w:rFonts w:ascii="Times New Roman" w:hAnsi="Times New Roman" w:cs="Times New Roman"/>
          <w:sz w:val="16"/>
          <w:szCs w:val="16"/>
        </w:rPr>
        <w:t>pp 98- 105.</w:t>
      </w:r>
    </w:p>
  </w:footnote>
  <w:footnote w:id="78">
    <w:p w14:paraId="3CD8E246"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Thane ‘What Difference?’</w:t>
      </w:r>
    </w:p>
  </w:footnote>
  <w:footnote w:id="79">
    <w:p w14:paraId="676D7144"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Katherine Bradley </w:t>
      </w:r>
      <w:r w:rsidRPr="0077316C">
        <w:rPr>
          <w:rFonts w:ascii="Times New Roman" w:hAnsi="Times New Roman" w:cs="Times New Roman"/>
          <w:i/>
          <w:sz w:val="16"/>
          <w:szCs w:val="16"/>
        </w:rPr>
        <w:t xml:space="preserve">Poverty, Philanthropy and the State </w:t>
      </w:r>
      <w:r w:rsidRPr="0077316C">
        <w:rPr>
          <w:rFonts w:ascii="Times New Roman" w:hAnsi="Times New Roman" w:cs="Times New Roman"/>
          <w:sz w:val="16"/>
          <w:szCs w:val="16"/>
        </w:rPr>
        <w:t>(Manchester University Press, 2009).   pp. 150-4</w:t>
      </w:r>
    </w:p>
  </w:footnote>
  <w:footnote w:id="80">
    <w:p w14:paraId="58796161"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Sex Disqualification (Removal) Act 1919</w:t>
      </w:r>
      <w:r w:rsidRPr="0077316C">
        <w:rPr>
          <w:rFonts w:ascii="Times New Roman" w:hAnsi="Times New Roman" w:cs="Times New Roman"/>
          <w:sz w:val="16"/>
          <w:szCs w:val="16"/>
        </w:rPr>
        <w:t>, c71.</w:t>
      </w:r>
    </w:p>
  </w:footnote>
  <w:footnote w:id="81">
    <w:p w14:paraId="4399A49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The Representation of the People Act 1918 gave women the Parliamentary franchise who were aged 30 and met minimum property qualifications: the Representation of the People (Equal Franchise) Act 1928 gave women the vote on the same terms as men (i.e. at the age of 21). Women were admitted to the House of Lords as life peers by the Life Peerages Act 1958, and as hereditary peers by the Peerage Act 1963. </w:t>
      </w:r>
    </w:p>
  </w:footnote>
  <w:footnote w:id="82">
    <w:p w14:paraId="784B692D"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Martin Pugh, </w:t>
      </w:r>
      <w:r w:rsidRPr="0077316C">
        <w:rPr>
          <w:rFonts w:ascii="Times New Roman" w:hAnsi="Times New Roman" w:cs="Times New Roman"/>
          <w:i/>
          <w:sz w:val="16"/>
          <w:szCs w:val="16"/>
        </w:rPr>
        <w:t>Women and the women's movement in Britain, 1914-1999</w:t>
      </w:r>
      <w:r w:rsidRPr="0077316C">
        <w:rPr>
          <w:rFonts w:ascii="Times New Roman" w:hAnsi="Times New Roman" w:cs="Times New Roman"/>
          <w:sz w:val="16"/>
          <w:szCs w:val="16"/>
        </w:rPr>
        <w:t xml:space="preserve"> (Basingstoke: Macmillan, 2nd ed. 2000), 90.</w:t>
      </w:r>
    </w:p>
  </w:footnote>
  <w:footnote w:id="83">
    <w:p w14:paraId="000ED205"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Bill 38, II.1187 (1919).</w:t>
      </w:r>
    </w:p>
  </w:footnote>
  <w:footnote w:id="84">
    <w:p w14:paraId="539BC83B"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 A Bromhead, </w:t>
      </w:r>
      <w:r w:rsidRPr="0077316C">
        <w:rPr>
          <w:rFonts w:ascii="Times New Roman" w:hAnsi="Times New Roman" w:cs="Times New Roman"/>
          <w:i/>
          <w:sz w:val="16"/>
          <w:szCs w:val="16"/>
        </w:rPr>
        <w:t>Private Members' Bills in the British Parliament</w:t>
      </w:r>
      <w:r w:rsidRPr="0077316C">
        <w:rPr>
          <w:rFonts w:ascii="Times New Roman" w:hAnsi="Times New Roman" w:cs="Times New Roman"/>
          <w:sz w:val="16"/>
          <w:szCs w:val="16"/>
        </w:rPr>
        <w:t xml:space="preserve"> (Routledge &amp; K Paul, 1956).</w:t>
      </w:r>
    </w:p>
  </w:footnote>
  <w:footnote w:id="85">
    <w:p w14:paraId="1A5D650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House of Commons Parliamentary Debates [hereafter HC Deb], 4 April 1919 vol. 114.</w:t>
      </w:r>
    </w:p>
  </w:footnote>
  <w:footnote w:id="86">
    <w:p w14:paraId="0BF9FD7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Ibid., c. 1568, Captain Watson.</w:t>
      </w:r>
    </w:p>
  </w:footnote>
  <w:footnote w:id="87">
    <w:p w14:paraId="107C6C2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Ibid., c. 1605-6, Captain Loseby. Loseby was elected as a Coalition National Democratic, and later became a Conservative.</w:t>
      </w:r>
    </w:p>
  </w:footnote>
  <w:footnote w:id="88">
    <w:p w14:paraId="104D21E8"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Michael Stenton and Stephen Lees, </w:t>
      </w:r>
      <w:r w:rsidRPr="0077316C">
        <w:rPr>
          <w:rFonts w:ascii="Times New Roman" w:hAnsi="Times New Roman" w:cs="Times New Roman"/>
          <w:i/>
          <w:sz w:val="16"/>
          <w:szCs w:val="16"/>
        </w:rPr>
        <w:t>Who's who of British members of parliament,</w:t>
      </w:r>
      <w:r w:rsidRPr="0077316C">
        <w:rPr>
          <w:rFonts w:ascii="Times New Roman" w:hAnsi="Times New Roman" w:cs="Times New Roman"/>
          <w:sz w:val="16"/>
          <w:szCs w:val="16"/>
        </w:rPr>
        <w:t xml:space="preserve"> vol III (Hassocks, Sussex, 1976-1981).</w:t>
      </w:r>
    </w:p>
  </w:footnote>
  <w:footnote w:id="89">
    <w:p w14:paraId="7A1A74AE" w14:textId="34709C9F"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w:t>
      </w:r>
      <w:r w:rsidRPr="0077316C">
        <w:rPr>
          <w:rFonts w:ascii="Times New Roman" w:hAnsi="Times New Roman" w:cs="Times New Roman"/>
          <w:sz w:val="16"/>
          <w:szCs w:val="16"/>
        </w:rPr>
        <w:t>bid., c. 1566 Mr Lunn.</w:t>
      </w:r>
    </w:p>
  </w:footnote>
  <w:footnote w:id="90">
    <w:p w14:paraId="63FB2847" w14:textId="77777777" w:rsidR="00710E11" w:rsidRPr="0077316C" w:rsidRDefault="00710E11" w:rsidP="0077316C">
      <w:pPr>
        <w:pStyle w:val="FootnoteText"/>
        <w:spacing w:line="480" w:lineRule="auto"/>
        <w:rPr>
          <w:rFonts w:ascii="Times New Roman" w:hAnsi="Times New Roman" w:cs="Times New Roman"/>
          <w:b/>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Gerry R Rubin, 'Law as a Bargaining Weapon: British Labour and the Restoration of Pre-War Practices Act 1919', </w:t>
      </w:r>
      <w:r w:rsidRPr="0077316C">
        <w:rPr>
          <w:rFonts w:ascii="Times New Roman" w:hAnsi="Times New Roman" w:cs="Times New Roman"/>
          <w:i/>
          <w:sz w:val="16"/>
          <w:szCs w:val="16"/>
        </w:rPr>
        <w:t>Historical Journal</w:t>
      </w:r>
      <w:r w:rsidRPr="0077316C">
        <w:rPr>
          <w:rFonts w:ascii="Times New Roman" w:hAnsi="Times New Roman" w:cs="Times New Roman"/>
          <w:sz w:val="16"/>
          <w:szCs w:val="16"/>
        </w:rPr>
        <w:t xml:space="preserve"> 32(4) 1989.</w:t>
      </w:r>
    </w:p>
  </w:footnote>
  <w:footnote w:id="91">
    <w:p w14:paraId="35450961"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F W S Craig, ed., </w:t>
      </w:r>
      <w:r w:rsidRPr="0077316C">
        <w:rPr>
          <w:rFonts w:ascii="Times New Roman" w:hAnsi="Times New Roman" w:cs="Times New Roman"/>
          <w:i/>
          <w:sz w:val="16"/>
          <w:szCs w:val="16"/>
        </w:rPr>
        <w:t xml:space="preserve">British General Election Manifestos 1918-1966 </w:t>
      </w:r>
      <w:r w:rsidRPr="0077316C">
        <w:rPr>
          <w:rFonts w:ascii="Times New Roman" w:hAnsi="Times New Roman" w:cs="Times New Roman"/>
          <w:sz w:val="16"/>
          <w:szCs w:val="16"/>
        </w:rPr>
        <w:t>(Chichester, Sussex: Political Reference Publications, 1970), 6.</w:t>
      </w:r>
    </w:p>
  </w:footnote>
  <w:footnote w:id="92">
    <w:p w14:paraId="3485A30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House of Lords Parliamentary Debates [thereafter HL Deb], 11 March 1919 and 20 May 1919.</w:t>
      </w:r>
    </w:p>
  </w:footnote>
  <w:footnote w:id="93">
    <w:p w14:paraId="05CD419B" w14:textId="3159B906"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HL Deb, 11 March 1919 vol. 33 c. 591, Lord Buckmaster. Buckmaster was a supporter of female lawyers; he had appeared for Gwyneth Bebb in the important test case </w:t>
      </w:r>
      <w:r w:rsidRPr="0077316C">
        <w:rPr>
          <w:rFonts w:ascii="Times New Roman" w:hAnsi="Times New Roman" w:cs="Times New Roman"/>
          <w:i/>
          <w:sz w:val="16"/>
          <w:szCs w:val="16"/>
        </w:rPr>
        <w:t>Bebb v. the Law Society</w:t>
      </w:r>
      <w:r w:rsidRPr="0077316C">
        <w:rPr>
          <w:rFonts w:ascii="Times New Roman" w:hAnsi="Times New Roman" w:cs="Times New Roman"/>
          <w:sz w:val="16"/>
          <w:szCs w:val="16"/>
        </w:rPr>
        <w:t>, 1913.</w:t>
      </w:r>
    </w:p>
  </w:footnote>
  <w:footnote w:id="94">
    <w:p w14:paraId="2E5A91E7"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Anne Logan, 'Professionalism and the impact of England’s first women justices, 1920-1950', </w:t>
      </w:r>
      <w:r w:rsidRPr="0077316C">
        <w:rPr>
          <w:rFonts w:ascii="Times New Roman" w:hAnsi="Times New Roman" w:cs="Times New Roman"/>
          <w:i/>
          <w:sz w:val="16"/>
          <w:szCs w:val="16"/>
        </w:rPr>
        <w:t>Historical Journal</w:t>
      </w:r>
      <w:r w:rsidRPr="0077316C">
        <w:rPr>
          <w:rFonts w:ascii="Times New Roman" w:hAnsi="Times New Roman" w:cs="Times New Roman"/>
          <w:sz w:val="16"/>
          <w:szCs w:val="16"/>
        </w:rPr>
        <w:t xml:space="preserve"> (1990) 49:833-850.</w:t>
      </w:r>
    </w:p>
  </w:footnote>
  <w:footnote w:id="95">
    <w:p w14:paraId="639C2667"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4 April 1919 vol. 114 c. 1625-8.</w:t>
      </w:r>
    </w:p>
  </w:footnote>
  <w:footnote w:id="96">
    <w:p w14:paraId="787A354D"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For discussion on the significance of the Women's Emancipation Bill as a private members' bill, and the lack of government intervention at committee stage, see Mari Takayanagi, </w:t>
      </w:r>
      <w:r w:rsidRPr="0077316C">
        <w:rPr>
          <w:rFonts w:ascii="Times New Roman" w:hAnsi="Times New Roman" w:cs="Times New Roman"/>
          <w:i/>
          <w:sz w:val="16"/>
          <w:szCs w:val="16"/>
        </w:rPr>
        <w:t>Parliament and Women c1900-1945</w:t>
      </w:r>
      <w:r w:rsidRPr="0077316C">
        <w:rPr>
          <w:rFonts w:ascii="Times New Roman" w:hAnsi="Times New Roman" w:cs="Times New Roman"/>
          <w:sz w:val="16"/>
          <w:szCs w:val="16"/>
        </w:rPr>
        <w:t xml:space="preserve"> (unpublished PhD thesis, King's College London, 2012), pp47-50.</w:t>
      </w:r>
    </w:p>
  </w:footnote>
  <w:footnote w:id="97">
    <w:p w14:paraId="035BBCCB"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The National Archives [TNA], CAB 26/1, HAC 28 16/5/19 item 6 &amp; HAC 30 28/5/19 item 4.</w:t>
      </w:r>
    </w:p>
  </w:footnote>
  <w:footnote w:id="98">
    <w:p w14:paraId="716667EC"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Parliamentary Archives, ST/50.</w:t>
      </w:r>
    </w:p>
  </w:footnote>
  <w:footnote w:id="99">
    <w:p w14:paraId="00ADC113" w14:textId="7AD6320A"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Best known for his work in establishing the League of Nations, for which he won the Nobel Peace Prize in 1937, Cecil was also a supporter of female lawyers. He had represented Gwyneth Bebb at her appeal against </w:t>
      </w:r>
      <w:r w:rsidRPr="0077316C">
        <w:rPr>
          <w:rFonts w:ascii="Times New Roman" w:hAnsi="Times New Roman" w:cs="Times New Roman"/>
          <w:i/>
          <w:sz w:val="16"/>
          <w:szCs w:val="16"/>
        </w:rPr>
        <w:t>Bebb v. the Law Society</w:t>
      </w:r>
      <w:r w:rsidRPr="0077316C">
        <w:rPr>
          <w:rFonts w:ascii="Times New Roman" w:hAnsi="Times New Roman" w:cs="Times New Roman"/>
          <w:sz w:val="16"/>
          <w:szCs w:val="16"/>
        </w:rPr>
        <w:t xml:space="preserve"> in 1913.</w:t>
      </w:r>
    </w:p>
  </w:footnote>
  <w:footnote w:id="100">
    <w:p w14:paraId="24D49E97"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4 July 1919 vol. 117 c. 1345. Nobody resigned.</w:t>
      </w:r>
    </w:p>
  </w:footnote>
  <w:footnote w:id="101">
    <w:p w14:paraId="0BD4D28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HL Deb, 22 July 1919 vol. 35 c. 892, Lord Chancellor. As F E Smith MP, Lord Birkenhead had opposed women's suffrage before the war; as Lord Chancellor, he was responsible among other things for ending Viscountess Rhondda's attempt to take her seat in the Lords in 1922. Lord</w:t>
      </w:r>
    </w:p>
  </w:footnote>
  <w:footnote w:id="102">
    <w:p w14:paraId="7E9DA247"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Ibid, c. 901 &amp; 903, Lord Kimberley. John Wodehouse, 2nd Earl of Kimberley, was possibly the first Labour member of the House of Lords. </w:t>
      </w:r>
    </w:p>
  </w:footnote>
  <w:footnote w:id="103">
    <w:p w14:paraId="0067717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Ray Strachey, </w:t>
      </w:r>
      <w:r w:rsidRPr="0077316C">
        <w:rPr>
          <w:rFonts w:ascii="Times New Roman" w:hAnsi="Times New Roman" w:cs="Times New Roman"/>
          <w:i/>
          <w:sz w:val="16"/>
          <w:szCs w:val="16"/>
        </w:rPr>
        <w:t xml:space="preserve">The Cause: a short history of the women's movement in Great Britain </w:t>
      </w:r>
      <w:r w:rsidRPr="0077316C">
        <w:rPr>
          <w:rFonts w:ascii="Times New Roman" w:hAnsi="Times New Roman" w:cs="Times New Roman"/>
          <w:sz w:val="16"/>
          <w:szCs w:val="16"/>
        </w:rPr>
        <w:t>(London, Virago 1928 reprinted 1978), p. 375.</w:t>
      </w:r>
    </w:p>
  </w:footnote>
  <w:footnote w:id="104">
    <w:p w14:paraId="1B77F70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For more on the entrance of women to the House of Lords, see Duncan Sutherland, 'Peeresses, parliament, and prejudice: the admission of women to the House of Lords, 1918-1963', </w:t>
      </w:r>
      <w:r w:rsidRPr="0077316C">
        <w:rPr>
          <w:rFonts w:ascii="Times New Roman" w:hAnsi="Times New Roman" w:cs="Times New Roman"/>
          <w:i/>
          <w:sz w:val="16"/>
          <w:szCs w:val="16"/>
        </w:rPr>
        <w:t>Parliaments, Estates and Representation</w:t>
      </w:r>
      <w:r w:rsidRPr="0077316C">
        <w:rPr>
          <w:rFonts w:ascii="Times New Roman" w:hAnsi="Times New Roman" w:cs="Times New Roman"/>
          <w:sz w:val="16"/>
          <w:szCs w:val="16"/>
        </w:rPr>
        <w:t xml:space="preserve"> (2000) 20. Also Angela John, </w:t>
      </w:r>
      <w:r w:rsidRPr="0077316C">
        <w:rPr>
          <w:rFonts w:ascii="Times New Roman" w:hAnsi="Times New Roman" w:cs="Times New Roman"/>
          <w:i/>
          <w:sz w:val="16"/>
          <w:szCs w:val="16"/>
        </w:rPr>
        <w:t>Turning the Tide: The Life of Lady Rhondda</w:t>
      </w:r>
      <w:r w:rsidRPr="0077316C">
        <w:rPr>
          <w:rFonts w:ascii="Times New Roman" w:hAnsi="Times New Roman" w:cs="Times New Roman"/>
          <w:sz w:val="16"/>
          <w:szCs w:val="16"/>
        </w:rPr>
        <w:t xml:space="preserve"> (Parthian, 2013). </w:t>
      </w:r>
    </w:p>
  </w:footnote>
  <w:footnote w:id="105">
    <w:p w14:paraId="644BE456"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TNA, LCO 2/439. Letter from James Watt, 21 July 1919.</w:t>
      </w:r>
    </w:p>
  </w:footnote>
  <w:footnote w:id="106">
    <w:p w14:paraId="4E83B2F3"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 few professional bodies including the Royal Institute of British Architects, the Royal College of Surgeons and the Royal Academy allowed women members before 1919. This was due in each case to persistence of individual women and assistance of a few sympathetic men in the teeth of opposition. Richard Symonds, </w:t>
      </w:r>
      <w:r w:rsidRPr="0077316C">
        <w:rPr>
          <w:rFonts w:ascii="Times New Roman" w:hAnsi="Times New Roman" w:cs="Times New Roman"/>
          <w:i/>
          <w:sz w:val="16"/>
          <w:szCs w:val="16"/>
        </w:rPr>
        <w:t>Inside the Citadel: Men and the Emancipation of Women 1850-1920</w:t>
      </w:r>
      <w:r w:rsidRPr="0077316C">
        <w:rPr>
          <w:rFonts w:ascii="Times New Roman" w:hAnsi="Times New Roman" w:cs="Times New Roman"/>
          <w:sz w:val="16"/>
          <w:szCs w:val="16"/>
        </w:rPr>
        <w:t xml:space="preserve"> (Palgrave Macmillan, 1999). Others who conceded the principal after 1919 included the Royal Society, the Royal Society of Arts, and the British Academy.</w:t>
      </w:r>
    </w:p>
  </w:footnote>
  <w:footnote w:id="107">
    <w:p w14:paraId="2D74E9D9"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27 Oct. 1919 vol. 120, c. 398.</w:t>
      </w:r>
    </w:p>
  </w:footnote>
  <w:footnote w:id="108">
    <w:p w14:paraId="793BEDF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27 Oct. 1919 vol. 120 c344-5, Major Hills.</w:t>
      </w:r>
    </w:p>
  </w:footnote>
  <w:footnote w:id="109">
    <w:p w14:paraId="0B2414A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See for example Alison Oram, </w:t>
      </w:r>
      <w:r w:rsidRPr="0077316C">
        <w:rPr>
          <w:rFonts w:ascii="Times New Roman" w:hAnsi="Times New Roman" w:cs="Times New Roman"/>
          <w:i/>
          <w:sz w:val="16"/>
          <w:szCs w:val="16"/>
        </w:rPr>
        <w:t>Women teachers and feminist politics, 1900-1939</w:t>
      </w:r>
      <w:r w:rsidRPr="0077316C">
        <w:rPr>
          <w:rFonts w:ascii="Times New Roman" w:hAnsi="Times New Roman" w:cs="Times New Roman"/>
          <w:sz w:val="16"/>
          <w:szCs w:val="16"/>
        </w:rPr>
        <w:t xml:space="preserve"> (Manchester: Manchester University Press, 1996).  Helen Glew, </w:t>
      </w:r>
      <w:r w:rsidRPr="0077316C">
        <w:rPr>
          <w:rFonts w:ascii="Times New Roman" w:hAnsi="Times New Roman" w:cs="Times New Roman"/>
          <w:i/>
          <w:sz w:val="16"/>
          <w:szCs w:val="16"/>
        </w:rPr>
        <w:t>Gender, Rhetoric and Regulation: women's work in the Civil Service and the London County Council, 1900-55</w:t>
      </w:r>
      <w:r w:rsidRPr="0077316C">
        <w:rPr>
          <w:rFonts w:ascii="Times New Roman" w:hAnsi="Times New Roman" w:cs="Times New Roman"/>
          <w:sz w:val="16"/>
          <w:szCs w:val="16"/>
        </w:rPr>
        <w:t xml:space="preserve"> (Manchester: Manchester University Press, 2016).</w:t>
      </w:r>
    </w:p>
  </w:footnote>
  <w:footnote w:id="110">
    <w:p w14:paraId="023976A2"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LSE, 6/JCS/A/1. Joint Committee on Women in the Civil Service papers.</w:t>
      </w:r>
    </w:p>
  </w:footnote>
  <w:footnote w:id="111">
    <w:p w14:paraId="7188D328"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27 Oct. 1919 vol. 120 c. 361, Samuel Hoare.</w:t>
      </w:r>
    </w:p>
  </w:footnote>
  <w:footnote w:id="112">
    <w:p w14:paraId="2919891D"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See Helen McCarthy, </w:t>
      </w:r>
      <w:r w:rsidRPr="0077316C">
        <w:rPr>
          <w:rFonts w:ascii="Times New Roman" w:hAnsi="Times New Roman" w:cs="Times New Roman"/>
          <w:i/>
          <w:sz w:val="16"/>
          <w:szCs w:val="16"/>
        </w:rPr>
        <w:t>Women of the World: the Rise of the Female Diplomat</w:t>
      </w:r>
      <w:r w:rsidRPr="0077316C">
        <w:rPr>
          <w:rFonts w:ascii="Times New Roman" w:hAnsi="Times New Roman" w:cs="Times New Roman"/>
          <w:sz w:val="16"/>
          <w:szCs w:val="16"/>
        </w:rPr>
        <w:t xml:space="preserve"> (Bloomsbury, 2014).</w:t>
      </w:r>
    </w:p>
  </w:footnote>
  <w:footnote w:id="113">
    <w:p w14:paraId="53ADF76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Descriptions of the immediate effect of the Act by contemporaries can be found in Dorothy Evans, </w:t>
      </w:r>
      <w:r w:rsidRPr="0077316C">
        <w:rPr>
          <w:rFonts w:ascii="Times New Roman" w:hAnsi="Times New Roman" w:cs="Times New Roman"/>
          <w:i/>
          <w:sz w:val="16"/>
          <w:szCs w:val="16"/>
        </w:rPr>
        <w:t>Women and the Civil Service</w:t>
      </w:r>
      <w:r w:rsidRPr="0077316C">
        <w:rPr>
          <w:rFonts w:ascii="Times New Roman" w:hAnsi="Times New Roman" w:cs="Times New Roman"/>
          <w:sz w:val="16"/>
          <w:szCs w:val="16"/>
        </w:rPr>
        <w:t xml:space="preserve"> (London: Sir Isaac Pitman &amp; Sons td, 1934); Hilda Martindale, </w:t>
      </w:r>
      <w:r w:rsidRPr="0077316C">
        <w:rPr>
          <w:rFonts w:ascii="Times New Roman" w:hAnsi="Times New Roman" w:cs="Times New Roman"/>
          <w:i/>
          <w:sz w:val="16"/>
          <w:szCs w:val="16"/>
        </w:rPr>
        <w:t xml:space="preserve">Women servants of the state 1870-1938: a history of women in the civil service </w:t>
      </w:r>
      <w:r w:rsidRPr="0077316C">
        <w:rPr>
          <w:rFonts w:ascii="Times New Roman" w:hAnsi="Times New Roman" w:cs="Times New Roman"/>
          <w:sz w:val="16"/>
          <w:szCs w:val="16"/>
        </w:rPr>
        <w:t xml:space="preserve">(London: George Allen &amp; Unwin, 1938).  For criticism of the impact of the Act on the civil service by later historians, see Meta Zimmeck, 'Strategies and Stratagems for the employment of women in the British civil service, 1919-1939, </w:t>
      </w:r>
      <w:r w:rsidRPr="0077316C">
        <w:rPr>
          <w:rFonts w:ascii="Times New Roman" w:hAnsi="Times New Roman" w:cs="Times New Roman"/>
          <w:i/>
          <w:sz w:val="16"/>
          <w:szCs w:val="16"/>
        </w:rPr>
        <w:t>Historical Journal</w:t>
      </w:r>
      <w:r w:rsidRPr="0077316C">
        <w:rPr>
          <w:rFonts w:ascii="Times New Roman" w:hAnsi="Times New Roman" w:cs="Times New Roman"/>
          <w:sz w:val="16"/>
          <w:szCs w:val="16"/>
        </w:rPr>
        <w:t xml:space="preserve"> 27(4), 1984, pp901-924.  For more discussion on the Sex Disqualification (Removal) Act and the civil service, see Mari Takayanagi, </w:t>
      </w:r>
      <w:r w:rsidRPr="0077316C">
        <w:rPr>
          <w:rFonts w:ascii="Times New Roman" w:hAnsi="Times New Roman" w:cs="Times New Roman"/>
          <w:i/>
          <w:sz w:val="16"/>
          <w:szCs w:val="16"/>
        </w:rPr>
        <w:t>Parliament and Women</w:t>
      </w:r>
      <w:r w:rsidRPr="0077316C">
        <w:rPr>
          <w:rFonts w:ascii="Times New Roman" w:hAnsi="Times New Roman" w:cs="Times New Roman"/>
          <w:sz w:val="16"/>
          <w:szCs w:val="16"/>
        </w:rPr>
        <w:t>, pp57-67.</w:t>
      </w:r>
    </w:p>
  </w:footnote>
  <w:footnote w:id="114">
    <w:p w14:paraId="53F7EF8C"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27 Oct 1919 vol 120 cc384-5. Hume-Williams.</w:t>
      </w:r>
    </w:p>
  </w:footnote>
  <w:footnote w:id="115">
    <w:p w14:paraId="69ADA73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TNA, LCO 2/439.  Correspondence and draft bills, May – June 1919.  </w:t>
      </w:r>
    </w:p>
  </w:footnote>
  <w:footnote w:id="116">
    <w:p w14:paraId="45F6107A"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TNA, CAB 26/1, HAC 32 26/6/19 item 4.</w:t>
      </w:r>
    </w:p>
  </w:footnote>
  <w:footnote w:id="117">
    <w:p w14:paraId="0BE2E414"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TNA, LOC 2/559</w:t>
      </w:r>
    </w:p>
  </w:footnote>
  <w:footnote w:id="118">
    <w:p w14:paraId="1A5478E2"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HC Deb, 27 Oct. 1919 vol 120 c. 383, Major Hills.</w:t>
      </w:r>
    </w:p>
  </w:footnote>
  <w:footnote w:id="119">
    <w:p w14:paraId="35AE309F"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rPr>
        <w:t>Jus Suffragii</w:t>
      </w:r>
      <w:r w:rsidRPr="0077316C">
        <w:rPr>
          <w:rFonts w:ascii="Times New Roman" w:hAnsi="Times New Roman" w:cs="Times New Roman"/>
          <w:sz w:val="16"/>
          <w:szCs w:val="16"/>
        </w:rPr>
        <w:t>, 24 (1929) 16.</w:t>
      </w:r>
    </w:p>
  </w:footnote>
  <w:footnote w:id="120">
    <w:p w14:paraId="768C1847"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Anne Logan, </w:t>
      </w:r>
      <w:r w:rsidRPr="0077316C">
        <w:rPr>
          <w:rFonts w:ascii="Times New Roman" w:hAnsi="Times New Roman" w:cs="Times New Roman"/>
          <w:i/>
          <w:sz w:val="16"/>
          <w:szCs w:val="16"/>
        </w:rPr>
        <w:t>Feminism and Criminal Justice: a historical perspective</w:t>
      </w:r>
      <w:r w:rsidRPr="0077316C">
        <w:rPr>
          <w:rFonts w:ascii="Times New Roman" w:hAnsi="Times New Roman" w:cs="Times New Roman"/>
          <w:sz w:val="16"/>
          <w:szCs w:val="16"/>
        </w:rPr>
        <w:t xml:space="preserve"> (Palgrave Macmillan 2008).</w:t>
      </w:r>
    </w:p>
  </w:footnote>
  <w:footnote w:id="121">
    <w:p w14:paraId="778C57CC"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 L Smith, 'Sex versus class: British feminists and the Labour Movement 1919-1929', </w:t>
      </w:r>
      <w:r w:rsidRPr="0077316C">
        <w:rPr>
          <w:rFonts w:ascii="Times New Roman" w:hAnsi="Times New Roman" w:cs="Times New Roman"/>
          <w:i/>
          <w:sz w:val="16"/>
          <w:szCs w:val="16"/>
        </w:rPr>
        <w:t>The Historian</w:t>
      </w:r>
      <w:r w:rsidRPr="0077316C">
        <w:rPr>
          <w:rFonts w:ascii="Times New Roman" w:hAnsi="Times New Roman" w:cs="Times New Roman"/>
          <w:sz w:val="16"/>
          <w:szCs w:val="16"/>
        </w:rPr>
        <w:t xml:space="preserve"> 47, 1984, 19. H L Smith, 'British feminism in the 1920s', in </w:t>
      </w:r>
      <w:r w:rsidRPr="0077316C">
        <w:rPr>
          <w:rFonts w:ascii="Times New Roman" w:hAnsi="Times New Roman" w:cs="Times New Roman"/>
          <w:i/>
          <w:sz w:val="16"/>
          <w:szCs w:val="16"/>
        </w:rPr>
        <w:t>British Feminism in the Twentieth Century</w:t>
      </w:r>
      <w:r w:rsidRPr="0077316C">
        <w:rPr>
          <w:rFonts w:ascii="Times New Roman" w:hAnsi="Times New Roman" w:cs="Times New Roman"/>
          <w:sz w:val="16"/>
          <w:szCs w:val="16"/>
        </w:rPr>
        <w:t xml:space="preserve"> (Aldershot, Elgar, 1990).</w:t>
      </w:r>
    </w:p>
  </w:footnote>
  <w:footnote w:id="122">
    <w:p w14:paraId="5E111EA0"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Brian Harrison, </w:t>
      </w:r>
      <w:r w:rsidRPr="0077316C">
        <w:rPr>
          <w:rFonts w:ascii="Times New Roman" w:hAnsi="Times New Roman" w:cs="Times New Roman"/>
          <w:i/>
          <w:sz w:val="16"/>
          <w:szCs w:val="16"/>
        </w:rPr>
        <w:t>Prudent revolutionaries: portraits of British feminists between the wars</w:t>
      </w:r>
      <w:r w:rsidRPr="0077316C">
        <w:rPr>
          <w:rFonts w:ascii="Times New Roman" w:hAnsi="Times New Roman" w:cs="Times New Roman"/>
          <w:sz w:val="16"/>
          <w:szCs w:val="16"/>
        </w:rPr>
        <w:t xml:space="preserve"> (Oxford, 1987), 323.</w:t>
      </w:r>
    </w:p>
  </w:footnote>
  <w:footnote w:id="123">
    <w:p w14:paraId="51D0C128"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Virginia Woolf, </w:t>
      </w:r>
      <w:r w:rsidRPr="0077316C">
        <w:rPr>
          <w:rFonts w:ascii="Times New Roman" w:hAnsi="Times New Roman" w:cs="Times New Roman"/>
          <w:i/>
          <w:sz w:val="16"/>
          <w:szCs w:val="16"/>
        </w:rPr>
        <w:t>A room of one's own; Three guineas</w:t>
      </w:r>
      <w:r w:rsidRPr="0077316C">
        <w:rPr>
          <w:rFonts w:ascii="Times New Roman" w:hAnsi="Times New Roman" w:cs="Times New Roman"/>
          <w:sz w:val="16"/>
          <w:szCs w:val="16"/>
        </w:rPr>
        <w:t xml:space="preserve"> (reprinted London, 1993), 130.</w:t>
      </w:r>
    </w:p>
  </w:footnote>
  <w:footnote w:id="124">
    <w:p w14:paraId="508EFDFD" w14:textId="77777777" w:rsidR="00710E11" w:rsidRPr="0077316C" w:rsidRDefault="00710E11" w:rsidP="0077316C">
      <w:pPr>
        <w:pStyle w:val="FootnoteText"/>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HL Deb, 22 July 1919 vol. 35 c. 897, Lord Chancellor.</w:t>
      </w:r>
    </w:p>
  </w:footnote>
  <w:footnote w:id="125">
    <w:p w14:paraId="377FC8D2" w14:textId="65782DB9"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Holford Knight MP, George Wilfred Holford Knight 1877-1936, Barrister and Labour MP for Nottingham South 1931-1935, see David Howell, ‘National Labour (</w:t>
      </w:r>
      <w:r>
        <w:rPr>
          <w:rFonts w:ascii="Times New Roman" w:hAnsi="Times New Roman" w:cs="Times New Roman"/>
          <w:i/>
          <w:iCs/>
          <w:sz w:val="16"/>
          <w:szCs w:val="16"/>
        </w:rPr>
        <w:t xml:space="preserve">act. </w:t>
      </w:r>
      <w:r>
        <w:rPr>
          <w:rFonts w:ascii="Times New Roman" w:hAnsi="Times New Roman" w:cs="Times New Roman"/>
          <w:sz w:val="16"/>
          <w:szCs w:val="16"/>
        </w:rPr>
        <w:t xml:space="preserve">1931–1945)’, </w:t>
      </w:r>
      <w:r>
        <w:rPr>
          <w:rFonts w:ascii="Times New Roman" w:hAnsi="Times New Roman" w:cs="Times New Roman"/>
          <w:i/>
          <w:iCs/>
          <w:sz w:val="16"/>
          <w:szCs w:val="16"/>
        </w:rPr>
        <w:t>Oxford Dictionary of National Biography</w:t>
      </w:r>
      <w:r>
        <w:rPr>
          <w:rFonts w:ascii="Times New Roman" w:hAnsi="Times New Roman" w:cs="Times New Roman"/>
          <w:sz w:val="16"/>
          <w:szCs w:val="16"/>
        </w:rPr>
        <w:t xml:space="preserve">, Oxford University Press 2013, writing in </w:t>
      </w:r>
      <w:r>
        <w:rPr>
          <w:rFonts w:ascii="Times New Roman" w:hAnsi="Times New Roman" w:cs="Times New Roman"/>
          <w:i/>
          <w:sz w:val="16"/>
          <w:szCs w:val="16"/>
        </w:rPr>
        <w:t xml:space="preserve">The Contemporary Review </w:t>
      </w:r>
      <w:r>
        <w:rPr>
          <w:rFonts w:ascii="Times New Roman" w:hAnsi="Times New Roman" w:cs="Times New Roman"/>
          <w:sz w:val="16"/>
          <w:szCs w:val="16"/>
        </w:rPr>
        <w:t>May 1913, no. 569.</w:t>
      </w:r>
    </w:p>
  </w:footnote>
  <w:footnote w:id="126">
    <w:p w14:paraId="3C47EE5D" w14:textId="4E7F1149"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1913 see Polden, P.  “Portia’s Progress: Women at the Bar in England, 1919-1939”  </w:t>
      </w:r>
      <w:r>
        <w:rPr>
          <w:rFonts w:ascii="Times New Roman" w:hAnsi="Times New Roman" w:cs="Times New Roman"/>
          <w:i/>
          <w:sz w:val="16"/>
          <w:szCs w:val="16"/>
        </w:rPr>
        <w:t xml:space="preserve">International Journal of the Legal Profession, </w:t>
      </w:r>
      <w:r>
        <w:rPr>
          <w:rFonts w:ascii="Times New Roman" w:hAnsi="Times New Roman" w:cs="Times New Roman"/>
          <w:sz w:val="16"/>
          <w:szCs w:val="16"/>
        </w:rPr>
        <w:t xml:space="preserve">293-335, p. 317, </w:t>
      </w:r>
      <w:r>
        <w:rPr>
          <w:rFonts w:ascii="Times New Roman" w:hAnsi="Times New Roman" w:cs="Times New Roman"/>
          <w:i/>
          <w:sz w:val="16"/>
          <w:szCs w:val="16"/>
        </w:rPr>
        <w:t>Law Times</w:t>
      </w:r>
      <w:r>
        <w:rPr>
          <w:rFonts w:ascii="Times New Roman" w:hAnsi="Times New Roman" w:cs="Times New Roman"/>
          <w:sz w:val="16"/>
          <w:szCs w:val="16"/>
        </w:rPr>
        <w:t xml:space="preserve">, 1912-13, p. 317; and January 1917, as reported in the Pall Mall Gazette 17 January 1917. </w:t>
      </w:r>
    </w:p>
  </w:footnote>
  <w:footnote w:id="127">
    <w:p w14:paraId="2E9049F7" w14:textId="77777777" w:rsidR="00710E11" w:rsidRDefault="00710E11" w:rsidP="00094615">
      <w:pPr>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hyperlink r:id="rId1" w:history="1">
        <w:r>
          <w:rPr>
            <w:rStyle w:val="Hyperlink"/>
            <w:rFonts w:ascii="Times New Roman" w:hAnsi="Times New Roman" w:cs="Times New Roman"/>
            <w:sz w:val="16"/>
            <w:szCs w:val="16"/>
          </w:rPr>
          <w:t>http://www.solicitorsjournal.com/news/legal-profession/solicitors/23034/equal-pay-men-and-women-lawyers-forecast-2021</w:t>
        </w:r>
      </w:hyperlink>
    </w:p>
  </w:footnote>
  <w:footnote w:id="128">
    <w:p w14:paraId="70725CF2" w14:textId="77777777" w:rsidR="00710E11" w:rsidRDefault="00710E11" w:rsidP="00094615">
      <w:pPr>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color w:val="000000"/>
          <w:sz w:val="16"/>
          <w:szCs w:val="16"/>
        </w:rPr>
        <w:t xml:space="preserve">The Gender and Diversity at the Bar Report 23 July 2015: “Snapshot: The Experience of Self-Employed Women at the Bar” (see: </w:t>
      </w:r>
      <w:r>
        <w:rPr>
          <w:rFonts w:ascii="Times New Roman" w:hAnsi="Times New Roman" w:cs="Times New Roman"/>
          <w:sz w:val="16"/>
          <w:szCs w:val="16"/>
        </w:rPr>
        <w:t>http://www.barcouncil.org.uk/media-centre/news-and-press-releases/2015/july/gender-and-diversity-at-the-bar/</w:t>
      </w:r>
    </w:p>
  </w:footnote>
  <w:footnote w:id="129">
    <w:p w14:paraId="6E64B668" w14:textId="7BC6F9C1"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It is unclear where this is from but has been attributed to Churchill, Burke or Santayana.</w:t>
      </w:r>
    </w:p>
  </w:footnote>
  <w:footnote w:id="130">
    <w:p w14:paraId="28B6B5C9" w14:textId="1B6851F5"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Auchmuty, R.  “Whatever happened to Miss Bebb” (2010) 30 </w:t>
      </w:r>
      <w:r>
        <w:rPr>
          <w:rFonts w:ascii="Times New Roman" w:hAnsi="Times New Roman" w:cs="Times New Roman"/>
          <w:i/>
          <w:sz w:val="16"/>
          <w:szCs w:val="16"/>
        </w:rPr>
        <w:t xml:space="preserve">Legal studies </w:t>
      </w:r>
      <w:r>
        <w:rPr>
          <w:rFonts w:ascii="Times New Roman" w:hAnsi="Times New Roman" w:cs="Times New Roman"/>
          <w:sz w:val="16"/>
          <w:szCs w:val="16"/>
        </w:rPr>
        <w:t>Vo. 31 No. 2, pp 199-230, p. 201.</w:t>
      </w:r>
    </w:p>
  </w:footnote>
  <w:footnote w:id="131">
    <w:p w14:paraId="04689932" w14:textId="0C1CECC3"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Brenda Hale, ‘Heilbron, Dame Rose (1914–2005)’, </w:t>
      </w:r>
      <w:r>
        <w:rPr>
          <w:rFonts w:ascii="Times New Roman" w:hAnsi="Times New Roman" w:cs="Times New Roman"/>
          <w:i/>
          <w:iCs/>
          <w:sz w:val="16"/>
          <w:szCs w:val="16"/>
        </w:rPr>
        <w:t>Oxford Dictionary of National Biography</w:t>
      </w:r>
      <w:r>
        <w:rPr>
          <w:rFonts w:ascii="Times New Roman" w:hAnsi="Times New Roman" w:cs="Times New Roman"/>
          <w:sz w:val="16"/>
          <w:szCs w:val="16"/>
        </w:rPr>
        <w:t>, Oxford University Press, Jan 2009.</w:t>
      </w:r>
    </w:p>
  </w:footnote>
  <w:footnote w:id="132">
    <w:p w14:paraId="3BC9B6FB"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For example in Cretney, S. </w:t>
      </w:r>
      <w:r>
        <w:rPr>
          <w:rFonts w:ascii="Times New Roman" w:hAnsi="Times New Roman" w:cs="Times New Roman"/>
          <w:i/>
          <w:sz w:val="16"/>
          <w:szCs w:val="16"/>
        </w:rPr>
        <w:t xml:space="preserve">Family Law in the Twentieth Century: A History </w:t>
      </w:r>
      <w:r>
        <w:rPr>
          <w:rFonts w:ascii="Times New Roman" w:hAnsi="Times New Roman" w:cs="Times New Roman"/>
          <w:sz w:val="16"/>
          <w:szCs w:val="16"/>
        </w:rPr>
        <w:t>Oxford University Press 2011 mentions the Act in passing without mention of the struggle to achieve it.</w:t>
      </w:r>
    </w:p>
  </w:footnote>
  <w:footnote w:id="133">
    <w:p w14:paraId="447D8E47" w14:textId="4CB3B6A0" w:rsidR="00710E11" w:rsidRPr="00E23493" w:rsidRDefault="00710E11" w:rsidP="00E23493">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sidRPr="00E23493">
        <w:rPr>
          <w:rFonts w:ascii="Times New Roman" w:hAnsi="Times New Roman" w:cs="Times New Roman"/>
          <w:sz w:val="16"/>
          <w:szCs w:val="16"/>
        </w:rPr>
        <w:t xml:space="preserve">Joanne Workman, ‘Normanton, Helena Florence (1882–1957)’, </w:t>
      </w:r>
      <w:r w:rsidRPr="00E23493">
        <w:rPr>
          <w:rFonts w:ascii="Times New Roman" w:hAnsi="Times New Roman" w:cs="Times New Roman"/>
          <w:i/>
          <w:iCs/>
          <w:sz w:val="16"/>
          <w:szCs w:val="16"/>
        </w:rPr>
        <w:t>Oxford Dictionary of National Biography</w:t>
      </w:r>
      <w:r w:rsidRPr="00E23493">
        <w:rPr>
          <w:rFonts w:ascii="Times New Roman" w:hAnsi="Times New Roman" w:cs="Times New Roman"/>
          <w:sz w:val="16"/>
          <w:szCs w:val="16"/>
        </w:rPr>
        <w:t>, Oxford University Press, 2004.</w:t>
      </w:r>
    </w:p>
  </w:footnote>
  <w:footnote w:id="134">
    <w:p w14:paraId="4876C6B3" w14:textId="010E6291"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w:t>
      </w:r>
      <w:r w:rsidRPr="00E23493">
        <w:rPr>
          <w:rFonts w:ascii="Times New Roman" w:hAnsi="Times New Roman" w:cs="Times New Roman"/>
          <w:i/>
          <w:sz w:val="16"/>
          <w:szCs w:val="16"/>
        </w:rPr>
        <w:t xml:space="preserve">The Times </w:t>
      </w:r>
      <w:r w:rsidRPr="00E23493">
        <w:rPr>
          <w:rFonts w:ascii="Times New Roman" w:hAnsi="Times New Roman" w:cs="Times New Roman"/>
          <w:sz w:val="16"/>
          <w:szCs w:val="16"/>
        </w:rPr>
        <w:t>30 July 1951</w:t>
      </w:r>
    </w:p>
  </w:footnote>
  <w:footnote w:id="135">
    <w:p w14:paraId="1FC8247E" w14:textId="25720466"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Ivy Williams, May 1922 (IT); </w:t>
      </w:r>
      <w:r w:rsidRPr="00E23493">
        <w:rPr>
          <w:rFonts w:ascii="Times New Roman" w:eastAsia="Times New Roman" w:hAnsi="Times New Roman" w:cs="Times New Roman"/>
          <w:sz w:val="16"/>
          <w:szCs w:val="16"/>
        </w:rPr>
        <w:t xml:space="preserve">Monica Mary Geikie Cobb, Auvergne Doherty, Ethel Bright Ashford, Naomi Constance Wallace, Sybil Campbell, Elsie May Wheeler, Lillian Maud Dawes, Beatrice Honor Davy (all MT), and one at Inner Temple Theodora Llewellyn Davies, Abel, p. 330.   </w:t>
      </w:r>
    </w:p>
  </w:footnote>
  <w:footnote w:id="136">
    <w:p w14:paraId="5C2CC26C" w14:textId="221F8297"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Western Circuit Minute Book 2.</w:t>
      </w:r>
    </w:p>
  </w:footnote>
  <w:footnote w:id="137">
    <w:p w14:paraId="3C2BA278" w14:textId="2DE1A3E9"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WL: 7HLN/F/04.</w:t>
      </w:r>
    </w:p>
  </w:footnote>
  <w:footnote w:id="138">
    <w:p w14:paraId="7104AB62" w14:textId="4459FF4E"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For example work as a dock brief, see 17 September 1932, </w:t>
      </w:r>
      <w:r w:rsidRPr="00E23493">
        <w:rPr>
          <w:rFonts w:ascii="Times New Roman" w:hAnsi="Times New Roman" w:cs="Times New Roman"/>
          <w:i/>
          <w:sz w:val="16"/>
          <w:szCs w:val="16"/>
        </w:rPr>
        <w:t>Evening News</w:t>
      </w:r>
      <w:r w:rsidRPr="00E23493">
        <w:rPr>
          <w:rFonts w:ascii="Times New Roman" w:hAnsi="Times New Roman" w:cs="Times New Roman"/>
          <w:sz w:val="16"/>
          <w:szCs w:val="16"/>
        </w:rPr>
        <w:t>, ‘A Brief From the Dock’</w:t>
      </w:r>
      <w:r w:rsidRPr="00E23493">
        <w:rPr>
          <w:rFonts w:ascii="Times New Roman" w:hAnsi="Times New Roman" w:cs="Times New Roman"/>
          <w:i/>
          <w:sz w:val="16"/>
          <w:szCs w:val="16"/>
        </w:rPr>
        <w:t xml:space="preserve">.  </w:t>
      </w:r>
      <w:r w:rsidRPr="00E23493">
        <w:rPr>
          <w:rFonts w:ascii="Times New Roman" w:hAnsi="Times New Roman" w:cs="Times New Roman"/>
          <w:sz w:val="16"/>
          <w:szCs w:val="16"/>
        </w:rPr>
        <w:t>7HLN/A/01.</w:t>
      </w:r>
    </w:p>
  </w:footnote>
  <w:footnote w:id="139">
    <w:p w14:paraId="5B2FCDFA" w14:textId="4BA42F1F" w:rsidR="00710E11" w:rsidRPr="00E23493"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WL: 7HLN/A/25. </w:t>
      </w:r>
    </w:p>
  </w:footnote>
  <w:footnote w:id="140">
    <w:p w14:paraId="53FDE7EE" w14:textId="5302489D" w:rsidR="00710E11" w:rsidRDefault="00710E11" w:rsidP="00E23493">
      <w:pPr>
        <w:pStyle w:val="FootnoteText"/>
        <w:spacing w:line="480" w:lineRule="auto"/>
        <w:rPr>
          <w:rFonts w:ascii="Times New Roman" w:hAnsi="Times New Roman" w:cs="Times New Roman"/>
          <w:sz w:val="16"/>
          <w:szCs w:val="16"/>
        </w:rPr>
      </w:pPr>
      <w:r w:rsidRPr="00E23493">
        <w:rPr>
          <w:rStyle w:val="FootnoteReference"/>
          <w:rFonts w:ascii="Times New Roman" w:hAnsi="Times New Roman" w:cs="Times New Roman"/>
          <w:sz w:val="16"/>
          <w:szCs w:val="16"/>
        </w:rPr>
        <w:footnoteRef/>
      </w:r>
      <w:r w:rsidRPr="00E23493">
        <w:rPr>
          <w:rFonts w:ascii="Times New Roman" w:hAnsi="Times New Roman" w:cs="Times New Roman"/>
          <w:sz w:val="16"/>
          <w:szCs w:val="16"/>
        </w:rPr>
        <w:t xml:space="preserve"> Polden, op</w:t>
      </w:r>
      <w:r>
        <w:rPr>
          <w:rFonts w:ascii="Times New Roman" w:hAnsi="Times New Roman" w:cs="Times New Roman"/>
          <w:sz w:val="16"/>
          <w:szCs w:val="16"/>
        </w:rPr>
        <w:t xml:space="preserve"> cit.</w:t>
      </w:r>
    </w:p>
  </w:footnote>
  <w:footnote w:id="141">
    <w:p w14:paraId="4EB775D1" w14:textId="74B0A5A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
          <w:sz w:val="16"/>
          <w:szCs w:val="16"/>
        </w:rPr>
        <w:t xml:space="preserve">Searle v Searle </w:t>
      </w:r>
      <w:r>
        <w:rPr>
          <w:rFonts w:ascii="Times New Roman" w:hAnsi="Times New Roman" w:cs="Times New Roman"/>
          <w:sz w:val="16"/>
          <w:szCs w:val="16"/>
        </w:rPr>
        <w:t>High Court WL: 7HLN/A/09.</w:t>
      </w:r>
    </w:p>
  </w:footnote>
  <w:footnote w:id="142">
    <w:p w14:paraId="6F2FC364" w14:textId="37CFFF5D"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Widely reported, for example: 7 February 1924 </w:t>
      </w:r>
      <w:r>
        <w:rPr>
          <w:rFonts w:ascii="Times New Roman" w:hAnsi="Times New Roman" w:cs="Times New Roman"/>
          <w:i/>
          <w:sz w:val="16"/>
          <w:szCs w:val="16"/>
        </w:rPr>
        <w:t xml:space="preserve">Daily Express </w:t>
      </w:r>
      <w:r>
        <w:rPr>
          <w:rFonts w:ascii="Times New Roman" w:hAnsi="Times New Roman" w:cs="Times New Roman"/>
          <w:sz w:val="16"/>
          <w:szCs w:val="16"/>
        </w:rPr>
        <w:t xml:space="preserve">‘First Woman in the Old Bailey: Women Counsel and the Jury’; the story was repeated two years later in </w:t>
      </w:r>
      <w:r>
        <w:rPr>
          <w:rFonts w:ascii="Times New Roman" w:hAnsi="Times New Roman" w:cs="Times New Roman"/>
          <w:i/>
          <w:sz w:val="16"/>
          <w:szCs w:val="16"/>
        </w:rPr>
        <w:t xml:space="preserve">Evening News </w:t>
      </w:r>
      <w:r>
        <w:rPr>
          <w:rFonts w:ascii="Times New Roman" w:hAnsi="Times New Roman" w:cs="Times New Roman"/>
          <w:sz w:val="16"/>
          <w:szCs w:val="16"/>
        </w:rPr>
        <w:t xml:space="preserve">March 1926.  Dock brief: </w:t>
      </w:r>
      <w:r>
        <w:rPr>
          <w:rFonts w:ascii="Times New Roman" w:hAnsi="Times New Roman" w:cs="Times New Roman"/>
          <w:i/>
          <w:sz w:val="16"/>
          <w:szCs w:val="16"/>
        </w:rPr>
        <w:t xml:space="preserve">R v Eyles </w:t>
      </w:r>
      <w:r>
        <w:rPr>
          <w:rFonts w:ascii="Times New Roman" w:hAnsi="Times New Roman" w:cs="Times New Roman"/>
          <w:sz w:val="16"/>
          <w:szCs w:val="16"/>
        </w:rPr>
        <w:t>Central Criminal Court.</w:t>
      </w:r>
    </w:p>
  </w:footnote>
  <w:footnote w:id="143">
    <w:p w14:paraId="1667C5D2" w14:textId="41846AD3"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Polden, op cit.</w:t>
      </w:r>
    </w:p>
  </w:footnote>
  <w:footnote w:id="144">
    <w:p w14:paraId="261CD1BF" w14:textId="10030AE7" w:rsidR="00710E11" w:rsidRPr="00247CEC" w:rsidRDefault="00710E11" w:rsidP="00247CEC">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See Bourne, </w:t>
      </w:r>
      <w:r w:rsidRPr="00247CEC">
        <w:rPr>
          <w:rFonts w:ascii="Times New Roman" w:hAnsi="Times New Roman" w:cs="Times New Roman"/>
          <w:sz w:val="16"/>
          <w:szCs w:val="16"/>
        </w:rPr>
        <w:t xml:space="preserve">J.  </w:t>
      </w:r>
      <w:r w:rsidRPr="00247CEC">
        <w:rPr>
          <w:rFonts w:ascii="Times New Roman" w:hAnsi="Times New Roman" w:cs="Times New Roman"/>
          <w:i/>
          <w:sz w:val="16"/>
          <w:szCs w:val="16"/>
        </w:rPr>
        <w:t xml:space="preserve">Helena Normanton and the Opening of the Bar to Women </w:t>
      </w:r>
      <w:r w:rsidRPr="00247CEC">
        <w:rPr>
          <w:rFonts w:ascii="Times New Roman" w:hAnsi="Times New Roman" w:cs="Times New Roman"/>
          <w:sz w:val="16"/>
          <w:szCs w:val="16"/>
        </w:rPr>
        <w:t>forthcoming publication, Waterside Press, 2016; and Cannon, WL: 7HLN/A/09.</w:t>
      </w:r>
    </w:p>
  </w:footnote>
  <w:footnote w:id="145">
    <w:p w14:paraId="3AA758AA" w14:textId="5FC6091F" w:rsidR="00710E11" w:rsidRPr="00247CEC" w:rsidRDefault="00710E11" w:rsidP="00247CEC">
      <w:pPr>
        <w:pStyle w:val="FootnoteText"/>
        <w:spacing w:line="480" w:lineRule="auto"/>
        <w:rPr>
          <w:rFonts w:ascii="Times New Roman" w:hAnsi="Times New Roman" w:cs="Times New Roman"/>
          <w:sz w:val="16"/>
          <w:szCs w:val="16"/>
        </w:rPr>
      </w:pPr>
      <w:r w:rsidRPr="00247CEC">
        <w:rPr>
          <w:rStyle w:val="FootnoteReference"/>
          <w:rFonts w:ascii="Times New Roman" w:hAnsi="Times New Roman" w:cs="Times New Roman"/>
          <w:sz w:val="16"/>
          <w:szCs w:val="16"/>
        </w:rPr>
        <w:footnoteRef/>
      </w:r>
      <w:r w:rsidRPr="00247CEC">
        <w:rPr>
          <w:rFonts w:ascii="Times New Roman" w:hAnsi="Times New Roman" w:cs="Times New Roman"/>
          <w:sz w:val="16"/>
          <w:szCs w:val="16"/>
        </w:rPr>
        <w:t xml:space="preserve"> Notes on inquest from </w:t>
      </w:r>
      <w:r w:rsidRPr="00247CEC">
        <w:rPr>
          <w:rFonts w:ascii="Times New Roman" w:hAnsi="Times New Roman" w:cs="Times New Roman"/>
          <w:i/>
          <w:sz w:val="16"/>
          <w:szCs w:val="16"/>
        </w:rPr>
        <w:t>Lloyd’s Weekly Newspaper</w:t>
      </w:r>
      <w:r w:rsidRPr="00247CEC">
        <w:rPr>
          <w:rFonts w:ascii="Times New Roman" w:hAnsi="Times New Roman" w:cs="Times New Roman"/>
          <w:sz w:val="16"/>
          <w:szCs w:val="16"/>
        </w:rPr>
        <w:t>, Issue 2276, Sunday 4 July 1886.</w:t>
      </w:r>
    </w:p>
  </w:footnote>
  <w:footnote w:id="146">
    <w:p w14:paraId="267E4762" w14:textId="72F66BD8" w:rsidR="00710E11" w:rsidRPr="00247CEC" w:rsidRDefault="00710E11" w:rsidP="00247CEC">
      <w:pPr>
        <w:pStyle w:val="FootnoteText"/>
        <w:spacing w:line="480" w:lineRule="auto"/>
        <w:rPr>
          <w:rFonts w:ascii="Times New Roman" w:hAnsi="Times New Roman" w:cs="Times New Roman"/>
          <w:sz w:val="16"/>
          <w:szCs w:val="16"/>
        </w:rPr>
      </w:pPr>
      <w:r w:rsidRPr="00247CEC">
        <w:rPr>
          <w:rStyle w:val="FootnoteReference"/>
          <w:rFonts w:ascii="Times New Roman" w:hAnsi="Times New Roman" w:cs="Times New Roman"/>
          <w:sz w:val="16"/>
          <w:szCs w:val="16"/>
        </w:rPr>
        <w:footnoteRef/>
      </w:r>
      <w:r w:rsidRPr="00247CEC">
        <w:rPr>
          <w:rFonts w:ascii="Times New Roman" w:hAnsi="Times New Roman" w:cs="Times New Roman"/>
          <w:sz w:val="16"/>
          <w:szCs w:val="16"/>
        </w:rPr>
        <w:t xml:space="preserve"> For example Ivy Williams.</w:t>
      </w:r>
    </w:p>
  </w:footnote>
  <w:footnote w:id="147">
    <w:p w14:paraId="41014827" w14:textId="4B58D5DC" w:rsidR="00710E11" w:rsidRPr="00247CEC" w:rsidRDefault="00710E11" w:rsidP="00247CEC">
      <w:pPr>
        <w:pStyle w:val="FootnoteText"/>
        <w:spacing w:line="480" w:lineRule="auto"/>
        <w:rPr>
          <w:rFonts w:ascii="Times New Roman" w:hAnsi="Times New Roman" w:cs="Times New Roman"/>
          <w:sz w:val="16"/>
          <w:szCs w:val="16"/>
        </w:rPr>
      </w:pPr>
      <w:r w:rsidRPr="00247CEC">
        <w:rPr>
          <w:rStyle w:val="FootnoteReference"/>
          <w:rFonts w:ascii="Times New Roman" w:hAnsi="Times New Roman" w:cs="Times New Roman"/>
          <w:sz w:val="16"/>
          <w:szCs w:val="16"/>
        </w:rPr>
        <w:footnoteRef/>
      </w:r>
      <w:r w:rsidRPr="00247CEC">
        <w:rPr>
          <w:rFonts w:ascii="Times New Roman" w:hAnsi="Times New Roman" w:cs="Times New Roman"/>
          <w:sz w:val="16"/>
          <w:szCs w:val="16"/>
        </w:rPr>
        <w:t xml:space="preserve"> WL: 7HLN/A/01.</w:t>
      </w:r>
    </w:p>
  </w:footnote>
  <w:footnote w:id="148">
    <w:p w14:paraId="6939C433" w14:textId="77777777" w:rsidR="00710E11" w:rsidRDefault="00710E11" w:rsidP="00247CEC">
      <w:pPr>
        <w:pStyle w:val="FootnoteText"/>
        <w:spacing w:line="480" w:lineRule="auto"/>
        <w:rPr>
          <w:rFonts w:ascii="Times New Roman" w:hAnsi="Times New Roman" w:cs="Times New Roman"/>
          <w:sz w:val="16"/>
          <w:szCs w:val="16"/>
        </w:rPr>
      </w:pPr>
      <w:r w:rsidRPr="00247CEC">
        <w:rPr>
          <w:rStyle w:val="FootnoteReference"/>
          <w:rFonts w:ascii="Times New Roman" w:hAnsi="Times New Roman" w:cs="Times New Roman"/>
          <w:sz w:val="16"/>
          <w:szCs w:val="16"/>
        </w:rPr>
        <w:footnoteRef/>
      </w:r>
      <w:r w:rsidRPr="00247CEC">
        <w:rPr>
          <w:rFonts w:ascii="Times New Roman" w:hAnsi="Times New Roman" w:cs="Times New Roman"/>
          <w:sz w:val="16"/>
          <w:szCs w:val="16"/>
        </w:rPr>
        <w:t xml:space="preserve"> As explained in the introduction of Normanton, H.  </w:t>
      </w:r>
      <w:r w:rsidRPr="00247CEC">
        <w:rPr>
          <w:rFonts w:ascii="Times New Roman" w:hAnsi="Times New Roman" w:cs="Times New Roman"/>
          <w:i/>
          <w:sz w:val="16"/>
          <w:szCs w:val="16"/>
        </w:rPr>
        <w:t xml:space="preserve">India in England </w:t>
      </w:r>
      <w:r w:rsidRPr="00247CEC">
        <w:rPr>
          <w:rFonts w:ascii="Times New Roman" w:hAnsi="Times New Roman" w:cs="Times New Roman"/>
          <w:sz w:val="16"/>
          <w:szCs w:val="16"/>
        </w:rPr>
        <w:t>Ganesan Publishers 1921.  This was a reprint of many of the leading articles in the weekly</w:t>
      </w:r>
      <w:r>
        <w:rPr>
          <w:rFonts w:ascii="Times New Roman" w:hAnsi="Times New Roman" w:cs="Times New Roman"/>
          <w:sz w:val="16"/>
          <w:szCs w:val="16"/>
        </w:rPr>
        <w:t xml:space="preserve"> </w:t>
      </w:r>
      <w:r>
        <w:rPr>
          <w:rFonts w:ascii="Times New Roman" w:hAnsi="Times New Roman" w:cs="Times New Roman"/>
          <w:i/>
          <w:sz w:val="16"/>
          <w:szCs w:val="16"/>
        </w:rPr>
        <w:t>India</w:t>
      </w:r>
      <w:r>
        <w:rPr>
          <w:rFonts w:ascii="Times New Roman" w:hAnsi="Times New Roman" w:cs="Times New Roman"/>
          <w:sz w:val="16"/>
          <w:szCs w:val="16"/>
        </w:rPr>
        <w:t xml:space="preserve">.  </w:t>
      </w:r>
    </w:p>
  </w:footnote>
  <w:footnote w:id="149">
    <w:p w14:paraId="6828D608"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Baron de Forest, Liberal MP, see The </w:t>
      </w:r>
      <w:r>
        <w:rPr>
          <w:rFonts w:ascii="Times New Roman" w:hAnsi="Times New Roman" w:cs="Times New Roman"/>
          <w:i/>
          <w:sz w:val="16"/>
          <w:szCs w:val="16"/>
        </w:rPr>
        <w:t>Time</w:t>
      </w:r>
      <w:r>
        <w:rPr>
          <w:rFonts w:ascii="Times New Roman" w:hAnsi="Times New Roman" w:cs="Times New Roman"/>
          <w:sz w:val="16"/>
          <w:szCs w:val="16"/>
        </w:rPr>
        <w:t>s obituary 8 October 1968.</w:t>
      </w:r>
    </w:p>
  </w:footnote>
  <w:footnote w:id="150">
    <w:p w14:paraId="01A7D444" w14:textId="2A112C78" w:rsidR="00710E11" w:rsidRPr="00271D4F" w:rsidRDefault="00710E11" w:rsidP="00271D4F">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sidRPr="00271D4F">
        <w:rPr>
          <w:rFonts w:ascii="Times New Roman" w:hAnsi="Times New Roman" w:cs="Times New Roman"/>
          <w:sz w:val="16"/>
          <w:szCs w:val="16"/>
        </w:rPr>
        <w:t>WL: 7HLN/A/01.</w:t>
      </w:r>
    </w:p>
  </w:footnote>
  <w:footnote w:id="151">
    <w:p w14:paraId="50D6016B" w14:textId="2F2D960D" w:rsidR="00710E11" w:rsidRPr="00271D4F" w:rsidRDefault="00710E11" w:rsidP="00271D4F">
      <w:pPr>
        <w:pStyle w:val="FootnoteText"/>
        <w:spacing w:line="480" w:lineRule="auto"/>
        <w:rPr>
          <w:rFonts w:ascii="Times New Roman" w:hAnsi="Times New Roman" w:cs="Times New Roman"/>
          <w:sz w:val="16"/>
          <w:szCs w:val="16"/>
        </w:rPr>
      </w:pPr>
      <w:r w:rsidRPr="00271D4F">
        <w:rPr>
          <w:rStyle w:val="FootnoteReference"/>
          <w:rFonts w:ascii="Times New Roman" w:hAnsi="Times New Roman" w:cs="Times New Roman"/>
          <w:sz w:val="16"/>
          <w:szCs w:val="16"/>
        </w:rPr>
        <w:footnoteRef/>
      </w:r>
      <w:r w:rsidRPr="00271D4F">
        <w:rPr>
          <w:rFonts w:ascii="Times New Roman" w:hAnsi="Times New Roman" w:cs="Times New Roman"/>
          <w:sz w:val="16"/>
          <w:szCs w:val="16"/>
        </w:rPr>
        <w:t xml:space="preserve"> See: WL: LOCKETT</w:t>
      </w:r>
    </w:p>
  </w:footnote>
  <w:footnote w:id="152">
    <w:p w14:paraId="1E86E2A3" w14:textId="6FE3BF5F" w:rsidR="00710E11" w:rsidRPr="00271D4F" w:rsidRDefault="00710E11" w:rsidP="00271D4F">
      <w:pPr>
        <w:pStyle w:val="FootnoteText"/>
        <w:spacing w:line="480" w:lineRule="auto"/>
        <w:rPr>
          <w:rFonts w:ascii="Times New Roman" w:hAnsi="Times New Roman" w:cs="Times New Roman"/>
          <w:sz w:val="16"/>
          <w:szCs w:val="16"/>
        </w:rPr>
      </w:pPr>
      <w:r w:rsidRPr="00271D4F">
        <w:rPr>
          <w:rStyle w:val="FootnoteReference"/>
          <w:rFonts w:ascii="Times New Roman" w:hAnsi="Times New Roman" w:cs="Times New Roman"/>
          <w:sz w:val="16"/>
          <w:szCs w:val="16"/>
        </w:rPr>
        <w:footnoteRef/>
      </w:r>
      <w:r w:rsidRPr="00271D4F">
        <w:rPr>
          <w:rFonts w:ascii="Times New Roman" w:hAnsi="Times New Roman" w:cs="Times New Roman"/>
          <w:sz w:val="16"/>
          <w:szCs w:val="16"/>
        </w:rPr>
        <w:t xml:space="preserve"> A bencher is a senior barrister who is a governor of an Inn and a member of its council.  It is the highest type of membership to an Inn.</w:t>
      </w:r>
    </w:p>
  </w:footnote>
  <w:footnote w:id="153">
    <w:p w14:paraId="37B147F4" w14:textId="0F31A02B" w:rsidR="00710E11" w:rsidRDefault="00710E11" w:rsidP="00271D4F">
      <w:pPr>
        <w:pStyle w:val="FootnoteText"/>
        <w:spacing w:line="480" w:lineRule="auto"/>
        <w:rPr>
          <w:rFonts w:ascii="Times New Roman" w:hAnsi="Times New Roman" w:cs="Times New Roman"/>
          <w:sz w:val="16"/>
          <w:szCs w:val="16"/>
        </w:rPr>
      </w:pPr>
      <w:r w:rsidRPr="00271D4F">
        <w:rPr>
          <w:rStyle w:val="FootnoteReference"/>
          <w:rFonts w:ascii="Times New Roman" w:hAnsi="Times New Roman" w:cs="Times New Roman"/>
          <w:sz w:val="16"/>
          <w:szCs w:val="16"/>
        </w:rPr>
        <w:footnoteRef/>
      </w:r>
      <w:r w:rsidRPr="00271D4F">
        <w:rPr>
          <w:rFonts w:ascii="Times New Roman" w:hAnsi="Times New Roman" w:cs="Times New Roman"/>
          <w:sz w:val="16"/>
          <w:szCs w:val="16"/>
        </w:rPr>
        <w:t xml:space="preserve">  Abel, R.  </w:t>
      </w:r>
      <w:r w:rsidRPr="00271D4F">
        <w:rPr>
          <w:rFonts w:ascii="Times New Roman" w:hAnsi="Times New Roman" w:cs="Times New Roman"/>
          <w:i/>
          <w:sz w:val="16"/>
          <w:szCs w:val="16"/>
        </w:rPr>
        <w:t>The</w:t>
      </w:r>
      <w:r>
        <w:rPr>
          <w:rFonts w:ascii="Times New Roman" w:hAnsi="Times New Roman" w:cs="Times New Roman"/>
          <w:i/>
          <w:sz w:val="16"/>
          <w:szCs w:val="16"/>
        </w:rPr>
        <w:t xml:space="preserve"> Making of the English Legal Profession 1800-</w:t>
      </w:r>
      <w:r>
        <w:rPr>
          <w:rFonts w:ascii="Times New Roman" w:hAnsi="Times New Roman" w:cs="Times New Roman"/>
          <w:sz w:val="16"/>
          <w:szCs w:val="16"/>
        </w:rPr>
        <w:t>1988Beard Books, Washington, 1988, p. 38.</w:t>
      </w:r>
    </w:p>
  </w:footnote>
  <w:footnote w:id="154">
    <w:p w14:paraId="27223E96" w14:textId="20D19D49"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155">
    <w:p w14:paraId="67C7C1AD" w14:textId="248BB085"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Polden, op cit, p. 294.</w:t>
      </w:r>
    </w:p>
  </w:footnote>
  <w:footnote w:id="156">
    <w:p w14:paraId="755E0B19" w14:textId="1DFF9E3C"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smartTag w:uri="urn:schemas-microsoft-com:office:smarttags" w:element="PersonName">
        <w:smartTag w:uri="urn:schemas:contacts" w:element="Sn">
          <w:r>
            <w:rPr>
              <w:rFonts w:ascii="Times New Roman" w:hAnsi="Times New Roman" w:cs="Times New Roman"/>
              <w:sz w:val="16"/>
              <w:szCs w:val="16"/>
            </w:rPr>
            <w:t>Mossman</w:t>
          </w:r>
        </w:smartTag>
        <w:r>
          <w:rPr>
            <w:rFonts w:ascii="Times New Roman" w:hAnsi="Times New Roman" w:cs="Times New Roman"/>
            <w:sz w:val="16"/>
            <w:szCs w:val="16"/>
          </w:rPr>
          <w:t xml:space="preserve">, </w:t>
        </w:r>
        <w:smartTag w:uri="urn:schemas:contacts" w:element="GivenName">
          <w:r>
            <w:rPr>
              <w:rFonts w:ascii="Times New Roman" w:hAnsi="Times New Roman" w:cs="Times New Roman"/>
              <w:sz w:val="16"/>
              <w:szCs w:val="16"/>
            </w:rPr>
            <w:t>M.</w:t>
          </w:r>
        </w:smartTag>
        <w:r>
          <w:rPr>
            <w:rFonts w:ascii="Times New Roman" w:hAnsi="Times New Roman" w:cs="Times New Roman"/>
            <w:sz w:val="16"/>
            <w:szCs w:val="16"/>
          </w:rPr>
          <w:t xml:space="preserve"> </w:t>
        </w:r>
        <w:smartTag w:uri="urn:schemas:contacts" w:element="middlename">
          <w:r>
            <w:rPr>
              <w:rFonts w:ascii="Times New Roman" w:hAnsi="Times New Roman" w:cs="Times New Roman"/>
              <w:sz w:val="16"/>
              <w:szCs w:val="16"/>
            </w:rPr>
            <w:t>J.</w:t>
          </w:r>
        </w:smartTag>
      </w:smartTag>
      <w:r>
        <w:rPr>
          <w:rFonts w:ascii="Times New Roman" w:hAnsi="Times New Roman" w:cs="Times New Roman"/>
          <w:sz w:val="16"/>
          <w:szCs w:val="16"/>
        </w:rPr>
        <w:t xml:space="preserve"> </w:t>
      </w:r>
      <w:r>
        <w:rPr>
          <w:rFonts w:ascii="Times New Roman" w:hAnsi="Times New Roman" w:cs="Times New Roman"/>
          <w:i/>
          <w:sz w:val="16"/>
          <w:szCs w:val="16"/>
        </w:rPr>
        <w:t>The First Women Lawyers. A Comparative Study of Gender, Law and the Legal Professions.</w:t>
      </w:r>
      <w:r>
        <w:rPr>
          <w:rFonts w:ascii="Times New Roman" w:hAnsi="Times New Roman" w:cs="Times New Roman"/>
          <w:sz w:val="16"/>
          <w:szCs w:val="16"/>
        </w:rPr>
        <w:t xml:space="preserve">  Hart Publishing, 2006;  Albisetti, JC </w:t>
      </w:r>
      <w:r>
        <w:rPr>
          <w:rFonts w:ascii="Times New Roman" w:hAnsi="Times New Roman" w:cs="Times New Roman"/>
          <w:i/>
          <w:sz w:val="16"/>
          <w:szCs w:val="16"/>
        </w:rPr>
        <w:t>Portia ante Portia’s: women and the legal profession in Europe, ca 1870-1925 (</w:t>
      </w:r>
      <w:r>
        <w:rPr>
          <w:rFonts w:ascii="Times New Roman" w:hAnsi="Times New Roman" w:cs="Times New Roman"/>
          <w:sz w:val="16"/>
          <w:szCs w:val="16"/>
        </w:rPr>
        <w:t xml:space="preserve">2000) 33 </w:t>
      </w:r>
      <w:r>
        <w:rPr>
          <w:rFonts w:ascii="Times New Roman" w:hAnsi="Times New Roman" w:cs="Times New Roman"/>
          <w:i/>
          <w:sz w:val="16"/>
          <w:szCs w:val="16"/>
        </w:rPr>
        <w:t>Journal of Social History</w:t>
      </w:r>
      <w:r>
        <w:rPr>
          <w:rFonts w:ascii="Times New Roman" w:hAnsi="Times New Roman" w:cs="Times New Roman"/>
          <w:sz w:val="16"/>
          <w:szCs w:val="16"/>
        </w:rPr>
        <w:t xml:space="preserve"> 833; Kennedy, H </w:t>
      </w:r>
      <w:r>
        <w:rPr>
          <w:rFonts w:ascii="Times New Roman" w:hAnsi="Times New Roman" w:cs="Times New Roman"/>
          <w:i/>
          <w:sz w:val="16"/>
          <w:szCs w:val="16"/>
        </w:rPr>
        <w:t>Women at the bar</w:t>
      </w:r>
      <w:r>
        <w:rPr>
          <w:rFonts w:ascii="Times New Roman" w:hAnsi="Times New Roman" w:cs="Times New Roman"/>
          <w:sz w:val="16"/>
          <w:szCs w:val="16"/>
        </w:rPr>
        <w:t xml:space="preserve"> in Hazell, R </w:t>
      </w:r>
      <w:r>
        <w:rPr>
          <w:rFonts w:ascii="Times New Roman" w:hAnsi="Times New Roman" w:cs="Times New Roman"/>
          <w:i/>
          <w:sz w:val="16"/>
          <w:szCs w:val="16"/>
        </w:rPr>
        <w:t xml:space="preserve">The Bar on trial </w:t>
      </w:r>
      <w:r>
        <w:rPr>
          <w:rFonts w:ascii="Times New Roman" w:hAnsi="Times New Roman" w:cs="Times New Roman"/>
          <w:sz w:val="16"/>
          <w:szCs w:val="16"/>
        </w:rPr>
        <w:t xml:space="preserve">London Quartet Books, 1978; Lang E.M. </w:t>
      </w:r>
      <w:r>
        <w:rPr>
          <w:rFonts w:ascii="Times New Roman" w:hAnsi="Times New Roman" w:cs="Times New Roman"/>
          <w:i/>
          <w:sz w:val="16"/>
          <w:szCs w:val="16"/>
        </w:rPr>
        <w:t>British women in the twentieth century</w:t>
      </w:r>
      <w:r>
        <w:rPr>
          <w:rFonts w:ascii="Times New Roman" w:hAnsi="Times New Roman" w:cs="Times New Roman"/>
          <w:sz w:val="16"/>
          <w:szCs w:val="16"/>
        </w:rPr>
        <w:t xml:space="preserve"> London, T Werner Laurie, 1929; Marin, P </w:t>
      </w:r>
      <w:r>
        <w:rPr>
          <w:rFonts w:ascii="Times New Roman" w:hAnsi="Times New Roman" w:cs="Times New Roman"/>
          <w:i/>
          <w:sz w:val="16"/>
          <w:szCs w:val="16"/>
        </w:rPr>
        <w:t xml:space="preserve">First women of law </w:t>
      </w:r>
      <w:r>
        <w:rPr>
          <w:rFonts w:ascii="Times New Roman" w:hAnsi="Times New Roman" w:cs="Times New Roman"/>
          <w:sz w:val="16"/>
          <w:szCs w:val="16"/>
        </w:rPr>
        <w:t xml:space="preserve">2006, April, LSG 40; Skordaki, E, </w:t>
      </w:r>
      <w:r>
        <w:rPr>
          <w:rFonts w:ascii="Times New Roman" w:hAnsi="Times New Roman" w:cs="Times New Roman"/>
          <w:i/>
          <w:sz w:val="16"/>
          <w:szCs w:val="16"/>
        </w:rPr>
        <w:t>Glass slippers and glass ceilings: women in the legal profession</w:t>
      </w:r>
      <w:r>
        <w:rPr>
          <w:rFonts w:ascii="Times New Roman" w:hAnsi="Times New Roman" w:cs="Times New Roman"/>
          <w:sz w:val="16"/>
          <w:szCs w:val="16"/>
        </w:rPr>
        <w:t xml:space="preserve"> (1996) 3 </w:t>
      </w:r>
      <w:r>
        <w:rPr>
          <w:rFonts w:ascii="Times New Roman" w:hAnsi="Times New Roman" w:cs="Times New Roman"/>
          <w:i/>
          <w:sz w:val="16"/>
          <w:szCs w:val="16"/>
        </w:rPr>
        <w:t>International Journal of the Legal Profession</w:t>
      </w:r>
      <w:r>
        <w:rPr>
          <w:rFonts w:ascii="Times New Roman" w:hAnsi="Times New Roman" w:cs="Times New Roman"/>
          <w:sz w:val="16"/>
          <w:szCs w:val="16"/>
        </w:rPr>
        <w:t xml:space="preserve"> 7.</w:t>
      </w:r>
    </w:p>
  </w:footnote>
  <w:footnote w:id="157">
    <w:p w14:paraId="32A2D48D" w14:textId="67DEAE4C" w:rsidR="00710E11" w:rsidRDefault="00710E11" w:rsidP="00341D0B">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Philippa Levine, ‘Grey, Maria Georgina (1816-1906’, </w:t>
      </w:r>
      <w:r>
        <w:rPr>
          <w:rFonts w:ascii="Times New Roman" w:hAnsi="Times New Roman" w:cs="Times New Roman"/>
          <w:i/>
          <w:sz w:val="16"/>
          <w:szCs w:val="16"/>
        </w:rPr>
        <w:t>Oxford Dictionary of National Biography</w:t>
      </w:r>
      <w:r>
        <w:rPr>
          <w:rFonts w:ascii="Times New Roman" w:hAnsi="Times New Roman" w:cs="Times New Roman"/>
          <w:sz w:val="16"/>
          <w:szCs w:val="16"/>
        </w:rPr>
        <w:t>, Oxford University Press, 2004.</w:t>
      </w:r>
    </w:p>
  </w:footnote>
  <w:footnote w:id="158">
    <w:p w14:paraId="2BC0F8B2" w14:textId="64D1898D"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Council of Legal Education (CLE) was established in 1852 by the Inns of Court.  Its function was to supervise the education of bar students at the Inns of Court.  It employed Professors who would lecture the students at the Inns.  CLE archive, Institute of Advanced Legal Studies library, University of London.  </w:t>
      </w:r>
    </w:p>
  </w:footnote>
  <w:footnote w:id="159">
    <w:p w14:paraId="2511857B" w14:textId="5596CE4C"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Lady Lowry QC (Vice President of the Association of Women Barristers) in the Association of Women Barristers Magazine Winter/Spring 2004.</w:t>
      </w:r>
    </w:p>
  </w:footnote>
  <w:footnote w:id="160">
    <w:p w14:paraId="2C3A77BB"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Cs/>
          <w:sz w:val="16"/>
          <w:szCs w:val="16"/>
        </w:rPr>
        <w:t>Mossman, op cit, p. 116.</w:t>
      </w:r>
    </w:p>
  </w:footnote>
  <w:footnote w:id="161">
    <w:p w14:paraId="5A1015AD"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See (1878) 60 </w:t>
      </w:r>
      <w:r>
        <w:rPr>
          <w:rFonts w:ascii="Times New Roman" w:hAnsi="Times New Roman" w:cs="Times New Roman"/>
          <w:i/>
          <w:sz w:val="16"/>
          <w:szCs w:val="16"/>
        </w:rPr>
        <w:t xml:space="preserve">Englishwomen’s Review </w:t>
      </w:r>
      <w:r>
        <w:rPr>
          <w:rFonts w:ascii="Times New Roman" w:hAnsi="Times New Roman" w:cs="Times New Roman"/>
          <w:sz w:val="16"/>
          <w:szCs w:val="16"/>
        </w:rPr>
        <w:t xml:space="preserve">151.  In </w:t>
      </w:r>
      <w:r>
        <w:rPr>
          <w:rFonts w:ascii="Times New Roman" w:hAnsi="Times New Roman" w:cs="Times New Roman"/>
          <w:iCs/>
          <w:sz w:val="16"/>
          <w:szCs w:val="16"/>
        </w:rPr>
        <w:t>1878 a small group for the Promotion of Legal Education for Women was set up in London.</w:t>
      </w:r>
    </w:p>
  </w:footnote>
  <w:footnote w:id="162">
    <w:p w14:paraId="361C7866"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Middle Temple record MT. 1/MPA/22.  See also Lang, 1929, p.146 and January 1904 “Lady Law Students” Englishwoman’s review 49.</w:t>
      </w:r>
    </w:p>
  </w:footnote>
  <w:footnote w:id="163">
    <w:p w14:paraId="7D439FC4" w14:textId="15751EEA"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Auchmuty, op cit, points out that the four litigants in the </w:t>
      </w:r>
      <w:r>
        <w:rPr>
          <w:rFonts w:ascii="Times New Roman" w:hAnsi="Times New Roman" w:cs="Times New Roman"/>
          <w:i/>
          <w:sz w:val="16"/>
          <w:szCs w:val="16"/>
        </w:rPr>
        <w:t>Bebb</w:t>
      </w:r>
      <w:r>
        <w:rPr>
          <w:rFonts w:ascii="Times New Roman" w:hAnsi="Times New Roman" w:cs="Times New Roman"/>
          <w:sz w:val="16"/>
          <w:szCs w:val="16"/>
        </w:rPr>
        <w:t xml:space="preserve"> case were presented by the media as acceptable ‘would-be’ members of the legal profession, unlike Pankhurst whose behaviour was considered ‘disgraceful’, see p. 214. </w:t>
      </w:r>
    </w:p>
  </w:footnote>
  <w:footnote w:id="164">
    <w:p w14:paraId="265523AE" w14:textId="492FC0A9" w:rsidR="00710E11" w:rsidRDefault="00710E11" w:rsidP="00094615">
      <w:pPr>
        <w:spacing w:after="134"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Ray Strachey was the Chairperson: Evening News March 9 1920 and Evening Mail March 9 1920.  </w:t>
      </w:r>
      <w:r>
        <w:rPr>
          <w:rFonts w:ascii="Times New Roman" w:hAnsi="Times New Roman" w:cs="Times New Roman"/>
          <w:sz w:val="16"/>
          <w:szCs w:val="16"/>
          <w:lang w:eastAsia="en-GB"/>
        </w:rPr>
        <w:t xml:space="preserve">Barbara Caine, ‘Strachey, Rachel Pearsall Conn [Ray] (1887–1940)’, </w:t>
      </w:r>
      <w:r>
        <w:rPr>
          <w:rFonts w:ascii="Times New Roman" w:hAnsi="Times New Roman" w:cs="Times New Roman"/>
          <w:i/>
          <w:iCs/>
          <w:sz w:val="16"/>
          <w:szCs w:val="16"/>
          <w:lang w:eastAsia="en-GB"/>
        </w:rPr>
        <w:t>Oxford Dictionary of National Biography</w:t>
      </w:r>
      <w:r>
        <w:rPr>
          <w:rFonts w:ascii="Times New Roman" w:hAnsi="Times New Roman" w:cs="Times New Roman"/>
          <w:sz w:val="16"/>
          <w:szCs w:val="16"/>
          <w:lang w:eastAsia="en-GB"/>
        </w:rPr>
        <w:t>, Oxford University Press, 2004.</w:t>
      </w:r>
    </w:p>
  </w:footnote>
  <w:footnote w:id="165">
    <w:p w14:paraId="2B469F42"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year “That Awa”’ (this means “the year that away”) (December 1875) 6 </w:t>
      </w:r>
      <w:r>
        <w:rPr>
          <w:rFonts w:ascii="Times New Roman" w:hAnsi="Times New Roman" w:cs="Times New Roman"/>
          <w:i/>
          <w:sz w:val="16"/>
          <w:szCs w:val="16"/>
        </w:rPr>
        <w:t>Englishwoman’s Review</w:t>
      </w:r>
      <w:r>
        <w:rPr>
          <w:rFonts w:ascii="Times New Roman" w:hAnsi="Times New Roman" w:cs="Times New Roman"/>
          <w:sz w:val="16"/>
          <w:szCs w:val="16"/>
        </w:rPr>
        <w:t xml:space="preserve"> 533 (this article describes Orme and Richardson’s work and office); ‘Women as lawyers’ (November 1875) 6 </w:t>
      </w:r>
      <w:r>
        <w:rPr>
          <w:rFonts w:ascii="Times New Roman" w:hAnsi="Times New Roman" w:cs="Times New Roman"/>
          <w:i/>
          <w:sz w:val="16"/>
          <w:szCs w:val="16"/>
        </w:rPr>
        <w:t>Englishwoman’s Review</w:t>
      </w:r>
      <w:r>
        <w:rPr>
          <w:rFonts w:ascii="Times New Roman" w:hAnsi="Times New Roman" w:cs="Times New Roman"/>
          <w:sz w:val="16"/>
          <w:szCs w:val="16"/>
        </w:rPr>
        <w:t xml:space="preserve"> 510.  </w:t>
      </w:r>
    </w:p>
  </w:footnote>
  <w:footnote w:id="166">
    <w:p w14:paraId="4F5860AC" w14:textId="47FF0270"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Abel-Smith, B and Stevens, R. (with Rosalind Brooke) </w:t>
      </w:r>
      <w:r>
        <w:rPr>
          <w:rFonts w:ascii="Times New Roman" w:hAnsi="Times New Roman" w:cs="Times New Roman"/>
          <w:i/>
          <w:sz w:val="16"/>
          <w:szCs w:val="16"/>
        </w:rPr>
        <w:t>Lawyers and the Courts: A Sociological Study of the English Legal System 1750-1965</w:t>
      </w:r>
      <w:r>
        <w:rPr>
          <w:rFonts w:ascii="Times New Roman" w:hAnsi="Times New Roman" w:cs="Times New Roman"/>
          <w:sz w:val="16"/>
          <w:szCs w:val="16"/>
        </w:rPr>
        <w:t>, London, Heinemann, 1967 at 192-3.</w:t>
      </w:r>
    </w:p>
  </w:footnote>
  <w:footnote w:id="167">
    <w:p w14:paraId="0C817B15"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Mossman, op cit, p.132.</w:t>
      </w:r>
    </w:p>
  </w:footnote>
  <w:footnote w:id="168">
    <w:p w14:paraId="5E5B8AE0" w14:textId="654F672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169">
    <w:p w14:paraId="78EBA0B1"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occupation has now disappeared, but at the turn of the twentieth century it was a male occupation which involved the drafting of pleadings.  They did not have to be barristers (although they could be).  The special pleader did not appear in court but had to hold a licence to practice.  This was often a job that was performed before Call.  See Kershaw, M.  </w:t>
      </w:r>
      <w:r>
        <w:rPr>
          <w:rFonts w:ascii="Times New Roman" w:hAnsi="Times New Roman" w:cs="Times New Roman"/>
          <w:i/>
          <w:sz w:val="16"/>
          <w:szCs w:val="16"/>
        </w:rPr>
        <w:t>From Beeching to Woolf</w:t>
      </w:r>
      <w:r>
        <w:rPr>
          <w:rFonts w:ascii="Times New Roman" w:hAnsi="Times New Roman" w:cs="Times New Roman"/>
          <w:sz w:val="16"/>
          <w:szCs w:val="16"/>
        </w:rPr>
        <w:t xml:space="preserve"> 1997 Liverpool Law Review 19(1) 47-51 1997.   </w:t>
      </w:r>
    </w:p>
  </w:footnote>
  <w:footnote w:id="170">
    <w:p w14:paraId="0280A708"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Lady Lowry QC (Vice President of the Association of Women Barristers) in the Association of Women Barristers magazine Winter/Spring 2004.</w:t>
      </w:r>
    </w:p>
  </w:footnote>
  <w:footnote w:id="171">
    <w:p w14:paraId="1C9493C8" w14:textId="3235361C"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Auchmuty, op cit.  It was not just the franchise that had been a success, women’s campaigns had other successes for example with regard to property: the Married Women’s property Acts (1870, 1874, and 1882); limited success with divorce Matrimonial Causes Act 1878; the repeal of the Contagious Diseases Acts in 1883.</w:t>
      </w:r>
    </w:p>
  </w:footnote>
  <w:footnote w:id="172">
    <w:p w14:paraId="0AF62A24"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parliament is the Inn’s sovereign body and is the ultimate authority.  It is made up of benchers and sits at various times during the year.</w:t>
      </w:r>
    </w:p>
  </w:footnote>
  <w:footnote w:id="173">
    <w:p w14:paraId="20BB6053" w14:textId="3E699C13"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174">
    <w:p w14:paraId="4F6B214D" w14:textId="74955ED0"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discourse on the law.</w:t>
      </w:r>
    </w:p>
  </w:footnote>
  <w:footnote w:id="175">
    <w:p w14:paraId="5BE955F2"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Auchmuty, op cit, p. 230.</w:t>
      </w:r>
    </w:p>
  </w:footnote>
  <w:footnote w:id="176">
    <w:p w14:paraId="21930FFD" w14:textId="77777777" w:rsidR="00710E11" w:rsidRDefault="00710E11" w:rsidP="00094615">
      <w:pPr>
        <w:spacing w:after="120"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sz w:val="16"/>
          <w:szCs w:val="16"/>
          <w:lang w:eastAsia="en-GB"/>
        </w:rPr>
        <w:t xml:space="preserve">Albert Napier, ‘Schuster, Claud, Baron Schuster (1869–1956)’, </w:t>
      </w:r>
      <w:r>
        <w:rPr>
          <w:rFonts w:ascii="Times New Roman" w:hAnsi="Times New Roman" w:cs="Times New Roman"/>
          <w:i/>
          <w:iCs/>
          <w:sz w:val="16"/>
          <w:szCs w:val="16"/>
          <w:lang w:eastAsia="en-GB"/>
        </w:rPr>
        <w:t>Oxford Dictionary of National Biography</w:t>
      </w:r>
      <w:r>
        <w:rPr>
          <w:rFonts w:ascii="Times New Roman" w:hAnsi="Times New Roman" w:cs="Times New Roman"/>
          <w:sz w:val="16"/>
          <w:szCs w:val="16"/>
          <w:lang w:eastAsia="en-GB"/>
        </w:rPr>
        <w:t xml:space="preserve">, Oxford University Press, 2004.  Hall, J. G. And Martin, D. F. </w:t>
      </w:r>
      <w:r>
        <w:rPr>
          <w:rFonts w:ascii="Times New Roman" w:hAnsi="Times New Roman" w:cs="Times New Roman"/>
          <w:i/>
          <w:sz w:val="16"/>
          <w:szCs w:val="16"/>
          <w:lang w:eastAsia="en-GB"/>
        </w:rPr>
        <w:t>Yes Lord Chancellor: A Biography of Lord Schuster</w:t>
      </w:r>
      <w:r>
        <w:rPr>
          <w:rFonts w:ascii="Times New Roman" w:hAnsi="Times New Roman" w:cs="Times New Roman"/>
          <w:sz w:val="16"/>
          <w:szCs w:val="16"/>
          <w:lang w:eastAsia="en-GB"/>
        </w:rPr>
        <w:t xml:space="preserve"> 2003 Barry Rose Law Publishers: Chichester West Sussex.</w:t>
      </w:r>
    </w:p>
  </w:footnote>
  <w:footnote w:id="177">
    <w:p w14:paraId="21D9260B" w14:textId="21635091"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He was sympathetic to the women’s movement, ibid Hall, p. 134.</w:t>
      </w:r>
    </w:p>
  </w:footnote>
  <w:footnote w:id="178">
    <w:p w14:paraId="22953243" w14:textId="7A16A004"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7HLN/A/05.</w:t>
      </w:r>
    </w:p>
  </w:footnote>
  <w:footnote w:id="179">
    <w:p w14:paraId="50B60C01"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The Lord Chancellor, the President of the Probate Divorce and Admiralty Division, the Master of the Rolls, and the Judges of the King’s Bench, Chancery, and Probate Divorce and Admiralty Divisions, each of the Judges to whom the appeal was directed, and the Benchers of the Inn from whose decision the Appeal arises.  He said that it should be addressed to the House of Lords.</w:t>
      </w:r>
    </w:p>
  </w:footnote>
  <w:footnote w:id="180">
    <w:p w14:paraId="72F77021" w14:textId="5105B562"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7HLN/A/05.</w:t>
      </w:r>
    </w:p>
  </w:footnote>
  <w:footnote w:id="181">
    <w:p w14:paraId="1995A62A" w14:textId="454EE728"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w:t>
      </w:r>
    </w:p>
  </w:footnote>
  <w:footnote w:id="182">
    <w:p w14:paraId="1D145C9F" w14:textId="697C254D"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Lang, op cit , pp. 163-4.</w:t>
      </w:r>
    </w:p>
  </w:footnote>
  <w:footnote w:id="183">
    <w:p w14:paraId="3131FE8E" w14:textId="5AAFDE7A"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184">
    <w:p w14:paraId="65FF494D" w14:textId="27F6D08E"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This was a London University Student Union (1893-1933), UCLCA/SB (University College of London Students Bodies’ Records).</w:t>
      </w:r>
    </w:p>
  </w:footnote>
  <w:footnote w:id="185">
    <w:p w14:paraId="0DAC0643" w14:textId="42AB9015"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Copy of letter in WL: 7HLN/A/01.</w:t>
      </w:r>
    </w:p>
  </w:footnote>
  <w:footnote w:id="186">
    <w:p w14:paraId="1B78F269" w14:textId="4AC34DD2"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T. L. Stevenson, 12 December 1918, WL: 7HLN/A/03.</w:t>
      </w:r>
    </w:p>
  </w:footnote>
  <w:footnote w:id="187">
    <w:p w14:paraId="09F87738" w14:textId="4222DDF1"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188">
    <w:p w14:paraId="1C02675A" w14:textId="34A1DB1F"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Normanton was possibly empowered due to exercising her right to vote for the first time in the general election the month before (14 December 1918).</w:t>
      </w:r>
    </w:p>
  </w:footnote>
  <w:footnote w:id="189">
    <w:p w14:paraId="2343B087" w14:textId="3E82DEB5" w:rsidR="00710E11" w:rsidRDefault="00710E11" w:rsidP="00094615">
      <w:pPr>
        <w:tabs>
          <w:tab w:val="left" w:pos="5171"/>
        </w:tabs>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7HLN/A/03.  The appeal was heard by a committee composed of : Master Muir Mackenzie (a civil servant: Robert Stevens, ‘Mackenzie, Kenneth Augustus Muir, Baron Muir Mackenzie (1845–1930)’, </w:t>
      </w:r>
      <w:r>
        <w:rPr>
          <w:rFonts w:ascii="Times New Roman" w:hAnsi="Times New Roman" w:cs="Times New Roman"/>
          <w:i/>
          <w:iCs/>
          <w:sz w:val="16"/>
          <w:szCs w:val="16"/>
        </w:rPr>
        <w:t>Oxford Dictionary of National Biography</w:t>
      </w:r>
      <w:r>
        <w:rPr>
          <w:rFonts w:ascii="Times New Roman" w:hAnsi="Times New Roman" w:cs="Times New Roman"/>
          <w:sz w:val="16"/>
          <w:szCs w:val="16"/>
        </w:rPr>
        <w:t xml:space="preserve">, Oxford University Press, 2004), Master Macmorrans, Master Honoratius Lloyd and Master de Colyar. </w:t>
      </w:r>
    </w:p>
  </w:footnote>
  <w:footnote w:id="190">
    <w:p w14:paraId="76D7F3CC" w14:textId="3DA69028"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7HLN/A/05.</w:t>
      </w:r>
    </w:p>
  </w:footnote>
  <w:footnote w:id="191">
    <w:p w14:paraId="55B0C142"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
          <w:sz w:val="16"/>
          <w:szCs w:val="16"/>
        </w:rPr>
        <w:t xml:space="preserve">Bulletin </w:t>
      </w:r>
      <w:r>
        <w:rPr>
          <w:rFonts w:ascii="Times New Roman" w:hAnsi="Times New Roman" w:cs="Times New Roman"/>
          <w:sz w:val="16"/>
          <w:szCs w:val="16"/>
        </w:rPr>
        <w:t xml:space="preserve">15 December 1918 “Admission to Middle Temple before Christmas”.  There was also speculation in the </w:t>
      </w:r>
      <w:r>
        <w:rPr>
          <w:rFonts w:ascii="Times New Roman" w:hAnsi="Times New Roman" w:cs="Times New Roman"/>
          <w:i/>
          <w:sz w:val="16"/>
          <w:szCs w:val="16"/>
        </w:rPr>
        <w:t xml:space="preserve">Daily Express </w:t>
      </w:r>
      <w:r>
        <w:rPr>
          <w:rFonts w:ascii="Times New Roman" w:hAnsi="Times New Roman" w:cs="Times New Roman"/>
          <w:sz w:val="16"/>
          <w:szCs w:val="16"/>
        </w:rPr>
        <w:t xml:space="preserve">16 December 1919 “Britain’s First Portia: Miss Normanton expecting the Call” and the </w:t>
      </w:r>
      <w:r>
        <w:rPr>
          <w:rFonts w:ascii="Times New Roman" w:hAnsi="Times New Roman" w:cs="Times New Roman"/>
          <w:i/>
          <w:sz w:val="16"/>
          <w:szCs w:val="16"/>
        </w:rPr>
        <w:t xml:space="preserve">Globe </w:t>
      </w:r>
      <w:r>
        <w:rPr>
          <w:rFonts w:ascii="Times New Roman" w:hAnsi="Times New Roman" w:cs="Times New Roman"/>
          <w:sz w:val="16"/>
          <w:szCs w:val="16"/>
        </w:rPr>
        <w:t xml:space="preserve">December 16 1919 “Women Lawyers Advent: Applicant’s View”.  </w:t>
      </w:r>
    </w:p>
  </w:footnote>
  <w:footnote w:id="192">
    <w:p w14:paraId="78F2ED65" w14:textId="39F53688"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7HLN/A/05.</w:t>
      </w:r>
    </w:p>
  </w:footnote>
  <w:footnote w:id="193">
    <w:p w14:paraId="1A8A3587" w14:textId="0F39DDBF"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194">
    <w:p w14:paraId="43343D02" w14:textId="39FC8FCD"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Lang, op cit, p.164.</w:t>
      </w:r>
    </w:p>
  </w:footnote>
  <w:footnote w:id="195">
    <w:p w14:paraId="46153BB6" w14:textId="292573C8"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196">
    <w:p w14:paraId="37A0819F" w14:textId="1CD77E00"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Polden, op cit, the other Inns also accepted women , after Helena: Theodora Llewellyn Davies at Inner Temple January 9 1920, Marjorie Powell at Lincoln’s on January 16 and Mary Selina Share Jones at Gray’s on January 27 1920.</w:t>
      </w:r>
    </w:p>
  </w:footnote>
  <w:footnote w:id="197">
    <w:p w14:paraId="239975B3" w14:textId="12097E46"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198">
    <w:p w14:paraId="51450BB3" w14:textId="113E06B8"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
          <w:sz w:val="16"/>
          <w:szCs w:val="16"/>
        </w:rPr>
        <w:t>Evening Standard</w:t>
      </w:r>
      <w:r>
        <w:rPr>
          <w:rFonts w:ascii="Times New Roman" w:hAnsi="Times New Roman" w:cs="Times New Roman"/>
          <w:sz w:val="16"/>
          <w:szCs w:val="16"/>
        </w:rPr>
        <w:t xml:space="preserve"> 13 January 1921.</w:t>
      </w:r>
    </w:p>
  </w:footnote>
  <w:footnote w:id="199">
    <w:p w14:paraId="60DEAA4B" w14:textId="139478AB"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200">
    <w:p w14:paraId="5937D809" w14:textId="29D3BCF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201">
    <w:p w14:paraId="4E67B479" w14:textId="3B050F0C"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MT. 3/MEM.</w:t>
      </w:r>
    </w:p>
  </w:footnote>
  <w:footnote w:id="202">
    <w:p w14:paraId="7B8372AD" w14:textId="4C1F057E" w:rsidR="00710E11" w:rsidRDefault="00710E11" w:rsidP="00094615">
      <w:pPr>
        <w:tabs>
          <w:tab w:val="left" w:pos="5171"/>
        </w:tabs>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MT3DIS/68.</w:t>
      </w:r>
    </w:p>
  </w:footnote>
  <w:footnote w:id="203">
    <w:p w14:paraId="7CD34630" w14:textId="5D228D36"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
          <w:sz w:val="16"/>
          <w:szCs w:val="16"/>
        </w:rPr>
        <w:t>Girl’s Own Journal</w:t>
      </w:r>
      <w:r>
        <w:rPr>
          <w:rFonts w:ascii="Times New Roman" w:hAnsi="Times New Roman" w:cs="Times New Roman"/>
          <w:sz w:val="16"/>
          <w:szCs w:val="16"/>
        </w:rPr>
        <w:t xml:space="preserve"> February 1939 p. 257.</w:t>
      </w:r>
    </w:p>
  </w:footnote>
  <w:footnote w:id="204">
    <w:p w14:paraId="50389CA4" w14:textId="017E244B"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205">
    <w:p w14:paraId="26DE2D80" w14:textId="74DF5CE1"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206">
    <w:p w14:paraId="34844CE2" w14:textId="37FB22D1"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7HLN/A/07 2 May 1951.</w:t>
      </w:r>
    </w:p>
  </w:footnote>
  <w:footnote w:id="207">
    <w:p w14:paraId="52865B95" w14:textId="77777777"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t>
      </w:r>
      <w:r>
        <w:rPr>
          <w:rFonts w:ascii="Times New Roman" w:hAnsi="Times New Roman" w:cs="Times New Roman"/>
          <w:i/>
          <w:sz w:val="16"/>
          <w:szCs w:val="16"/>
        </w:rPr>
        <w:t>The Daily Mail</w:t>
      </w:r>
      <w:r>
        <w:rPr>
          <w:rFonts w:ascii="Times New Roman" w:hAnsi="Times New Roman" w:cs="Times New Roman"/>
          <w:sz w:val="16"/>
          <w:szCs w:val="16"/>
        </w:rPr>
        <w:t>, 10 February 1951.</w:t>
      </w:r>
    </w:p>
  </w:footnote>
  <w:footnote w:id="208">
    <w:p w14:paraId="07744909" w14:textId="3873882A" w:rsidR="00710E11" w:rsidRDefault="00710E11" w:rsidP="00094615">
      <w:pPr>
        <w:tabs>
          <w:tab w:val="left" w:pos="5171"/>
        </w:tabs>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MT3/DIS/77.</w:t>
      </w:r>
    </w:p>
  </w:footnote>
  <w:footnote w:id="209">
    <w:p w14:paraId="132292F2" w14:textId="433B7DBD"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23 May 1951.</w:t>
      </w:r>
    </w:p>
  </w:footnote>
  <w:footnote w:id="210">
    <w:p w14:paraId="306C1BFE" w14:textId="5C538444"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WL: 7HLN/A/01.</w:t>
      </w:r>
    </w:p>
  </w:footnote>
  <w:footnote w:id="211">
    <w:p w14:paraId="3E7A9D17" w14:textId="0B05FEEC"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Polden, op cit p. 318.</w:t>
      </w:r>
    </w:p>
  </w:footnote>
  <w:footnote w:id="212">
    <w:p w14:paraId="00E94F94" w14:textId="1D365D55" w:rsidR="00710E11" w:rsidRDefault="00710E11" w:rsidP="00094615">
      <w:pPr>
        <w:pStyle w:val="FootnoteText"/>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Ibid. </w:t>
      </w:r>
    </w:p>
  </w:footnote>
  <w:footnote w:id="213">
    <w:p w14:paraId="119E9A8A" w14:textId="49A74DA9" w:rsidR="00710E11" w:rsidRDefault="00710E11" w:rsidP="00094615">
      <w:pPr>
        <w:tabs>
          <w:tab w:val="left" w:pos="5171"/>
        </w:tabs>
        <w:spacing w:line="480" w:lineRule="auto"/>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MT3/DIS/78.</w:t>
      </w:r>
    </w:p>
  </w:footnote>
  <w:footnote w:id="214">
    <w:p w14:paraId="3870A0C9"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L Lindström, </w:t>
      </w:r>
      <w:r w:rsidRPr="0077316C">
        <w:rPr>
          <w:rFonts w:ascii="Times New Roman" w:hAnsi="Times New Roman" w:cs="Times New Roman"/>
          <w:i/>
          <w:sz w:val="16"/>
          <w:szCs w:val="16"/>
          <w:lang w:val="et-EE"/>
        </w:rPr>
        <w:t>Album Academicum Universitatis Tartuensis 1918–1944</w:t>
      </w:r>
      <w:r w:rsidRPr="0077316C">
        <w:rPr>
          <w:rFonts w:ascii="Times New Roman" w:hAnsi="Times New Roman" w:cs="Times New Roman"/>
          <w:sz w:val="16"/>
          <w:szCs w:val="16"/>
          <w:lang w:val="et-EE"/>
        </w:rPr>
        <w:t>. Vol. I-III. (Tallinn: Tallinna Raamatutrükikoda, 1994).</w:t>
      </w:r>
    </w:p>
  </w:footnote>
  <w:footnote w:id="215">
    <w:p w14:paraId="53D51ACE"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lang w:val="et-EE"/>
        </w:rPr>
        <w:t xml:space="preserve"> </w:t>
      </w:r>
      <w:r w:rsidRPr="0077316C">
        <w:rPr>
          <w:rFonts w:ascii="Times New Roman" w:hAnsi="Times New Roman" w:cs="Times New Roman"/>
          <w:i/>
          <w:sz w:val="16"/>
          <w:szCs w:val="16"/>
          <w:lang w:val="et-EE"/>
        </w:rPr>
        <w:t>Eesti Vabariigi Vannutatud Advokaatide Nõukogu aruanded</w:t>
      </w:r>
      <w:r w:rsidRPr="0077316C">
        <w:rPr>
          <w:rFonts w:ascii="Times New Roman" w:hAnsi="Times New Roman" w:cs="Times New Roman"/>
          <w:sz w:val="16"/>
          <w:szCs w:val="16"/>
          <w:lang w:val="et-EE"/>
        </w:rPr>
        <w:t>. (Tallinn: Eesti Kirjastus Ühisus, 1927–1939).</w:t>
      </w:r>
    </w:p>
  </w:footnote>
  <w:footnote w:id="216">
    <w:p w14:paraId="31723E3C"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Concisely but in detail about the history of Estonia and other Baltic states during that period see: Z Kiaupa, A Mäesalu, A Pajur, G Straube, </w:t>
      </w:r>
      <w:r w:rsidRPr="0077316C">
        <w:rPr>
          <w:rFonts w:ascii="Times New Roman" w:hAnsi="Times New Roman" w:cs="Times New Roman"/>
          <w:i/>
          <w:sz w:val="16"/>
          <w:szCs w:val="16"/>
          <w:lang w:val="et-EE"/>
        </w:rPr>
        <w:t>The History of the Baltic Countries</w:t>
      </w:r>
      <w:r w:rsidRPr="0077316C">
        <w:rPr>
          <w:rFonts w:ascii="Times New Roman" w:hAnsi="Times New Roman" w:cs="Times New Roman"/>
          <w:sz w:val="16"/>
          <w:szCs w:val="16"/>
          <w:lang w:val="et-EE"/>
        </w:rPr>
        <w:t>. (3rd, revised ed. Tallinn: Avita, 2002), in particular the chapter The Baltic States 1914–1939, 129–164.</w:t>
      </w:r>
    </w:p>
  </w:footnote>
  <w:footnote w:id="217">
    <w:p w14:paraId="06CA3EC5"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In the historical and cultural framework, Estonian-language based jurisprudence is a relatively young phenomenon which for the most part developed at the beginning of the 20th century in connection with the founding of a nation state (1918) and the re-opening of Tartu University in 1919 (originally founded in 1632), with Estonian as the language of instruction for the first time in its history. In earlier centuries, the language of instruction in Tartu University was Latin, German or Russian, depending on the scientific culture and political regime in the country: in the 17th century basically Latin, in the 1st half of the 19th century mainly German and less Latin and in the 2nd half German and Russian.</w:t>
      </w:r>
    </w:p>
  </w:footnote>
  <w:footnote w:id="218">
    <w:p w14:paraId="17D6BD2C"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About the history of the university: </w:t>
      </w:r>
      <w:r w:rsidRPr="0077316C">
        <w:rPr>
          <w:rFonts w:ascii="Times New Roman" w:hAnsi="Times New Roman" w:cs="Times New Roman"/>
          <w:i/>
          <w:sz w:val="16"/>
          <w:szCs w:val="16"/>
          <w:lang w:val="et-EE"/>
        </w:rPr>
        <w:t>History of Tartu University 1632-1982</w:t>
      </w:r>
      <w:r w:rsidRPr="0077316C">
        <w:rPr>
          <w:rFonts w:ascii="Times New Roman" w:hAnsi="Times New Roman" w:cs="Times New Roman"/>
          <w:sz w:val="16"/>
          <w:szCs w:val="16"/>
          <w:lang w:val="et-EE"/>
        </w:rPr>
        <w:t>. K Siilivask (ed), (Tallinn: Perioodika, 1985).</w:t>
      </w:r>
    </w:p>
  </w:footnote>
  <w:footnote w:id="219">
    <w:p w14:paraId="2423FDE7"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lang w:val="et-EE"/>
        </w:rPr>
        <w:t xml:space="preserve"> </w:t>
      </w:r>
      <w:r w:rsidRPr="0077316C">
        <w:rPr>
          <w:rFonts w:ascii="Times New Roman" w:hAnsi="Times New Roman" w:cs="Times New Roman"/>
          <w:bCs/>
          <w:i/>
          <w:sz w:val="16"/>
          <w:szCs w:val="16"/>
          <w:lang w:val="et-EE"/>
        </w:rPr>
        <w:t>Журнал заседания совета императорского Юрьевского университета</w:t>
      </w:r>
      <w:r w:rsidRPr="0077316C">
        <w:rPr>
          <w:rFonts w:ascii="Times New Roman" w:hAnsi="Times New Roman" w:cs="Times New Roman"/>
          <w:bCs/>
          <w:sz w:val="16"/>
          <w:szCs w:val="16"/>
          <w:lang w:val="et-EE"/>
        </w:rPr>
        <w:t xml:space="preserve">. </w:t>
      </w:r>
      <w:r w:rsidRPr="0077316C">
        <w:rPr>
          <w:rFonts w:ascii="Times New Roman" w:hAnsi="Times New Roman" w:cs="Times New Roman"/>
          <w:bCs/>
          <w:sz w:val="16"/>
          <w:szCs w:val="16"/>
        </w:rPr>
        <w:t>(</w:t>
      </w:r>
      <w:r w:rsidRPr="0077316C">
        <w:rPr>
          <w:rFonts w:ascii="Times New Roman" w:hAnsi="Times New Roman" w:cs="Times New Roman"/>
          <w:color w:val="222222"/>
          <w:sz w:val="16"/>
          <w:szCs w:val="16"/>
        </w:rPr>
        <w:t>Юрьев: 1906) 13-14.</w:t>
      </w:r>
    </w:p>
  </w:footnote>
  <w:footnote w:id="220">
    <w:p w14:paraId="13D0543F"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In more detail about the development of Estonian legal order: M Luts-Sootak, ‘Estland’ in </w:t>
      </w:r>
      <w:r w:rsidRPr="0077316C">
        <w:rPr>
          <w:rFonts w:ascii="Times New Roman" w:hAnsi="Times New Roman" w:cs="Times New Roman"/>
          <w:i/>
          <w:sz w:val="16"/>
          <w:szCs w:val="16"/>
          <w:lang w:val="et-EE"/>
        </w:rPr>
        <w:t>Handwörterbuch zur deutschen Rechtsgeschichte</w:t>
      </w:r>
      <w:r w:rsidRPr="0077316C">
        <w:rPr>
          <w:rFonts w:ascii="Times New Roman" w:hAnsi="Times New Roman" w:cs="Times New Roman"/>
          <w:sz w:val="16"/>
          <w:szCs w:val="16"/>
          <w:lang w:val="et-EE"/>
        </w:rPr>
        <w:t xml:space="preserve">. Lfg. 6. (Eid-Familienfideikommiss), (2. Aufl. Berlin: Erich Schmidt Verlag, 2007) 1430; P Järvelaid, ‘The Development of the Estonian Legal System’ (2000) </w:t>
      </w:r>
      <w:r w:rsidRPr="0077316C">
        <w:rPr>
          <w:rFonts w:ascii="Times New Roman" w:hAnsi="Times New Roman" w:cs="Times New Roman"/>
          <w:i/>
          <w:sz w:val="16"/>
          <w:szCs w:val="16"/>
          <w:lang w:val="et-EE"/>
        </w:rPr>
        <w:t>Zeitschrift für Europäisches Privatrecht</w:t>
      </w:r>
      <w:r w:rsidRPr="0077316C">
        <w:rPr>
          <w:rFonts w:ascii="Times New Roman" w:hAnsi="Times New Roman" w:cs="Times New Roman"/>
          <w:sz w:val="16"/>
          <w:szCs w:val="16"/>
          <w:lang w:val="et-EE"/>
        </w:rPr>
        <w:t>, 873–877.</w:t>
      </w:r>
    </w:p>
  </w:footnote>
  <w:footnote w:id="221">
    <w:p w14:paraId="3A3CB9BF" w14:textId="77777777" w:rsidR="00710E11" w:rsidRPr="0077316C" w:rsidRDefault="00710E11" w:rsidP="0077316C">
      <w:pPr>
        <w:widowControl w:val="0"/>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lang w:val="fr-FR"/>
        </w:rPr>
        <w:t xml:space="preserve"> </w:t>
      </w:r>
      <w:r w:rsidRPr="0077316C">
        <w:rPr>
          <w:rFonts w:ascii="Times New Roman" w:hAnsi="Times New Roman" w:cs="Times New Roman"/>
          <w:sz w:val="16"/>
          <w:szCs w:val="16"/>
          <w:lang w:val="et-EE"/>
        </w:rPr>
        <w:t xml:space="preserve">R Tamm, ‘Naiste tung meeste elukutsetesse’ </w:t>
      </w:r>
      <w:r w:rsidRPr="0077316C">
        <w:rPr>
          <w:rFonts w:ascii="Times New Roman" w:hAnsi="Times New Roman" w:cs="Times New Roman"/>
          <w:i/>
          <w:sz w:val="16"/>
          <w:szCs w:val="16"/>
          <w:lang w:val="et-EE"/>
        </w:rPr>
        <w:t>Postimees</w:t>
      </w:r>
      <w:r w:rsidRPr="0077316C">
        <w:rPr>
          <w:rFonts w:ascii="Times New Roman" w:hAnsi="Times New Roman" w:cs="Times New Roman"/>
          <w:sz w:val="16"/>
          <w:szCs w:val="16"/>
          <w:lang w:val="et-EE"/>
        </w:rPr>
        <w:t xml:space="preserve"> (01.03.1925).</w:t>
      </w:r>
    </w:p>
  </w:footnote>
  <w:footnote w:id="222">
    <w:p w14:paraId="46AEAB74" w14:textId="77777777" w:rsidR="00710E11" w:rsidRPr="0077316C" w:rsidRDefault="00710E11" w:rsidP="0077316C">
      <w:pPr>
        <w:widowControl w:val="0"/>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lang w:val="fr-FR"/>
        </w:rPr>
        <w:t xml:space="preserve"> </w:t>
      </w:r>
      <w:r w:rsidRPr="0077316C">
        <w:rPr>
          <w:rFonts w:ascii="Times New Roman" w:hAnsi="Times New Roman" w:cs="Times New Roman"/>
          <w:sz w:val="16"/>
          <w:szCs w:val="16"/>
          <w:lang w:val="et-EE"/>
        </w:rPr>
        <w:t xml:space="preserve">M Reisik, ‘Naiste ligem ülesanne’ </w:t>
      </w:r>
      <w:r w:rsidRPr="0077316C">
        <w:rPr>
          <w:rFonts w:ascii="Times New Roman" w:hAnsi="Times New Roman" w:cs="Times New Roman"/>
          <w:i/>
          <w:sz w:val="16"/>
          <w:szCs w:val="16"/>
          <w:lang w:val="et-EE"/>
        </w:rPr>
        <w:t>Postimees</w:t>
      </w:r>
      <w:r w:rsidRPr="0077316C">
        <w:rPr>
          <w:rFonts w:ascii="Times New Roman" w:hAnsi="Times New Roman" w:cs="Times New Roman"/>
          <w:sz w:val="16"/>
          <w:szCs w:val="16"/>
          <w:lang w:val="et-EE"/>
        </w:rPr>
        <w:t xml:space="preserve"> (15.03.1919).</w:t>
      </w:r>
    </w:p>
  </w:footnote>
  <w:footnote w:id="223">
    <w:p w14:paraId="35F45D87" w14:textId="77777777" w:rsidR="00710E11" w:rsidRPr="0077316C" w:rsidRDefault="00710E11" w:rsidP="0077316C">
      <w:pPr>
        <w:widowControl w:val="0"/>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S Tamul, </w:t>
      </w:r>
      <w:r w:rsidRPr="0077316C">
        <w:rPr>
          <w:rFonts w:ascii="Times New Roman" w:hAnsi="Times New Roman" w:cs="Times New Roman"/>
          <w:i/>
          <w:sz w:val="16"/>
          <w:szCs w:val="16"/>
          <w:lang w:val="et-EE"/>
        </w:rPr>
        <w:t>Vita Academica, Vita Feminea</w:t>
      </w:r>
      <w:r w:rsidRPr="0077316C">
        <w:rPr>
          <w:rFonts w:ascii="Times New Roman" w:hAnsi="Times New Roman" w:cs="Times New Roman"/>
          <w:sz w:val="16"/>
          <w:szCs w:val="16"/>
          <w:lang w:val="et-EE"/>
        </w:rPr>
        <w:t xml:space="preserve"> (Tartu: Tartu Ülikooli Kirjastus 1999), 121–122. </w:t>
      </w:r>
    </w:p>
  </w:footnote>
  <w:footnote w:id="224">
    <w:p w14:paraId="7AB4DC75" w14:textId="77777777" w:rsidR="00710E11" w:rsidRPr="0077316C" w:rsidRDefault="00710E11" w:rsidP="0077316C">
      <w:pPr>
        <w:widowControl w:val="0"/>
        <w:tabs>
          <w:tab w:val="left" w:pos="220"/>
          <w:tab w:val="left" w:pos="720"/>
        </w:tabs>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The Constitution of the Republic of Estonia. Riigi Teataja 09.08.1920, 113/114, 243. </w:t>
      </w:r>
      <w:r w:rsidRPr="0077316C">
        <w:rPr>
          <w:rFonts w:ascii="MS Gothic" w:hAnsi="MS Gothic" w:cs="MS Gothic"/>
          <w:sz w:val="16"/>
          <w:szCs w:val="16"/>
          <w:lang w:val="et-EE"/>
        </w:rPr>
        <w:t> </w:t>
      </w:r>
    </w:p>
  </w:footnote>
  <w:footnote w:id="225">
    <w:p w14:paraId="077A5B3C" w14:textId="77777777" w:rsidR="00710E11" w:rsidRPr="0077316C" w:rsidRDefault="00710E11" w:rsidP="0077316C">
      <w:pPr>
        <w:widowControl w:val="0"/>
        <w:autoSpaceDE w:val="0"/>
        <w:autoSpaceDN w:val="0"/>
        <w:adjustRightInd w:val="0"/>
        <w:spacing w:line="480" w:lineRule="auto"/>
        <w:rPr>
          <w:rFonts w:ascii="Times New Roman" w:eastAsiaTheme="minorEastAsia"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The University of Tartu Act 1925, 122/123, 81.</w:t>
      </w:r>
      <w:r w:rsidRPr="0077316C">
        <w:rPr>
          <w:rFonts w:ascii="MS Gothic" w:hAnsi="MS Gothic" w:cs="MS Gothic"/>
          <w:sz w:val="16"/>
          <w:szCs w:val="16"/>
          <w:lang w:val="et-EE"/>
        </w:rPr>
        <w:t> </w:t>
      </w:r>
    </w:p>
  </w:footnote>
  <w:footnote w:id="226">
    <w:p w14:paraId="7C0AC178" w14:textId="77777777" w:rsidR="00710E11" w:rsidRPr="0077316C" w:rsidRDefault="00710E11" w:rsidP="0077316C">
      <w:pPr>
        <w:widowControl w:val="0"/>
        <w:tabs>
          <w:tab w:val="left" w:pos="220"/>
          <w:tab w:val="left" w:pos="720"/>
        </w:tabs>
        <w:autoSpaceDE w:val="0"/>
        <w:autoSpaceDN w:val="0"/>
        <w:adjustRightInd w:val="0"/>
        <w:spacing w:line="480" w:lineRule="auto"/>
        <w:jc w:val="both"/>
        <w:rPr>
          <w:rFonts w:ascii="Times New Roman" w:eastAsiaTheme="minorEastAsia"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Total amount of law students who graduated between two world wars was 1618, incl. 1475 male students and 143 female students. T Karjahärm and V Sirk, </w:t>
      </w:r>
      <w:r w:rsidRPr="0077316C">
        <w:rPr>
          <w:rFonts w:ascii="Times New Roman" w:hAnsi="Times New Roman" w:cs="Times New Roman"/>
          <w:i/>
          <w:sz w:val="16"/>
          <w:szCs w:val="16"/>
          <w:lang w:val="et-EE"/>
        </w:rPr>
        <w:t>Vaim ja võim. Eesti haritlaskond 1917–1940</w:t>
      </w:r>
      <w:r w:rsidRPr="0077316C">
        <w:rPr>
          <w:rFonts w:ascii="Times New Roman" w:hAnsi="Times New Roman" w:cs="Times New Roman"/>
          <w:sz w:val="16"/>
          <w:szCs w:val="16"/>
          <w:lang w:val="et-EE"/>
        </w:rPr>
        <w:t xml:space="preserve"> (Tallinn: Argo, 2001), 145.</w:t>
      </w:r>
      <w:r w:rsidRPr="0077316C">
        <w:rPr>
          <w:rFonts w:ascii="Times New Roman" w:eastAsiaTheme="minorEastAsia" w:hAnsi="Times New Roman" w:cs="Times New Roman"/>
          <w:sz w:val="16"/>
          <w:szCs w:val="16"/>
        </w:rPr>
        <w:t xml:space="preserve"> </w:t>
      </w:r>
      <w:r w:rsidRPr="0077316C">
        <w:rPr>
          <w:rFonts w:ascii="MS Gothic" w:eastAsiaTheme="minorEastAsia" w:hAnsi="MS Gothic" w:cs="MS Gothic"/>
          <w:sz w:val="16"/>
          <w:szCs w:val="16"/>
        </w:rPr>
        <w:t> </w:t>
      </w:r>
    </w:p>
  </w:footnote>
  <w:footnote w:id="227">
    <w:p w14:paraId="43AD0D08" w14:textId="77777777" w:rsidR="00710E11" w:rsidRPr="0077316C" w:rsidRDefault="00710E11" w:rsidP="0077316C">
      <w:pPr>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The Estonian Association of University Women (EAUW), founded in 1926 united university-educated women of Estonia. </w:t>
      </w:r>
      <w:r w:rsidRPr="0077316C">
        <w:rPr>
          <w:rFonts w:ascii="Times New Roman" w:hAnsi="Times New Roman" w:cs="Times New Roman"/>
          <w:sz w:val="16"/>
          <w:szCs w:val="16"/>
        </w:rPr>
        <w:t>&lt;</w:t>
      </w:r>
      <w:hyperlink r:id="rId2" w:history="1">
        <w:r w:rsidRPr="0077316C">
          <w:rPr>
            <w:rStyle w:val="Hyperlink"/>
            <w:rFonts w:ascii="Times New Roman" w:hAnsi="Times New Roman" w:cs="Times New Roman"/>
            <w:sz w:val="16"/>
            <w:szCs w:val="16"/>
            <w:lang w:val="et-EE"/>
          </w:rPr>
          <w:t>http://www.ean.ee/eng.html</w:t>
        </w:r>
      </w:hyperlink>
      <w:r w:rsidRPr="0077316C">
        <w:rPr>
          <w:rFonts w:ascii="Times New Roman" w:hAnsi="Times New Roman" w:cs="Times New Roman"/>
          <w:sz w:val="16"/>
          <w:szCs w:val="16"/>
        </w:rPr>
        <w:t>&gt;</w:t>
      </w:r>
      <w:r w:rsidRPr="0077316C">
        <w:rPr>
          <w:rFonts w:ascii="Times New Roman" w:hAnsi="Times New Roman" w:cs="Times New Roman"/>
          <w:sz w:val="16"/>
          <w:szCs w:val="16"/>
          <w:lang w:val="et-EE"/>
        </w:rPr>
        <w:t xml:space="preserve">  accessed 30 April 2016.</w:t>
      </w:r>
    </w:p>
  </w:footnote>
  <w:footnote w:id="228">
    <w:p w14:paraId="60D9D03C" w14:textId="77777777" w:rsidR="00710E11" w:rsidRPr="0077316C" w:rsidRDefault="00710E11" w:rsidP="0077316C">
      <w:pPr>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The International Federation of Women in Legal Careers (FIFCJ), a Non Governmental Organization of women jurists was founded in Paris in 1928 with the aim of fighting for the eradication of all forms of discrimination against women and promoting their Human Rights. </w:t>
      </w:r>
      <w:r w:rsidRPr="0077316C">
        <w:rPr>
          <w:rFonts w:ascii="Times New Roman" w:hAnsi="Times New Roman" w:cs="Times New Roman"/>
          <w:sz w:val="16"/>
          <w:szCs w:val="16"/>
        </w:rPr>
        <w:t>&lt;</w:t>
      </w:r>
      <w:hyperlink r:id="rId3" w:history="1">
        <w:r w:rsidRPr="0077316C">
          <w:rPr>
            <w:rStyle w:val="Hyperlink"/>
            <w:rFonts w:ascii="Times New Roman" w:hAnsi="Times New Roman" w:cs="Times New Roman"/>
            <w:sz w:val="16"/>
            <w:szCs w:val="16"/>
            <w:lang w:val="et-EE"/>
          </w:rPr>
          <w:t>http://fifcj-ifwlc.com</w:t>
        </w:r>
      </w:hyperlink>
      <w:r w:rsidRPr="0077316C">
        <w:rPr>
          <w:rFonts w:ascii="Times New Roman" w:hAnsi="Times New Roman" w:cs="Times New Roman"/>
          <w:sz w:val="16"/>
          <w:szCs w:val="16"/>
        </w:rPr>
        <w:t>&gt;</w:t>
      </w:r>
      <w:r w:rsidRPr="0077316C">
        <w:rPr>
          <w:rFonts w:ascii="Times New Roman" w:hAnsi="Times New Roman" w:cs="Times New Roman"/>
          <w:sz w:val="16"/>
          <w:szCs w:val="16"/>
          <w:lang w:val="et-EE"/>
        </w:rPr>
        <w:t xml:space="preserve"> accessed 30 April 2016.</w:t>
      </w:r>
    </w:p>
  </w:footnote>
  <w:footnote w:id="229">
    <w:p w14:paraId="1F166FF5" w14:textId="77777777" w:rsidR="00710E11" w:rsidRPr="0077316C" w:rsidRDefault="00710E11" w:rsidP="0077316C">
      <w:pPr>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The International Federation of University Women was founded in 1918.  The new title of the organization is </w:t>
      </w:r>
      <w:r w:rsidRPr="0077316C">
        <w:rPr>
          <w:rFonts w:ascii="Times New Roman" w:hAnsi="Times New Roman" w:cs="Times New Roman"/>
          <w:iCs/>
          <w:sz w:val="16"/>
          <w:szCs w:val="16"/>
          <w:lang w:val="et-EE"/>
        </w:rPr>
        <w:t>Graduate Women International</w:t>
      </w:r>
      <w:r w:rsidRPr="0077316C">
        <w:rPr>
          <w:rFonts w:ascii="Times New Roman" w:hAnsi="Times New Roman" w:cs="Times New Roman"/>
          <w:sz w:val="16"/>
          <w:szCs w:val="16"/>
          <w:lang w:val="et-EE"/>
        </w:rPr>
        <w:t xml:space="preserve"> (GWI). </w:t>
      </w:r>
      <w:r w:rsidRPr="0077316C">
        <w:rPr>
          <w:rFonts w:ascii="Times New Roman" w:hAnsi="Times New Roman" w:cs="Times New Roman"/>
          <w:sz w:val="16"/>
          <w:szCs w:val="16"/>
        </w:rPr>
        <w:t>&lt;</w:t>
      </w:r>
      <w:hyperlink r:id="rId4" w:history="1">
        <w:r w:rsidRPr="0077316C">
          <w:rPr>
            <w:rStyle w:val="Hyperlink"/>
            <w:rFonts w:ascii="Times New Roman" w:hAnsi="Times New Roman" w:cs="Times New Roman"/>
            <w:sz w:val="16"/>
            <w:szCs w:val="16"/>
            <w:lang w:val="et-EE"/>
          </w:rPr>
          <w:t>http://www.graduatewomen.org</w:t>
        </w:r>
      </w:hyperlink>
      <w:r w:rsidRPr="0077316C">
        <w:rPr>
          <w:rFonts w:ascii="Times New Roman" w:hAnsi="Times New Roman" w:cs="Times New Roman"/>
          <w:sz w:val="16"/>
          <w:szCs w:val="16"/>
        </w:rPr>
        <w:t>&gt;</w:t>
      </w:r>
      <w:r w:rsidRPr="0077316C">
        <w:rPr>
          <w:rFonts w:ascii="Times New Roman" w:hAnsi="Times New Roman" w:cs="Times New Roman"/>
          <w:sz w:val="16"/>
          <w:szCs w:val="16"/>
          <w:lang w:val="et-EE"/>
        </w:rPr>
        <w:t xml:space="preserve"> accessed 30 April 2016.</w:t>
      </w:r>
    </w:p>
  </w:footnote>
  <w:footnote w:id="230">
    <w:p w14:paraId="3AD1BB88" w14:textId="77777777" w:rsidR="00710E11" w:rsidRPr="0077316C" w:rsidRDefault="00710E11" w:rsidP="0077316C">
      <w:pPr>
        <w:widowControl w:val="0"/>
        <w:autoSpaceDE w:val="0"/>
        <w:autoSpaceDN w:val="0"/>
        <w:adjustRightInd w:val="0"/>
        <w:spacing w:line="480" w:lineRule="auto"/>
        <w:rPr>
          <w:rFonts w:ascii="Times New Roman" w:eastAsiaTheme="minorEastAsia"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The Estonian Bar Association Act 1938, 36, 322 III.</w:t>
      </w:r>
      <w:r w:rsidRPr="0077316C">
        <w:rPr>
          <w:rFonts w:ascii="Times New Roman" w:eastAsiaTheme="minorEastAsia" w:hAnsi="Times New Roman" w:cs="Times New Roman"/>
          <w:sz w:val="16"/>
          <w:szCs w:val="16"/>
        </w:rPr>
        <w:t xml:space="preserve"> </w:t>
      </w:r>
    </w:p>
  </w:footnote>
  <w:footnote w:id="231">
    <w:p w14:paraId="1B142CB8" w14:textId="77777777" w:rsidR="00710E11" w:rsidRPr="0077316C" w:rsidRDefault="00710E11" w:rsidP="0077316C">
      <w:pPr>
        <w:widowControl w:val="0"/>
        <w:tabs>
          <w:tab w:val="left" w:pos="220"/>
          <w:tab w:val="left" w:pos="720"/>
        </w:tabs>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lang w:val="et-EE"/>
        </w:rPr>
        <w:t>The annual report of the Estonian Bar Association 1920</w:t>
      </w:r>
      <w:r w:rsidRPr="0077316C">
        <w:rPr>
          <w:rFonts w:ascii="Times New Roman" w:hAnsi="Times New Roman" w:cs="Times New Roman"/>
          <w:sz w:val="16"/>
          <w:szCs w:val="16"/>
          <w:lang w:val="et-EE"/>
        </w:rPr>
        <w:t xml:space="preserve">. (Tallinn: Eesti Kirjastus-Ühisus 1921) 8. </w:t>
      </w:r>
      <w:r w:rsidRPr="0077316C">
        <w:rPr>
          <w:rFonts w:ascii="MS Gothic" w:hAnsi="MS Gothic" w:cs="MS Gothic"/>
          <w:sz w:val="16"/>
          <w:szCs w:val="16"/>
          <w:lang w:val="et-EE"/>
        </w:rPr>
        <w:t> </w:t>
      </w:r>
    </w:p>
  </w:footnote>
  <w:footnote w:id="232">
    <w:p w14:paraId="7004604A"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lang w:val="et-EE"/>
        </w:rPr>
        <w:t>The annual report of the Estonian Bar Association 1929</w:t>
      </w:r>
      <w:r w:rsidRPr="0077316C">
        <w:rPr>
          <w:rFonts w:ascii="Times New Roman" w:hAnsi="Times New Roman" w:cs="Times New Roman"/>
          <w:sz w:val="16"/>
          <w:szCs w:val="16"/>
          <w:lang w:val="et-EE"/>
        </w:rPr>
        <w:t>. (Tallinn: Eesti Kirjastus-Ühisus 1930) 10.</w:t>
      </w:r>
    </w:p>
  </w:footnote>
  <w:footnote w:id="233">
    <w:p w14:paraId="72EEE1BA" w14:textId="77777777" w:rsidR="00710E11" w:rsidRPr="0077316C" w:rsidRDefault="00710E11" w:rsidP="0077316C">
      <w:pPr>
        <w:pStyle w:val="FootnoteText"/>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i/>
          <w:sz w:val="16"/>
          <w:szCs w:val="16"/>
          <w:lang w:val="et-EE"/>
        </w:rPr>
        <w:t>The annual report of the Estonian Bar Association 1933</w:t>
      </w:r>
      <w:r w:rsidRPr="0077316C">
        <w:rPr>
          <w:rFonts w:ascii="Times New Roman" w:hAnsi="Times New Roman" w:cs="Times New Roman"/>
          <w:sz w:val="16"/>
          <w:szCs w:val="16"/>
          <w:lang w:val="et-EE"/>
        </w:rPr>
        <w:t>. (Tallinn: Eesti Kirjastus-Ühisus 1934) 11.</w:t>
      </w:r>
    </w:p>
  </w:footnote>
  <w:footnote w:id="234">
    <w:p w14:paraId="51569DAC" w14:textId="77777777" w:rsidR="00710E11" w:rsidRPr="0077316C" w:rsidRDefault="00710E11" w:rsidP="0077316C">
      <w:pPr>
        <w:widowControl w:val="0"/>
        <w:tabs>
          <w:tab w:val="left" w:pos="220"/>
          <w:tab w:val="left" w:pos="720"/>
        </w:tabs>
        <w:autoSpaceDE w:val="0"/>
        <w:autoSpaceDN w:val="0"/>
        <w:adjustRightInd w:val="0"/>
        <w:spacing w:line="480" w:lineRule="auto"/>
        <w:rPr>
          <w:rFonts w:ascii="Times New Roman" w:eastAsiaTheme="minorEastAsia"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lang w:val="et-EE"/>
        </w:rPr>
        <w:t xml:space="preserve"> K Grau, ‘Advokatuuri õigusajaloolise arengu põhijooni Eestis’ (1939) 8 </w:t>
      </w:r>
      <w:r w:rsidRPr="0077316C">
        <w:rPr>
          <w:rFonts w:ascii="Times New Roman" w:hAnsi="Times New Roman" w:cs="Times New Roman"/>
          <w:i/>
          <w:sz w:val="16"/>
          <w:szCs w:val="16"/>
          <w:lang w:val="et-EE"/>
        </w:rPr>
        <w:t>Õigus</w:t>
      </w:r>
      <w:r w:rsidRPr="0077316C">
        <w:rPr>
          <w:rFonts w:ascii="Times New Roman" w:hAnsi="Times New Roman" w:cs="Times New Roman"/>
          <w:sz w:val="16"/>
          <w:szCs w:val="16"/>
          <w:lang w:val="et-EE"/>
        </w:rPr>
        <w:t>, 395.</w:t>
      </w:r>
    </w:p>
  </w:footnote>
  <w:footnote w:id="235">
    <w:p w14:paraId="02EBA821" w14:textId="77777777" w:rsidR="00710E11" w:rsidRPr="0077316C" w:rsidRDefault="00710E11" w:rsidP="0077316C">
      <w:pPr>
        <w:widowControl w:val="0"/>
        <w:tabs>
          <w:tab w:val="left" w:pos="220"/>
          <w:tab w:val="left" w:pos="720"/>
        </w:tabs>
        <w:autoSpaceDE w:val="0"/>
        <w:autoSpaceDN w:val="0"/>
        <w:adjustRightInd w:val="0"/>
        <w:spacing w:line="480" w:lineRule="auto"/>
        <w:rPr>
          <w:rFonts w:ascii="Times New Roman" w:hAnsi="Times New Roman" w:cs="Times New Roman"/>
          <w:sz w:val="16"/>
          <w:szCs w:val="16"/>
          <w:lang w:val="et-EE"/>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About the development of  the court system in Estonia: T Anepaio, </w:t>
      </w:r>
      <w:r w:rsidRPr="0077316C">
        <w:rPr>
          <w:rFonts w:ascii="Times New Roman" w:hAnsi="Times New Roman" w:cs="Times New Roman"/>
          <w:i/>
          <w:sz w:val="16"/>
          <w:szCs w:val="16"/>
          <w:lang w:val="et-EE"/>
        </w:rPr>
        <w:t>Eesti Vabariigi kohtunikekorpus (1918–1940)</w:t>
      </w:r>
      <w:r w:rsidRPr="0077316C">
        <w:rPr>
          <w:rFonts w:ascii="Times New Roman" w:hAnsi="Times New Roman" w:cs="Times New Roman"/>
          <w:sz w:val="16"/>
          <w:szCs w:val="16"/>
          <w:lang w:val="et-EE"/>
        </w:rPr>
        <w:t xml:space="preserve">. (Tartu: Tartu Ülikool, 1993); H Schneider, </w:t>
      </w:r>
      <w:r w:rsidRPr="0077316C">
        <w:rPr>
          <w:rFonts w:ascii="Times New Roman" w:hAnsi="Times New Roman" w:cs="Times New Roman"/>
          <w:i/>
          <w:sz w:val="16"/>
          <w:szCs w:val="16"/>
          <w:lang w:val="et-EE"/>
        </w:rPr>
        <w:t>Kohtud Eestis: minevikus ja tänapäeval</w:t>
      </w:r>
      <w:r w:rsidRPr="0077316C">
        <w:rPr>
          <w:rFonts w:ascii="Times New Roman" w:hAnsi="Times New Roman" w:cs="Times New Roman"/>
          <w:sz w:val="16"/>
          <w:szCs w:val="16"/>
          <w:lang w:val="et-EE"/>
        </w:rPr>
        <w:t>. (Tartu: Juura, 1994).</w:t>
      </w:r>
    </w:p>
  </w:footnote>
  <w:footnote w:id="236">
    <w:p w14:paraId="259DA8E5" w14:textId="77777777" w:rsidR="00710E11" w:rsidRPr="00060D11" w:rsidRDefault="00710E11" w:rsidP="0077316C">
      <w:pPr>
        <w:spacing w:line="480" w:lineRule="auto"/>
        <w:rPr>
          <w:rFonts w:ascii="Times New Roman" w:hAnsi="Times New Roman" w:cs="Times New Roman"/>
          <w:sz w:val="16"/>
          <w:szCs w:val="16"/>
        </w:rPr>
      </w:pPr>
      <w:r w:rsidRPr="0077316C">
        <w:rPr>
          <w:rStyle w:val="FootnoteReference"/>
          <w:rFonts w:ascii="Times New Roman" w:hAnsi="Times New Roman" w:cs="Times New Roman"/>
          <w:sz w:val="16"/>
          <w:szCs w:val="16"/>
        </w:rPr>
        <w:footnoteRef/>
      </w:r>
      <w:r w:rsidRPr="0077316C">
        <w:rPr>
          <w:rFonts w:ascii="Times New Roman" w:hAnsi="Times New Roman" w:cs="Times New Roman"/>
          <w:sz w:val="16"/>
          <w:szCs w:val="16"/>
        </w:rPr>
        <w:t xml:space="preserve"> </w:t>
      </w:r>
      <w:r w:rsidRPr="0077316C">
        <w:rPr>
          <w:rFonts w:ascii="Times New Roman" w:hAnsi="Times New Roman" w:cs="Times New Roman"/>
          <w:sz w:val="16"/>
          <w:szCs w:val="16"/>
          <w:lang w:val="et-EE"/>
        </w:rPr>
        <w:t xml:space="preserve">About the repressions in Estonia: M Laar, ‘Deportation from Estonia in 1941 and 1949’ in </w:t>
      </w:r>
      <w:r w:rsidRPr="0077316C">
        <w:rPr>
          <w:rFonts w:ascii="Times New Roman" w:hAnsi="Times New Roman" w:cs="Times New Roman"/>
          <w:i/>
          <w:sz w:val="16"/>
          <w:szCs w:val="16"/>
          <w:lang w:val="et-EE"/>
        </w:rPr>
        <w:t xml:space="preserve">Estonia Today. </w:t>
      </w:r>
      <w:r w:rsidRPr="0077316C">
        <w:rPr>
          <w:rFonts w:ascii="Times New Roman" w:hAnsi="Times New Roman" w:cs="Times New Roman"/>
          <w:sz w:val="16"/>
          <w:szCs w:val="16"/>
          <w:lang w:val="et-EE"/>
        </w:rPr>
        <w:t xml:space="preserve">(Fact Sheet of the Press and Information Department, Estonian Ministry of Foreign Affairs, June 2006); T Kirss, ‘Survivorship and the Eastern Exile: Estonian Women`s Life Narratives of the 1941 and 1949 Deportations’ (2005) 36 (1) </w:t>
      </w:r>
      <w:r w:rsidRPr="0077316C">
        <w:rPr>
          <w:rFonts w:ascii="Times New Roman" w:hAnsi="Times New Roman" w:cs="Times New Roman"/>
          <w:i/>
          <w:sz w:val="16"/>
          <w:szCs w:val="16"/>
          <w:lang w:val="et-EE"/>
        </w:rPr>
        <w:t>Journal of Baltic Studies</w:t>
      </w:r>
      <w:r w:rsidRPr="0077316C">
        <w:rPr>
          <w:rFonts w:ascii="Times New Roman" w:hAnsi="Times New Roman" w:cs="Times New Roman"/>
          <w:sz w:val="16"/>
          <w:szCs w:val="16"/>
          <w:lang w:val="et-EE"/>
        </w:rPr>
        <w:t xml:space="preserve">, 13−38; L Mälksoo, ‘Soviet Genocide? Communist Mass Deportations in the Baltic States and International Law’ (2001) 14 (4) </w:t>
      </w:r>
      <w:r w:rsidRPr="0077316C">
        <w:rPr>
          <w:rFonts w:ascii="Times New Roman" w:hAnsi="Times New Roman" w:cs="Times New Roman"/>
          <w:i/>
          <w:sz w:val="16"/>
          <w:szCs w:val="16"/>
          <w:lang w:val="et-EE"/>
        </w:rPr>
        <w:t>Leiden Journal of International Law</w:t>
      </w:r>
      <w:r w:rsidRPr="0077316C">
        <w:rPr>
          <w:rFonts w:ascii="Times New Roman" w:hAnsi="Times New Roman" w:cs="Times New Roman"/>
          <w:sz w:val="16"/>
          <w:szCs w:val="16"/>
          <w:lang w:val="et-EE"/>
        </w:rPr>
        <w:t>, 757−787.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3E380" w14:textId="7CA2736D" w:rsidR="00710E11" w:rsidRDefault="00710E11">
    <w:pPr>
      <w:pStyle w:val="Header"/>
    </w:pPr>
    <w:r w:rsidRPr="006951DF">
      <w:rPr>
        <w:i/>
      </w:rPr>
      <w:t>First Women Lawyers in Great Britain and the Empire Record</w:t>
    </w:r>
    <w:r>
      <w:t>, 2016, Volume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50C52"/>
    <w:multiLevelType w:val="multilevel"/>
    <w:tmpl w:val="BCE8A30A"/>
    <w:lvl w:ilvl="0">
      <w:numFmt w:val="bullet"/>
      <w:lvlText w:val=""/>
      <w:lvlJc w:val="left"/>
      <w:pPr>
        <w:ind w:left="885" w:hanging="360"/>
      </w:pPr>
      <w:rPr>
        <w:rFonts w:ascii="Symbol" w:hAnsi="Symbol"/>
      </w:rPr>
    </w:lvl>
    <w:lvl w:ilvl="1">
      <w:numFmt w:val="bullet"/>
      <w:lvlText w:val="o"/>
      <w:lvlJc w:val="left"/>
      <w:pPr>
        <w:ind w:left="1605" w:hanging="360"/>
      </w:pPr>
      <w:rPr>
        <w:rFonts w:ascii="Courier New" w:hAnsi="Courier New" w:cs="Courier New"/>
      </w:rPr>
    </w:lvl>
    <w:lvl w:ilvl="2">
      <w:numFmt w:val="bullet"/>
      <w:lvlText w:val=""/>
      <w:lvlJc w:val="left"/>
      <w:pPr>
        <w:ind w:left="2325" w:hanging="360"/>
      </w:pPr>
      <w:rPr>
        <w:rFonts w:ascii="Wingdings" w:hAnsi="Wingdings"/>
      </w:rPr>
    </w:lvl>
    <w:lvl w:ilvl="3">
      <w:numFmt w:val="bullet"/>
      <w:lvlText w:val=""/>
      <w:lvlJc w:val="left"/>
      <w:pPr>
        <w:ind w:left="3045" w:hanging="360"/>
      </w:pPr>
      <w:rPr>
        <w:rFonts w:ascii="Symbol" w:hAnsi="Symbol"/>
      </w:rPr>
    </w:lvl>
    <w:lvl w:ilvl="4">
      <w:numFmt w:val="bullet"/>
      <w:lvlText w:val="o"/>
      <w:lvlJc w:val="left"/>
      <w:pPr>
        <w:ind w:left="3765" w:hanging="360"/>
      </w:pPr>
      <w:rPr>
        <w:rFonts w:ascii="Courier New" w:hAnsi="Courier New" w:cs="Courier New"/>
      </w:rPr>
    </w:lvl>
    <w:lvl w:ilvl="5">
      <w:numFmt w:val="bullet"/>
      <w:lvlText w:val=""/>
      <w:lvlJc w:val="left"/>
      <w:pPr>
        <w:ind w:left="4485" w:hanging="360"/>
      </w:pPr>
      <w:rPr>
        <w:rFonts w:ascii="Wingdings" w:hAnsi="Wingdings"/>
      </w:rPr>
    </w:lvl>
    <w:lvl w:ilvl="6">
      <w:numFmt w:val="bullet"/>
      <w:lvlText w:val=""/>
      <w:lvlJc w:val="left"/>
      <w:pPr>
        <w:ind w:left="5205" w:hanging="360"/>
      </w:pPr>
      <w:rPr>
        <w:rFonts w:ascii="Symbol" w:hAnsi="Symbol"/>
      </w:rPr>
    </w:lvl>
    <w:lvl w:ilvl="7">
      <w:numFmt w:val="bullet"/>
      <w:lvlText w:val="o"/>
      <w:lvlJc w:val="left"/>
      <w:pPr>
        <w:ind w:left="5925" w:hanging="360"/>
      </w:pPr>
      <w:rPr>
        <w:rFonts w:ascii="Courier New" w:hAnsi="Courier New" w:cs="Courier New"/>
      </w:rPr>
    </w:lvl>
    <w:lvl w:ilvl="8">
      <w:numFmt w:val="bullet"/>
      <w:lvlText w:val=""/>
      <w:lvlJc w:val="left"/>
      <w:pPr>
        <w:ind w:left="6645" w:hanging="360"/>
      </w:pPr>
      <w:rPr>
        <w:rFonts w:ascii="Wingdings" w:hAnsi="Wingdings"/>
      </w:rPr>
    </w:lvl>
  </w:abstractNum>
  <w:abstractNum w:abstractNumId="1">
    <w:nsid w:val="79CC4DC1"/>
    <w:multiLevelType w:val="multilevel"/>
    <w:tmpl w:val="58B0B5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7A666C46"/>
    <w:multiLevelType w:val="multilevel"/>
    <w:tmpl w:val="2938D3E4"/>
    <w:lvl w:ilvl="0">
      <w:numFmt w:val="bullet"/>
      <w:lvlText w:val=""/>
      <w:lvlJc w:val="left"/>
      <w:pPr>
        <w:ind w:left="885" w:hanging="360"/>
      </w:pPr>
      <w:rPr>
        <w:rFonts w:ascii="Symbol" w:hAnsi="Symbol"/>
      </w:rPr>
    </w:lvl>
    <w:lvl w:ilvl="1">
      <w:numFmt w:val="bullet"/>
      <w:lvlText w:val="o"/>
      <w:lvlJc w:val="left"/>
      <w:pPr>
        <w:ind w:left="1605" w:hanging="360"/>
      </w:pPr>
      <w:rPr>
        <w:rFonts w:ascii="Courier New" w:hAnsi="Courier New" w:cs="Courier New"/>
      </w:rPr>
    </w:lvl>
    <w:lvl w:ilvl="2">
      <w:numFmt w:val="bullet"/>
      <w:lvlText w:val=""/>
      <w:lvlJc w:val="left"/>
      <w:pPr>
        <w:ind w:left="2325" w:hanging="360"/>
      </w:pPr>
      <w:rPr>
        <w:rFonts w:ascii="Wingdings" w:hAnsi="Wingdings"/>
      </w:rPr>
    </w:lvl>
    <w:lvl w:ilvl="3">
      <w:numFmt w:val="bullet"/>
      <w:lvlText w:val=""/>
      <w:lvlJc w:val="left"/>
      <w:pPr>
        <w:ind w:left="3045" w:hanging="360"/>
      </w:pPr>
      <w:rPr>
        <w:rFonts w:ascii="Symbol" w:hAnsi="Symbol"/>
      </w:rPr>
    </w:lvl>
    <w:lvl w:ilvl="4">
      <w:numFmt w:val="bullet"/>
      <w:lvlText w:val="o"/>
      <w:lvlJc w:val="left"/>
      <w:pPr>
        <w:ind w:left="3765" w:hanging="360"/>
      </w:pPr>
      <w:rPr>
        <w:rFonts w:ascii="Courier New" w:hAnsi="Courier New" w:cs="Courier New"/>
      </w:rPr>
    </w:lvl>
    <w:lvl w:ilvl="5">
      <w:numFmt w:val="bullet"/>
      <w:lvlText w:val=""/>
      <w:lvlJc w:val="left"/>
      <w:pPr>
        <w:ind w:left="4485" w:hanging="360"/>
      </w:pPr>
      <w:rPr>
        <w:rFonts w:ascii="Wingdings" w:hAnsi="Wingdings"/>
      </w:rPr>
    </w:lvl>
    <w:lvl w:ilvl="6">
      <w:numFmt w:val="bullet"/>
      <w:lvlText w:val=""/>
      <w:lvlJc w:val="left"/>
      <w:pPr>
        <w:ind w:left="5205" w:hanging="360"/>
      </w:pPr>
      <w:rPr>
        <w:rFonts w:ascii="Symbol" w:hAnsi="Symbol"/>
      </w:rPr>
    </w:lvl>
    <w:lvl w:ilvl="7">
      <w:numFmt w:val="bullet"/>
      <w:lvlText w:val="o"/>
      <w:lvlJc w:val="left"/>
      <w:pPr>
        <w:ind w:left="5925" w:hanging="360"/>
      </w:pPr>
      <w:rPr>
        <w:rFonts w:ascii="Courier New" w:hAnsi="Courier New" w:cs="Courier New"/>
      </w:rPr>
    </w:lvl>
    <w:lvl w:ilvl="8">
      <w:numFmt w:val="bullet"/>
      <w:lvlText w:val=""/>
      <w:lvlJc w:val="left"/>
      <w:pPr>
        <w:ind w:left="6645" w:hanging="360"/>
      </w:pPr>
      <w:rPr>
        <w:rFonts w:ascii="Wingdings" w:hAnsi="Wingdings"/>
      </w:rPr>
    </w:lvl>
  </w:abstractNum>
  <w:num w:numId="1">
    <w:abstractNumId w:val="2"/>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FD4"/>
    <w:rsid w:val="00004B00"/>
    <w:rsid w:val="00045CAB"/>
    <w:rsid w:val="0006054D"/>
    <w:rsid w:val="00060D11"/>
    <w:rsid w:val="00065E48"/>
    <w:rsid w:val="00080A4A"/>
    <w:rsid w:val="0008318F"/>
    <w:rsid w:val="00084D97"/>
    <w:rsid w:val="00094615"/>
    <w:rsid w:val="000A3232"/>
    <w:rsid w:val="000C1030"/>
    <w:rsid w:val="000D10BC"/>
    <w:rsid w:val="000F1F93"/>
    <w:rsid w:val="000F7F45"/>
    <w:rsid w:val="00127A43"/>
    <w:rsid w:val="0015698E"/>
    <w:rsid w:val="00157D0C"/>
    <w:rsid w:val="001879F7"/>
    <w:rsid w:val="001A23BB"/>
    <w:rsid w:val="001D6651"/>
    <w:rsid w:val="0022418D"/>
    <w:rsid w:val="0023641F"/>
    <w:rsid w:val="00247CEC"/>
    <w:rsid w:val="00271D4F"/>
    <w:rsid w:val="00276919"/>
    <w:rsid w:val="002A11BE"/>
    <w:rsid w:val="002B2306"/>
    <w:rsid w:val="002B601D"/>
    <w:rsid w:val="002D449F"/>
    <w:rsid w:val="002E7A3C"/>
    <w:rsid w:val="00314576"/>
    <w:rsid w:val="0033705E"/>
    <w:rsid w:val="003407A1"/>
    <w:rsid w:val="00341D0B"/>
    <w:rsid w:val="003530EE"/>
    <w:rsid w:val="00377621"/>
    <w:rsid w:val="003A1C48"/>
    <w:rsid w:val="003E1ACC"/>
    <w:rsid w:val="003E6878"/>
    <w:rsid w:val="003F2B89"/>
    <w:rsid w:val="003F4C42"/>
    <w:rsid w:val="003F7E47"/>
    <w:rsid w:val="0040104B"/>
    <w:rsid w:val="00413F85"/>
    <w:rsid w:val="00417297"/>
    <w:rsid w:val="0042761E"/>
    <w:rsid w:val="004434D8"/>
    <w:rsid w:val="00447A03"/>
    <w:rsid w:val="004520F6"/>
    <w:rsid w:val="00452D9C"/>
    <w:rsid w:val="004659FC"/>
    <w:rsid w:val="00480ED8"/>
    <w:rsid w:val="0048507D"/>
    <w:rsid w:val="004C1A5E"/>
    <w:rsid w:val="004D59ED"/>
    <w:rsid w:val="004E5FAC"/>
    <w:rsid w:val="004F476B"/>
    <w:rsid w:val="005363B1"/>
    <w:rsid w:val="00556198"/>
    <w:rsid w:val="005607D6"/>
    <w:rsid w:val="005619F7"/>
    <w:rsid w:val="00562E38"/>
    <w:rsid w:val="00563925"/>
    <w:rsid w:val="00565903"/>
    <w:rsid w:val="00566CAE"/>
    <w:rsid w:val="00596E10"/>
    <w:rsid w:val="005C2B46"/>
    <w:rsid w:val="005C2D18"/>
    <w:rsid w:val="005F0F1B"/>
    <w:rsid w:val="005F25B7"/>
    <w:rsid w:val="005F7854"/>
    <w:rsid w:val="00610ECA"/>
    <w:rsid w:val="006138FD"/>
    <w:rsid w:val="006143C9"/>
    <w:rsid w:val="00624445"/>
    <w:rsid w:val="00625645"/>
    <w:rsid w:val="006315E6"/>
    <w:rsid w:val="00632189"/>
    <w:rsid w:val="006475C9"/>
    <w:rsid w:val="00650C94"/>
    <w:rsid w:val="00660F22"/>
    <w:rsid w:val="00667ACA"/>
    <w:rsid w:val="00671D22"/>
    <w:rsid w:val="006859D4"/>
    <w:rsid w:val="006935BC"/>
    <w:rsid w:val="006951DF"/>
    <w:rsid w:val="006B1A15"/>
    <w:rsid w:val="0070088F"/>
    <w:rsid w:val="007073EE"/>
    <w:rsid w:val="00710E11"/>
    <w:rsid w:val="00717D97"/>
    <w:rsid w:val="007277D1"/>
    <w:rsid w:val="007306F5"/>
    <w:rsid w:val="007409D2"/>
    <w:rsid w:val="00753245"/>
    <w:rsid w:val="00756EFA"/>
    <w:rsid w:val="0077316C"/>
    <w:rsid w:val="00785F0E"/>
    <w:rsid w:val="007900C7"/>
    <w:rsid w:val="007B1B1C"/>
    <w:rsid w:val="007B24B0"/>
    <w:rsid w:val="007C5969"/>
    <w:rsid w:val="007C5C1B"/>
    <w:rsid w:val="0080065F"/>
    <w:rsid w:val="00804950"/>
    <w:rsid w:val="0081043F"/>
    <w:rsid w:val="0084105C"/>
    <w:rsid w:val="00854612"/>
    <w:rsid w:val="008618D9"/>
    <w:rsid w:val="00862547"/>
    <w:rsid w:val="00871AC3"/>
    <w:rsid w:val="008973A9"/>
    <w:rsid w:val="008B363F"/>
    <w:rsid w:val="008E0F3F"/>
    <w:rsid w:val="00905AEB"/>
    <w:rsid w:val="00924A28"/>
    <w:rsid w:val="00927FAE"/>
    <w:rsid w:val="009560FC"/>
    <w:rsid w:val="0097245B"/>
    <w:rsid w:val="00973D1A"/>
    <w:rsid w:val="0097643C"/>
    <w:rsid w:val="00990303"/>
    <w:rsid w:val="009915E4"/>
    <w:rsid w:val="00996378"/>
    <w:rsid w:val="009B7AE9"/>
    <w:rsid w:val="009D3DC4"/>
    <w:rsid w:val="009D453C"/>
    <w:rsid w:val="009E2959"/>
    <w:rsid w:val="00A0285D"/>
    <w:rsid w:val="00A21936"/>
    <w:rsid w:val="00A24C65"/>
    <w:rsid w:val="00A32BDD"/>
    <w:rsid w:val="00A32C14"/>
    <w:rsid w:val="00A609A6"/>
    <w:rsid w:val="00A63D08"/>
    <w:rsid w:val="00A91776"/>
    <w:rsid w:val="00A977D6"/>
    <w:rsid w:val="00AB0031"/>
    <w:rsid w:val="00AB69B5"/>
    <w:rsid w:val="00AC24E6"/>
    <w:rsid w:val="00AD1DDF"/>
    <w:rsid w:val="00AD202C"/>
    <w:rsid w:val="00AD6E41"/>
    <w:rsid w:val="00AF046B"/>
    <w:rsid w:val="00AF3F5C"/>
    <w:rsid w:val="00AF6C9C"/>
    <w:rsid w:val="00B039E4"/>
    <w:rsid w:val="00B06A23"/>
    <w:rsid w:val="00B14074"/>
    <w:rsid w:val="00B3183D"/>
    <w:rsid w:val="00B537F8"/>
    <w:rsid w:val="00B54A73"/>
    <w:rsid w:val="00B9648A"/>
    <w:rsid w:val="00BA07C2"/>
    <w:rsid w:val="00BA6087"/>
    <w:rsid w:val="00BA7F9D"/>
    <w:rsid w:val="00BE5E48"/>
    <w:rsid w:val="00BF0B6C"/>
    <w:rsid w:val="00BF0BDC"/>
    <w:rsid w:val="00BF70B3"/>
    <w:rsid w:val="00C114AA"/>
    <w:rsid w:val="00C21F9D"/>
    <w:rsid w:val="00C60EB2"/>
    <w:rsid w:val="00CC7283"/>
    <w:rsid w:val="00CE0FD4"/>
    <w:rsid w:val="00CF0A2C"/>
    <w:rsid w:val="00CF107C"/>
    <w:rsid w:val="00D21DC2"/>
    <w:rsid w:val="00D22132"/>
    <w:rsid w:val="00D8293C"/>
    <w:rsid w:val="00D82B70"/>
    <w:rsid w:val="00D935C5"/>
    <w:rsid w:val="00DA0CD0"/>
    <w:rsid w:val="00DA1865"/>
    <w:rsid w:val="00DD7663"/>
    <w:rsid w:val="00DF35D4"/>
    <w:rsid w:val="00E2283A"/>
    <w:rsid w:val="00E23493"/>
    <w:rsid w:val="00E40CCE"/>
    <w:rsid w:val="00E520A8"/>
    <w:rsid w:val="00E5248A"/>
    <w:rsid w:val="00E61034"/>
    <w:rsid w:val="00E67AA0"/>
    <w:rsid w:val="00E73C34"/>
    <w:rsid w:val="00E81C01"/>
    <w:rsid w:val="00E836F4"/>
    <w:rsid w:val="00E8530D"/>
    <w:rsid w:val="00ED3EFC"/>
    <w:rsid w:val="00EE2280"/>
    <w:rsid w:val="00EE2ABB"/>
    <w:rsid w:val="00EF76ED"/>
    <w:rsid w:val="00F03851"/>
    <w:rsid w:val="00F05E13"/>
    <w:rsid w:val="00F20CED"/>
    <w:rsid w:val="00F24707"/>
    <w:rsid w:val="00F261CE"/>
    <w:rsid w:val="00F32578"/>
    <w:rsid w:val="00F774B6"/>
    <w:rsid w:val="00F92842"/>
    <w:rsid w:val="00F94D2E"/>
    <w:rsid w:val="00F97EF6"/>
    <w:rsid w:val="00FA245A"/>
    <w:rsid w:val="00FC665A"/>
    <w:rsid w:val="00FE0FB1"/>
    <w:rsid w:val="00FE5799"/>
    <w:rsid w:val="00FF0EC1"/>
    <w:rsid w:val="00FF268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contacts" w:name="middlename"/>
  <w:smartTagType w:namespaceuri="urn:schemas:contacts" w:name="GivenName"/>
  <w:smartTagType w:namespaceuri="urn:schemas:contacts" w:name="Sn"/>
  <w:shapeDefaults>
    <o:shapedefaults v:ext="edit" spidmax="2049"/>
    <o:shapelayout v:ext="edit">
      <o:idmap v:ext="edit" data="1"/>
    </o:shapelayout>
  </w:shapeDefaults>
  <w:decimalSymbol w:val="."/>
  <w:listSeparator w:val=","/>
  <w14:docId w14:val="5BA7C452"/>
  <w15:docId w15:val="{771DC0C4-762E-4C23-A715-6D9FD3A8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AC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854"/>
  </w:style>
  <w:style w:type="paragraph" w:styleId="Footer">
    <w:name w:val="footer"/>
    <w:basedOn w:val="Normal"/>
    <w:link w:val="FooterChar"/>
    <w:uiPriority w:val="99"/>
    <w:unhideWhenUsed/>
    <w:rsid w:val="005F7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854"/>
  </w:style>
  <w:style w:type="paragraph" w:styleId="BalloonText">
    <w:name w:val="Balloon Text"/>
    <w:basedOn w:val="Normal"/>
    <w:link w:val="BalloonTextChar"/>
    <w:uiPriority w:val="99"/>
    <w:semiHidden/>
    <w:unhideWhenUsed/>
    <w:rsid w:val="00084D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D97"/>
    <w:rPr>
      <w:rFonts w:ascii="Segoe UI" w:hAnsi="Segoe UI" w:cs="Segoe UI"/>
      <w:sz w:val="18"/>
      <w:szCs w:val="18"/>
    </w:rPr>
  </w:style>
  <w:style w:type="character" w:styleId="CommentReference">
    <w:name w:val="annotation reference"/>
    <w:basedOn w:val="DefaultParagraphFont"/>
    <w:uiPriority w:val="99"/>
    <w:semiHidden/>
    <w:unhideWhenUsed/>
    <w:rsid w:val="0022418D"/>
    <w:rPr>
      <w:sz w:val="18"/>
      <w:szCs w:val="18"/>
    </w:rPr>
  </w:style>
  <w:style w:type="paragraph" w:styleId="CommentText">
    <w:name w:val="annotation text"/>
    <w:basedOn w:val="Normal"/>
    <w:link w:val="CommentTextChar"/>
    <w:uiPriority w:val="99"/>
    <w:semiHidden/>
    <w:unhideWhenUsed/>
    <w:rsid w:val="0022418D"/>
    <w:pPr>
      <w:spacing w:line="240" w:lineRule="auto"/>
    </w:pPr>
    <w:rPr>
      <w:sz w:val="24"/>
      <w:szCs w:val="24"/>
    </w:rPr>
  </w:style>
  <w:style w:type="character" w:customStyle="1" w:styleId="CommentTextChar">
    <w:name w:val="Comment Text Char"/>
    <w:basedOn w:val="DefaultParagraphFont"/>
    <w:link w:val="CommentText"/>
    <w:uiPriority w:val="99"/>
    <w:semiHidden/>
    <w:rsid w:val="0022418D"/>
    <w:rPr>
      <w:sz w:val="24"/>
      <w:szCs w:val="24"/>
    </w:rPr>
  </w:style>
  <w:style w:type="paragraph" w:styleId="CommentSubject">
    <w:name w:val="annotation subject"/>
    <w:basedOn w:val="CommentText"/>
    <w:next w:val="CommentText"/>
    <w:link w:val="CommentSubjectChar"/>
    <w:uiPriority w:val="99"/>
    <w:semiHidden/>
    <w:unhideWhenUsed/>
    <w:rsid w:val="0022418D"/>
    <w:rPr>
      <w:b/>
      <w:bCs/>
      <w:sz w:val="20"/>
      <w:szCs w:val="20"/>
    </w:rPr>
  </w:style>
  <w:style w:type="character" w:customStyle="1" w:styleId="CommentSubjectChar">
    <w:name w:val="Comment Subject Char"/>
    <w:basedOn w:val="CommentTextChar"/>
    <w:link w:val="CommentSubject"/>
    <w:uiPriority w:val="99"/>
    <w:semiHidden/>
    <w:rsid w:val="0022418D"/>
    <w:rPr>
      <w:b/>
      <w:bCs/>
      <w:sz w:val="20"/>
      <w:szCs w:val="20"/>
    </w:rPr>
  </w:style>
  <w:style w:type="paragraph" w:styleId="Revision">
    <w:name w:val="Revision"/>
    <w:hidden/>
    <w:uiPriority w:val="99"/>
    <w:semiHidden/>
    <w:rsid w:val="00E40CCE"/>
    <w:pPr>
      <w:spacing w:after="0" w:line="240" w:lineRule="auto"/>
    </w:pPr>
  </w:style>
  <w:style w:type="paragraph" w:styleId="FootnoteText">
    <w:name w:val="footnote text"/>
    <w:basedOn w:val="Normal"/>
    <w:link w:val="FootnoteTextChar"/>
    <w:unhideWhenUsed/>
    <w:rsid w:val="00AD1DDF"/>
    <w:pPr>
      <w:spacing w:after="0" w:line="240" w:lineRule="auto"/>
    </w:pPr>
    <w:rPr>
      <w:sz w:val="20"/>
      <w:szCs w:val="20"/>
    </w:rPr>
  </w:style>
  <w:style w:type="character" w:customStyle="1" w:styleId="FootnoteTextChar">
    <w:name w:val="Footnote Text Char"/>
    <w:basedOn w:val="DefaultParagraphFont"/>
    <w:link w:val="FootnoteText"/>
    <w:rsid w:val="00AD1DDF"/>
    <w:rPr>
      <w:sz w:val="20"/>
      <w:szCs w:val="20"/>
    </w:rPr>
  </w:style>
  <w:style w:type="character" w:styleId="FootnoteReference">
    <w:name w:val="footnote reference"/>
    <w:basedOn w:val="DefaultParagraphFont"/>
    <w:unhideWhenUsed/>
    <w:rsid w:val="00AD1DDF"/>
    <w:rPr>
      <w:vertAlign w:val="superscript"/>
    </w:rPr>
  </w:style>
  <w:style w:type="paragraph" w:styleId="EndnoteText">
    <w:name w:val="endnote text"/>
    <w:basedOn w:val="Normal"/>
    <w:link w:val="EndnoteTextChar"/>
    <w:uiPriority w:val="99"/>
    <w:semiHidden/>
    <w:unhideWhenUsed/>
    <w:rsid w:val="009764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643C"/>
    <w:rPr>
      <w:sz w:val="20"/>
      <w:szCs w:val="20"/>
    </w:rPr>
  </w:style>
  <w:style w:type="character" w:styleId="EndnoteReference">
    <w:name w:val="endnote reference"/>
    <w:basedOn w:val="DefaultParagraphFont"/>
    <w:uiPriority w:val="99"/>
    <w:semiHidden/>
    <w:unhideWhenUsed/>
    <w:rsid w:val="0097643C"/>
    <w:rPr>
      <w:vertAlign w:val="superscript"/>
    </w:rPr>
  </w:style>
  <w:style w:type="paragraph" w:styleId="NormalWeb">
    <w:name w:val="Normal (Web)"/>
    <w:basedOn w:val="Normal"/>
    <w:rsid w:val="002D44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rsid w:val="002D449F"/>
    <w:rPr>
      <w:color w:val="0563C1"/>
      <w:u w:val="single"/>
    </w:rPr>
  </w:style>
  <w:style w:type="paragraph" w:styleId="ListParagraph">
    <w:name w:val="List Paragraph"/>
    <w:basedOn w:val="Normal"/>
    <w:rsid w:val="002D449F"/>
    <w:pPr>
      <w:suppressAutoHyphens/>
      <w:autoSpaceDN w:val="0"/>
      <w:spacing w:line="242" w:lineRule="auto"/>
      <w:ind w:left="720"/>
      <w:textAlignment w:val="baseline"/>
    </w:pPr>
    <w:rPr>
      <w:rFonts w:ascii="Calibri" w:eastAsia="Calibri" w:hAnsi="Calibri" w:cs="Times New Roman"/>
    </w:rPr>
  </w:style>
  <w:style w:type="character" w:styleId="Strong">
    <w:name w:val="Strong"/>
    <w:uiPriority w:val="22"/>
    <w:qFormat/>
    <w:rsid w:val="00D935C5"/>
    <w:rPr>
      <w:b/>
      <w:bCs/>
    </w:rPr>
  </w:style>
  <w:style w:type="paragraph" w:customStyle="1" w:styleId="Default">
    <w:name w:val="Default"/>
    <w:rsid w:val="00D935C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tandard">
    <w:name w:val="Standard"/>
    <w:rsid w:val="00D935C5"/>
    <w:pPr>
      <w:widowControl w:val="0"/>
      <w:suppressAutoHyphens/>
      <w:spacing w:after="0" w:line="240" w:lineRule="auto"/>
      <w:textAlignment w:val="baseline"/>
    </w:pPr>
    <w:rPr>
      <w:rFonts w:ascii="Times New Roman" w:eastAsia="Arial" w:hAnsi="Times New Roman" w:cs="Tahoma"/>
      <w:kern w:val="1"/>
      <w:sz w:val="24"/>
      <w:szCs w:val="24"/>
      <w:lang w:val="en-US" w:bidi="en-US"/>
    </w:rPr>
  </w:style>
  <w:style w:type="paragraph" w:styleId="NoSpacing">
    <w:name w:val="No Spacing"/>
    <w:link w:val="NoSpacingChar"/>
    <w:uiPriority w:val="1"/>
    <w:qFormat/>
    <w:rsid w:val="0033705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705E"/>
    <w:rPr>
      <w:rFonts w:eastAsiaTheme="minorEastAsia"/>
      <w:lang w:val="en-US"/>
    </w:rPr>
  </w:style>
  <w:style w:type="character" w:customStyle="1" w:styleId="roman1">
    <w:name w:val="roman1"/>
    <w:basedOn w:val="DefaultParagraphFont"/>
    <w:rsid w:val="003E6878"/>
    <w:rPr>
      <w:b w:val="0"/>
      <w:bCs w:val="0"/>
      <w:i w:val="0"/>
      <w:iCs w:val="0"/>
    </w:rPr>
  </w:style>
  <w:style w:type="character" w:customStyle="1" w:styleId="headword3">
    <w:name w:val="headword3"/>
    <w:basedOn w:val="DefaultParagraphFont"/>
    <w:rsid w:val="003E6878"/>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5332">
      <w:bodyDiv w:val="1"/>
      <w:marLeft w:val="0"/>
      <w:marRight w:val="0"/>
      <w:marTop w:val="0"/>
      <w:marBottom w:val="0"/>
      <w:divBdr>
        <w:top w:val="none" w:sz="0" w:space="0" w:color="auto"/>
        <w:left w:val="none" w:sz="0" w:space="0" w:color="auto"/>
        <w:bottom w:val="none" w:sz="0" w:space="0" w:color="auto"/>
        <w:right w:val="none" w:sz="0" w:space="0" w:color="auto"/>
      </w:divBdr>
    </w:div>
    <w:div w:id="199438562">
      <w:bodyDiv w:val="1"/>
      <w:marLeft w:val="0"/>
      <w:marRight w:val="0"/>
      <w:marTop w:val="0"/>
      <w:marBottom w:val="0"/>
      <w:divBdr>
        <w:top w:val="none" w:sz="0" w:space="0" w:color="auto"/>
        <w:left w:val="none" w:sz="0" w:space="0" w:color="auto"/>
        <w:bottom w:val="none" w:sz="0" w:space="0" w:color="auto"/>
        <w:right w:val="none" w:sz="0" w:space="0" w:color="auto"/>
      </w:divBdr>
    </w:div>
    <w:div w:id="394746186">
      <w:bodyDiv w:val="1"/>
      <w:marLeft w:val="0"/>
      <w:marRight w:val="0"/>
      <w:marTop w:val="0"/>
      <w:marBottom w:val="0"/>
      <w:divBdr>
        <w:top w:val="none" w:sz="0" w:space="0" w:color="auto"/>
        <w:left w:val="none" w:sz="0" w:space="0" w:color="auto"/>
        <w:bottom w:val="none" w:sz="0" w:space="0" w:color="auto"/>
        <w:right w:val="none" w:sz="0" w:space="0" w:color="auto"/>
      </w:divBdr>
    </w:div>
    <w:div w:id="544636606">
      <w:bodyDiv w:val="1"/>
      <w:marLeft w:val="0"/>
      <w:marRight w:val="0"/>
      <w:marTop w:val="0"/>
      <w:marBottom w:val="0"/>
      <w:divBdr>
        <w:top w:val="none" w:sz="0" w:space="0" w:color="auto"/>
        <w:left w:val="none" w:sz="0" w:space="0" w:color="auto"/>
        <w:bottom w:val="none" w:sz="0" w:space="0" w:color="auto"/>
        <w:right w:val="none" w:sz="0" w:space="0" w:color="auto"/>
      </w:divBdr>
    </w:div>
    <w:div w:id="620763511">
      <w:bodyDiv w:val="1"/>
      <w:marLeft w:val="0"/>
      <w:marRight w:val="0"/>
      <w:marTop w:val="0"/>
      <w:marBottom w:val="0"/>
      <w:divBdr>
        <w:top w:val="none" w:sz="0" w:space="0" w:color="auto"/>
        <w:left w:val="none" w:sz="0" w:space="0" w:color="auto"/>
        <w:bottom w:val="none" w:sz="0" w:space="0" w:color="auto"/>
        <w:right w:val="none" w:sz="0" w:space="0" w:color="auto"/>
      </w:divBdr>
    </w:div>
    <w:div w:id="836576353">
      <w:bodyDiv w:val="1"/>
      <w:marLeft w:val="0"/>
      <w:marRight w:val="0"/>
      <w:marTop w:val="0"/>
      <w:marBottom w:val="0"/>
      <w:divBdr>
        <w:top w:val="none" w:sz="0" w:space="0" w:color="auto"/>
        <w:left w:val="none" w:sz="0" w:space="0" w:color="auto"/>
        <w:bottom w:val="none" w:sz="0" w:space="0" w:color="auto"/>
        <w:right w:val="none" w:sz="0" w:space="0" w:color="auto"/>
      </w:divBdr>
    </w:div>
    <w:div w:id="1412192710">
      <w:bodyDiv w:val="1"/>
      <w:marLeft w:val="0"/>
      <w:marRight w:val="0"/>
      <w:marTop w:val="0"/>
      <w:marBottom w:val="0"/>
      <w:divBdr>
        <w:top w:val="none" w:sz="0" w:space="0" w:color="auto"/>
        <w:left w:val="none" w:sz="0" w:space="0" w:color="auto"/>
        <w:bottom w:val="none" w:sz="0" w:space="0" w:color="auto"/>
        <w:right w:val="none" w:sz="0" w:space="0" w:color="auto"/>
      </w:divBdr>
    </w:div>
    <w:div w:id="1865482818">
      <w:bodyDiv w:val="1"/>
      <w:marLeft w:val="0"/>
      <w:marRight w:val="0"/>
      <w:marTop w:val="0"/>
      <w:marBottom w:val="0"/>
      <w:divBdr>
        <w:top w:val="none" w:sz="0" w:space="0" w:color="auto"/>
        <w:left w:val="none" w:sz="0" w:space="0" w:color="auto"/>
        <w:bottom w:val="none" w:sz="0" w:space="0" w:color="auto"/>
        <w:right w:val="none" w:sz="0" w:space="0" w:color="auto"/>
      </w:divBdr>
    </w:div>
    <w:div w:id="1934244097">
      <w:bodyDiv w:val="1"/>
      <w:marLeft w:val="0"/>
      <w:marRight w:val="0"/>
      <w:marTop w:val="0"/>
      <w:marBottom w:val="0"/>
      <w:divBdr>
        <w:top w:val="none" w:sz="0" w:space="0" w:color="auto"/>
        <w:left w:val="none" w:sz="0" w:space="0" w:color="auto"/>
        <w:bottom w:val="none" w:sz="0" w:space="0" w:color="auto"/>
        <w:right w:val="none" w:sz="0" w:space="0" w:color="auto"/>
      </w:divBdr>
    </w:div>
    <w:div w:id="213228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Judith.bourne@stmarys.ac.uk"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fifcj-ifwlc.com" TargetMode="External"/><Relationship Id="rId2" Type="http://schemas.openxmlformats.org/officeDocument/2006/relationships/hyperlink" Target="http://www.ean.ee/eng.html" TargetMode="External"/><Relationship Id="rId1" Type="http://schemas.openxmlformats.org/officeDocument/2006/relationships/hyperlink" Target="http://www.solicitorsjournal.com/news/legal-profession/solicitors/23034/equal-pay-men-and-women-lawyers-forecast-2021" TargetMode="External"/><Relationship Id="rId4" Type="http://schemas.openxmlformats.org/officeDocument/2006/relationships/hyperlink" Target="http://www.graduatewomen.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Column1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Studied only law</c:v>
                </c:pt>
                <c:pt idx="1">
                  <c:v>Studied law and other subjects</c:v>
                </c:pt>
              </c:strCache>
            </c:strRef>
          </c:cat>
          <c:val>
            <c:numRef>
              <c:f>Sheet1!$B$2:$B$3</c:f>
              <c:numCache>
                <c:formatCode>General</c:formatCode>
                <c:ptCount val="2"/>
                <c:pt idx="0">
                  <c:v>265</c:v>
                </c:pt>
                <c:pt idx="1">
                  <c:v>373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Column1</c:v>
                </c:pt>
              </c:strCache>
            </c:strRef>
          </c:tx>
          <c:dLbls>
            <c:dLbl>
              <c:idx val="2"/>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Law</c:v>
                </c:pt>
                <c:pt idx="1">
                  <c:v>Other field</c:v>
                </c:pt>
                <c:pt idx="2">
                  <c:v>No information</c:v>
                </c:pt>
              </c:strCache>
            </c:strRef>
          </c:cat>
          <c:val>
            <c:numRef>
              <c:f>Sheet1!$B$2:$B$4</c:f>
              <c:numCache>
                <c:formatCode>General</c:formatCode>
                <c:ptCount val="3"/>
                <c:pt idx="0">
                  <c:v>85</c:v>
                </c:pt>
                <c:pt idx="1">
                  <c:v>218</c:v>
                </c:pt>
                <c:pt idx="2">
                  <c:v>335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Exile</c:v>
                </c:pt>
                <c:pt idx="1">
                  <c:v>Concentration camp</c:v>
                </c:pt>
                <c:pt idx="2">
                  <c:v>Imprisoned</c:v>
                </c:pt>
                <c:pt idx="3">
                  <c:v>Penal servitude</c:v>
                </c:pt>
                <c:pt idx="4">
                  <c:v>Arrested</c:v>
                </c:pt>
                <c:pt idx="5">
                  <c:v>Executed</c:v>
                </c:pt>
                <c:pt idx="6">
                  <c:v>Deported to Siberia</c:v>
                </c:pt>
                <c:pt idx="7">
                  <c:v>Died in Siberia</c:v>
                </c:pt>
              </c:strCache>
            </c:strRef>
          </c:cat>
          <c:val>
            <c:numRef>
              <c:f>Sheet1!$B$2:$B$9</c:f>
              <c:numCache>
                <c:formatCode>General</c:formatCode>
                <c:ptCount val="8"/>
                <c:pt idx="0">
                  <c:v>159</c:v>
                </c:pt>
                <c:pt idx="1">
                  <c:v>1</c:v>
                </c:pt>
                <c:pt idx="2">
                  <c:v>1</c:v>
                </c:pt>
                <c:pt idx="3">
                  <c:v>1</c:v>
                </c:pt>
                <c:pt idx="4">
                  <c:v>3</c:v>
                </c:pt>
                <c:pt idx="5">
                  <c:v>4</c:v>
                </c:pt>
                <c:pt idx="6">
                  <c:v>17</c:v>
                </c:pt>
                <c:pt idx="7">
                  <c:v>4</c:v>
                </c:pt>
              </c:numCache>
            </c:numRef>
          </c:val>
        </c:ser>
        <c:dLbls>
          <c:showLegendKey val="0"/>
          <c:showVal val="0"/>
          <c:showCatName val="0"/>
          <c:showSerName val="0"/>
          <c:showPercent val="0"/>
          <c:showBubbleSize val="0"/>
        </c:dLbls>
        <c:gapWidth val="75"/>
        <c:overlap val="40"/>
        <c:axId val="316408592"/>
        <c:axId val="316777168"/>
      </c:barChart>
      <c:catAx>
        <c:axId val="316408592"/>
        <c:scaling>
          <c:orientation val="minMax"/>
        </c:scaling>
        <c:delete val="0"/>
        <c:axPos val="b"/>
        <c:numFmt formatCode="General" sourceLinked="0"/>
        <c:majorTickMark val="none"/>
        <c:minorTickMark val="none"/>
        <c:tickLblPos val="nextTo"/>
        <c:crossAx val="316777168"/>
        <c:crosses val="autoZero"/>
        <c:auto val="1"/>
        <c:lblAlgn val="ctr"/>
        <c:lblOffset val="100"/>
        <c:noMultiLvlLbl val="0"/>
      </c:catAx>
      <c:valAx>
        <c:axId val="316777168"/>
        <c:scaling>
          <c:orientation val="minMax"/>
        </c:scaling>
        <c:delete val="0"/>
        <c:axPos val="l"/>
        <c:majorGridlines/>
        <c:numFmt formatCode="General" sourceLinked="1"/>
        <c:majorTickMark val="none"/>
        <c:minorTickMark val="none"/>
        <c:tickLblPos val="nextTo"/>
        <c:crossAx val="316408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D3FD97-0D39-431C-9D8D-D1C7AA146956}">
  <we:reference id="wa103136166"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56D62-7D49-4014-8BF0-8103C2C7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21501</Words>
  <Characters>122561</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Fo</vt:lpstr>
    </vt:vector>
  </TitlesOfParts>
  <Company>SMUC</Company>
  <LinksUpToDate>false</LinksUpToDate>
  <CharactersWithSpaces>143775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c:title>
  <dc:creator>Mary Jane Mossman</dc:creator>
  <cp:lastModifiedBy>Kevin Sanders</cp:lastModifiedBy>
  <cp:revision>2</cp:revision>
  <cp:lastPrinted>2016-04-28T17:45:00Z</cp:lastPrinted>
  <dcterms:created xsi:type="dcterms:W3CDTF">2016-11-17T15:02:00Z</dcterms:created>
  <dcterms:modified xsi:type="dcterms:W3CDTF">2016-11-17T15:02:00Z</dcterms:modified>
</cp:coreProperties>
</file>