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7E1" w:rsidRPr="0031323F" w:rsidRDefault="00EC7048" w:rsidP="00234E39">
      <w:pPr>
        <w:spacing w:line="480" w:lineRule="auto"/>
        <w:jc w:val="center"/>
        <w:rPr>
          <w:rFonts w:ascii="Arial" w:hAnsi="Arial" w:cs="Arial"/>
          <w:b/>
          <w:sz w:val="20"/>
          <w:szCs w:val="20"/>
          <w:u w:val="single"/>
        </w:rPr>
      </w:pPr>
      <w:r w:rsidRPr="0031323F">
        <w:rPr>
          <w:rFonts w:ascii="Arial" w:hAnsi="Arial" w:cs="Arial"/>
          <w:b/>
          <w:sz w:val="20"/>
          <w:szCs w:val="20"/>
          <w:u w:val="single"/>
        </w:rPr>
        <w:t>‘</w:t>
      </w:r>
      <w:r w:rsidR="00420B7C" w:rsidRPr="0031323F">
        <w:rPr>
          <w:rFonts w:ascii="Arial" w:hAnsi="Arial" w:cs="Arial"/>
          <w:b/>
          <w:sz w:val="20"/>
          <w:szCs w:val="20"/>
          <w:u w:val="single"/>
        </w:rPr>
        <w:t>H</w:t>
      </w:r>
      <w:r w:rsidRPr="0031323F">
        <w:rPr>
          <w:rFonts w:ascii="Arial" w:hAnsi="Arial" w:cs="Arial"/>
          <w:b/>
          <w:sz w:val="20"/>
          <w:szCs w:val="20"/>
          <w:u w:val="single"/>
        </w:rPr>
        <w:t>as made higher education better’</w:t>
      </w:r>
      <w:r w:rsidR="003A6281" w:rsidRPr="0031323F">
        <w:rPr>
          <w:rFonts w:ascii="Arial" w:hAnsi="Arial" w:cs="Arial"/>
          <w:b/>
          <w:sz w:val="20"/>
          <w:szCs w:val="20"/>
          <w:u w:val="single"/>
        </w:rPr>
        <w:t>:</w:t>
      </w:r>
      <w:r w:rsidR="00966217" w:rsidRPr="0031323F">
        <w:rPr>
          <w:rFonts w:ascii="Arial" w:hAnsi="Arial" w:cs="Arial"/>
          <w:b/>
          <w:sz w:val="20"/>
          <w:szCs w:val="20"/>
          <w:u w:val="single"/>
        </w:rPr>
        <w:t xml:space="preserve"> </w:t>
      </w:r>
      <w:r w:rsidR="00242963" w:rsidRPr="0031323F">
        <w:rPr>
          <w:rFonts w:ascii="Arial" w:hAnsi="Arial" w:cs="Arial"/>
          <w:b/>
          <w:sz w:val="20"/>
          <w:szCs w:val="20"/>
          <w:u w:val="single"/>
        </w:rPr>
        <w:t>An evaluation of an online feedback training approach</w:t>
      </w:r>
    </w:p>
    <w:p w:rsidR="00420B7C" w:rsidRPr="0031323F" w:rsidRDefault="00420B7C" w:rsidP="00234E39">
      <w:pPr>
        <w:spacing w:line="480" w:lineRule="auto"/>
        <w:jc w:val="center"/>
        <w:rPr>
          <w:rFonts w:ascii="Arial" w:hAnsi="Arial" w:cs="Arial"/>
          <w:b/>
          <w:sz w:val="20"/>
          <w:szCs w:val="20"/>
        </w:rPr>
      </w:pPr>
    </w:p>
    <w:p w:rsidR="00D137E1" w:rsidRPr="0031323F" w:rsidRDefault="00D137E1" w:rsidP="00234E39">
      <w:pPr>
        <w:spacing w:line="480" w:lineRule="auto"/>
        <w:rPr>
          <w:rFonts w:ascii="Arial" w:hAnsi="Arial" w:cs="Arial"/>
          <w:b/>
          <w:sz w:val="20"/>
          <w:szCs w:val="20"/>
        </w:rPr>
      </w:pPr>
      <w:r w:rsidRPr="0031323F">
        <w:rPr>
          <w:rFonts w:ascii="Arial" w:hAnsi="Arial" w:cs="Arial"/>
          <w:b/>
          <w:sz w:val="20"/>
          <w:szCs w:val="20"/>
        </w:rPr>
        <w:t>Abstract</w:t>
      </w:r>
    </w:p>
    <w:p w:rsidR="00D137E1" w:rsidRPr="0031323F" w:rsidRDefault="00D137E1" w:rsidP="00234E39">
      <w:pPr>
        <w:pStyle w:val="NoSpacing"/>
        <w:spacing w:line="480" w:lineRule="auto"/>
        <w:jc w:val="both"/>
        <w:rPr>
          <w:rFonts w:ascii="Arial" w:hAnsi="Arial" w:cs="Arial"/>
          <w:sz w:val="20"/>
          <w:szCs w:val="20"/>
        </w:rPr>
      </w:pPr>
    </w:p>
    <w:p w:rsidR="00A052E2" w:rsidRPr="0031323F" w:rsidRDefault="000B4AAA" w:rsidP="00234E39">
      <w:pPr>
        <w:pStyle w:val="NoSpacing"/>
        <w:spacing w:line="480" w:lineRule="auto"/>
        <w:jc w:val="both"/>
        <w:rPr>
          <w:rFonts w:ascii="Arial" w:hAnsi="Arial" w:cs="Arial"/>
          <w:sz w:val="20"/>
          <w:szCs w:val="20"/>
        </w:rPr>
      </w:pPr>
      <w:r w:rsidRPr="0031323F">
        <w:rPr>
          <w:rFonts w:ascii="Arial" w:hAnsi="Arial" w:cs="Arial"/>
          <w:sz w:val="20"/>
          <w:szCs w:val="20"/>
        </w:rPr>
        <w:t>Recent research has indicated higher education students from the current net generation increasingly prefer to access their assignment feedback online rather than in hard</w:t>
      </w:r>
      <w:r w:rsidR="00A21C7E" w:rsidRPr="0031323F">
        <w:rPr>
          <w:rFonts w:ascii="Arial" w:hAnsi="Arial" w:cs="Arial"/>
          <w:sz w:val="20"/>
          <w:szCs w:val="20"/>
        </w:rPr>
        <w:t xml:space="preserve"> </w:t>
      </w:r>
      <w:r w:rsidRPr="0031323F">
        <w:rPr>
          <w:rFonts w:ascii="Arial" w:hAnsi="Arial" w:cs="Arial"/>
          <w:sz w:val="20"/>
          <w:szCs w:val="20"/>
        </w:rPr>
        <w:t>copy, allowing universities to harness technological approaches towards a more up-to-date student experience. However, this research has also highlighted lack of training for students on how to access and make use of online feedback. The present study evaluates a training approach embedded within an undergraduate teaching programme. Students completed a survey on the training approach. A sub-set and an additional comparison group took part in focus groups. The findings indicate a clear need for such specific training, that it can reduce depersonalisation in an age where universities are becoming increasingly digital, and that the transition into higher education can be supported through appropriate realignment of student instruction. T</w:t>
      </w:r>
      <w:r w:rsidR="00A01F6A" w:rsidRPr="0031323F">
        <w:rPr>
          <w:rFonts w:ascii="Arial" w:hAnsi="Arial" w:cs="Arial"/>
          <w:sz w:val="20"/>
          <w:szCs w:val="20"/>
        </w:rPr>
        <w:t xml:space="preserve">he outcomes </w:t>
      </w:r>
      <w:r w:rsidRPr="0031323F">
        <w:rPr>
          <w:rFonts w:ascii="Arial" w:hAnsi="Arial" w:cs="Arial"/>
          <w:sz w:val="20"/>
          <w:szCs w:val="20"/>
        </w:rPr>
        <w:t>should</w:t>
      </w:r>
      <w:r w:rsidR="00A01F6A" w:rsidRPr="0031323F">
        <w:rPr>
          <w:rFonts w:ascii="Arial" w:hAnsi="Arial" w:cs="Arial"/>
          <w:sz w:val="20"/>
          <w:szCs w:val="20"/>
        </w:rPr>
        <w:t xml:space="preserve"> enable a refining of current approaches to introducing undergraduate students to working with feedback, which should ultimately enhance the overall higher education student experience.</w:t>
      </w:r>
    </w:p>
    <w:p w:rsidR="00EF6C9E" w:rsidRPr="0031323F" w:rsidRDefault="00EF6C9E" w:rsidP="00234E39">
      <w:pPr>
        <w:pStyle w:val="NoSpacing"/>
        <w:spacing w:line="480" w:lineRule="auto"/>
        <w:jc w:val="both"/>
        <w:rPr>
          <w:rFonts w:ascii="Arial" w:hAnsi="Arial" w:cs="Arial"/>
          <w:sz w:val="20"/>
          <w:szCs w:val="20"/>
        </w:rPr>
      </w:pPr>
    </w:p>
    <w:p w:rsidR="009C09DE" w:rsidRPr="0031323F" w:rsidRDefault="00A052E2" w:rsidP="00234E39">
      <w:pPr>
        <w:spacing w:line="480" w:lineRule="auto"/>
        <w:rPr>
          <w:rFonts w:ascii="Arial" w:hAnsi="Arial" w:cs="Arial"/>
          <w:b/>
          <w:sz w:val="20"/>
          <w:szCs w:val="20"/>
        </w:rPr>
      </w:pPr>
      <w:r w:rsidRPr="0031323F">
        <w:rPr>
          <w:rFonts w:ascii="Arial" w:hAnsi="Arial" w:cs="Arial"/>
          <w:b/>
          <w:sz w:val="20"/>
          <w:szCs w:val="20"/>
        </w:rPr>
        <w:t>Key words</w:t>
      </w:r>
      <w:r w:rsidR="00234E39" w:rsidRPr="0031323F">
        <w:rPr>
          <w:rFonts w:ascii="Arial" w:hAnsi="Arial" w:cs="Arial"/>
          <w:b/>
          <w:sz w:val="20"/>
          <w:szCs w:val="20"/>
        </w:rPr>
        <w:t xml:space="preserve">: </w:t>
      </w:r>
      <w:r w:rsidR="00850080" w:rsidRPr="0031323F">
        <w:rPr>
          <w:rFonts w:ascii="Arial" w:hAnsi="Arial" w:cs="Arial"/>
          <w:sz w:val="20"/>
          <w:szCs w:val="20"/>
        </w:rPr>
        <w:t>Online feedback provision; student transition; structured training</w:t>
      </w:r>
    </w:p>
    <w:p w:rsidR="00234E39" w:rsidRPr="0031323F" w:rsidRDefault="00234E39" w:rsidP="00234E39">
      <w:pPr>
        <w:pStyle w:val="NoSpacing"/>
        <w:spacing w:line="480" w:lineRule="auto"/>
        <w:jc w:val="both"/>
        <w:rPr>
          <w:rFonts w:ascii="Arial" w:hAnsi="Arial" w:cs="Arial"/>
          <w:sz w:val="20"/>
          <w:szCs w:val="20"/>
        </w:rPr>
      </w:pPr>
    </w:p>
    <w:p w:rsidR="009C09DE" w:rsidRPr="0031323F" w:rsidRDefault="00C67C61" w:rsidP="00234E39">
      <w:pPr>
        <w:spacing w:line="480" w:lineRule="auto"/>
        <w:rPr>
          <w:rFonts w:ascii="Arial" w:hAnsi="Arial" w:cs="Arial"/>
          <w:b/>
          <w:sz w:val="20"/>
          <w:szCs w:val="20"/>
        </w:rPr>
      </w:pPr>
      <w:r>
        <w:rPr>
          <w:rFonts w:ascii="Arial" w:hAnsi="Arial" w:cs="Arial"/>
          <w:b/>
          <w:sz w:val="20"/>
          <w:szCs w:val="20"/>
        </w:rPr>
        <w:t>Introduction</w:t>
      </w:r>
    </w:p>
    <w:p w:rsidR="009C09DE" w:rsidRPr="0031323F" w:rsidRDefault="009C09DE" w:rsidP="00234E39">
      <w:pPr>
        <w:pStyle w:val="NoSpacing"/>
        <w:spacing w:line="480" w:lineRule="auto"/>
        <w:jc w:val="both"/>
        <w:rPr>
          <w:rFonts w:ascii="Arial" w:hAnsi="Arial" w:cs="Arial"/>
          <w:sz w:val="20"/>
          <w:szCs w:val="20"/>
        </w:rPr>
      </w:pPr>
    </w:p>
    <w:p w:rsidR="00750FDF" w:rsidRPr="0031323F" w:rsidRDefault="00750FDF" w:rsidP="00234E39">
      <w:pPr>
        <w:pStyle w:val="NoSpacing"/>
        <w:spacing w:line="480" w:lineRule="auto"/>
        <w:ind w:firstLine="567"/>
        <w:jc w:val="both"/>
        <w:rPr>
          <w:rFonts w:ascii="Arial" w:hAnsi="Arial" w:cs="Arial"/>
          <w:sz w:val="20"/>
          <w:szCs w:val="20"/>
        </w:rPr>
      </w:pPr>
      <w:r w:rsidRPr="0031323F">
        <w:rPr>
          <w:rFonts w:ascii="Arial" w:hAnsi="Arial" w:cs="Arial"/>
          <w:sz w:val="20"/>
          <w:szCs w:val="20"/>
        </w:rPr>
        <w:t xml:space="preserve">Alongside the rapid developments in technology and an increasingly digitally resourced world (Abrahams, 2010; </w:t>
      </w:r>
      <w:proofErr w:type="spellStart"/>
      <w:r w:rsidRPr="0031323F">
        <w:rPr>
          <w:rFonts w:ascii="Arial" w:hAnsi="Arial" w:cs="Arial"/>
          <w:sz w:val="20"/>
          <w:szCs w:val="20"/>
        </w:rPr>
        <w:t>Altbach</w:t>
      </w:r>
      <w:proofErr w:type="spellEnd"/>
      <w:r w:rsidRPr="0031323F">
        <w:rPr>
          <w:rFonts w:ascii="Arial" w:hAnsi="Arial" w:cs="Arial"/>
          <w:sz w:val="20"/>
          <w:szCs w:val="20"/>
        </w:rPr>
        <w:t xml:space="preserve">, </w:t>
      </w:r>
      <w:proofErr w:type="spellStart"/>
      <w:r w:rsidRPr="0031323F">
        <w:rPr>
          <w:rFonts w:ascii="Arial" w:hAnsi="Arial" w:cs="Arial"/>
          <w:sz w:val="20"/>
          <w:szCs w:val="20"/>
        </w:rPr>
        <w:t>Reisberg</w:t>
      </w:r>
      <w:proofErr w:type="spellEnd"/>
      <w:r w:rsidRPr="0031323F">
        <w:rPr>
          <w:rFonts w:ascii="Arial" w:hAnsi="Arial" w:cs="Arial"/>
          <w:sz w:val="20"/>
          <w:szCs w:val="20"/>
        </w:rPr>
        <w:t xml:space="preserve"> and </w:t>
      </w:r>
      <w:proofErr w:type="spellStart"/>
      <w:r w:rsidRPr="0031323F">
        <w:rPr>
          <w:rFonts w:ascii="Arial" w:hAnsi="Arial" w:cs="Arial"/>
          <w:sz w:val="20"/>
          <w:szCs w:val="20"/>
        </w:rPr>
        <w:t>Rumbley</w:t>
      </w:r>
      <w:proofErr w:type="spellEnd"/>
      <w:r w:rsidRPr="0031323F">
        <w:rPr>
          <w:rFonts w:ascii="Arial" w:hAnsi="Arial" w:cs="Arial"/>
          <w:sz w:val="20"/>
          <w:szCs w:val="20"/>
        </w:rPr>
        <w:t xml:space="preserve">, 2009; </w:t>
      </w:r>
      <w:proofErr w:type="spellStart"/>
      <w:r w:rsidRPr="0031323F">
        <w:rPr>
          <w:rFonts w:ascii="Arial" w:hAnsi="Arial" w:cs="Arial"/>
          <w:sz w:val="20"/>
          <w:szCs w:val="20"/>
        </w:rPr>
        <w:t>Sarkar</w:t>
      </w:r>
      <w:proofErr w:type="spellEnd"/>
      <w:r w:rsidRPr="0031323F">
        <w:rPr>
          <w:rFonts w:ascii="Arial" w:hAnsi="Arial" w:cs="Arial"/>
          <w:sz w:val="20"/>
          <w:szCs w:val="20"/>
        </w:rPr>
        <w:t>, 2012) higher education institutions across the globe are welcoming and engaging with a continually changing student body. The majority of young people entering higher university today are of the so-called net generation (</w:t>
      </w:r>
      <w:proofErr w:type="spellStart"/>
      <w:r w:rsidRPr="0031323F">
        <w:rPr>
          <w:rFonts w:ascii="Arial" w:hAnsi="Arial" w:cs="Arial"/>
          <w:sz w:val="20"/>
          <w:szCs w:val="20"/>
        </w:rPr>
        <w:t>Manuguerra</w:t>
      </w:r>
      <w:proofErr w:type="spellEnd"/>
      <w:r w:rsidRPr="0031323F">
        <w:rPr>
          <w:rFonts w:ascii="Arial" w:hAnsi="Arial" w:cs="Arial"/>
          <w:sz w:val="20"/>
          <w:szCs w:val="20"/>
        </w:rPr>
        <w:t xml:space="preserve"> and </w:t>
      </w:r>
      <w:proofErr w:type="spellStart"/>
      <w:r w:rsidRPr="0031323F">
        <w:rPr>
          <w:rFonts w:ascii="Arial" w:hAnsi="Arial" w:cs="Arial"/>
          <w:sz w:val="20"/>
          <w:szCs w:val="20"/>
        </w:rPr>
        <w:t>Petocz</w:t>
      </w:r>
      <w:proofErr w:type="spellEnd"/>
      <w:r w:rsidRPr="0031323F">
        <w:rPr>
          <w:rFonts w:ascii="Arial" w:hAnsi="Arial" w:cs="Arial"/>
          <w:sz w:val="20"/>
          <w:szCs w:val="20"/>
        </w:rPr>
        <w:t xml:space="preserve">, 2011; </w:t>
      </w:r>
      <w:proofErr w:type="spellStart"/>
      <w:r w:rsidRPr="0031323F">
        <w:rPr>
          <w:rFonts w:ascii="Arial" w:hAnsi="Arial" w:cs="Arial"/>
          <w:sz w:val="20"/>
          <w:szCs w:val="20"/>
        </w:rPr>
        <w:t>Prensky</w:t>
      </w:r>
      <w:proofErr w:type="spellEnd"/>
      <w:r w:rsidRPr="0031323F">
        <w:rPr>
          <w:rFonts w:ascii="Arial" w:hAnsi="Arial" w:cs="Arial"/>
          <w:sz w:val="20"/>
          <w:szCs w:val="20"/>
        </w:rPr>
        <w:t>, 2012) who are seen as highly comfortable with technology and who, as a result, are looking for learning that reflects this experience (</w:t>
      </w:r>
      <w:proofErr w:type="spellStart"/>
      <w:r w:rsidRPr="0031323F">
        <w:rPr>
          <w:rFonts w:ascii="Arial" w:hAnsi="Arial" w:cs="Arial"/>
          <w:sz w:val="20"/>
          <w:szCs w:val="20"/>
        </w:rPr>
        <w:t>Bradwell</w:t>
      </w:r>
      <w:proofErr w:type="spellEnd"/>
      <w:r w:rsidRPr="0031323F">
        <w:rPr>
          <w:rFonts w:ascii="Arial" w:hAnsi="Arial" w:cs="Arial"/>
          <w:sz w:val="20"/>
          <w:szCs w:val="20"/>
        </w:rPr>
        <w:t>, 2009; Lai, 2011). As a result, teaching and learning approaches in higher education are increasingly embracing – or having to embrace – technology (</w:t>
      </w:r>
      <w:proofErr w:type="spellStart"/>
      <w:r w:rsidRPr="0031323F">
        <w:rPr>
          <w:rFonts w:ascii="Arial" w:hAnsi="Arial" w:cs="Arial"/>
          <w:sz w:val="20"/>
          <w:szCs w:val="20"/>
        </w:rPr>
        <w:t>Laurillard</w:t>
      </w:r>
      <w:proofErr w:type="spellEnd"/>
      <w:r w:rsidRPr="0031323F">
        <w:rPr>
          <w:rFonts w:ascii="Arial" w:hAnsi="Arial" w:cs="Arial"/>
          <w:sz w:val="20"/>
          <w:szCs w:val="20"/>
        </w:rPr>
        <w:t xml:space="preserve">, 2006; </w:t>
      </w:r>
      <w:proofErr w:type="spellStart"/>
      <w:r w:rsidRPr="0031323F">
        <w:rPr>
          <w:rFonts w:ascii="Arial" w:hAnsi="Arial" w:cs="Arial"/>
          <w:sz w:val="20"/>
          <w:szCs w:val="20"/>
        </w:rPr>
        <w:t>Turney</w:t>
      </w:r>
      <w:proofErr w:type="spellEnd"/>
      <w:r w:rsidRPr="0031323F">
        <w:rPr>
          <w:rFonts w:ascii="Arial" w:hAnsi="Arial" w:cs="Arial"/>
          <w:sz w:val="20"/>
          <w:szCs w:val="20"/>
        </w:rPr>
        <w:t xml:space="preserve">, Robinson, Lee and </w:t>
      </w:r>
      <w:proofErr w:type="spellStart"/>
      <w:r w:rsidRPr="0031323F">
        <w:rPr>
          <w:rFonts w:ascii="Arial" w:hAnsi="Arial" w:cs="Arial"/>
          <w:sz w:val="20"/>
          <w:szCs w:val="20"/>
        </w:rPr>
        <w:t>Soutar</w:t>
      </w:r>
      <w:proofErr w:type="spellEnd"/>
      <w:r w:rsidRPr="0031323F">
        <w:rPr>
          <w:rFonts w:ascii="Arial" w:hAnsi="Arial" w:cs="Arial"/>
          <w:sz w:val="20"/>
          <w:szCs w:val="20"/>
        </w:rPr>
        <w:t xml:space="preserve">, 2009; </w:t>
      </w:r>
      <w:r w:rsidR="003F0A6B" w:rsidRPr="0031323F">
        <w:rPr>
          <w:rFonts w:ascii="Arial" w:hAnsi="Arial" w:cs="Arial"/>
          <w:sz w:val="20"/>
          <w:szCs w:val="20"/>
        </w:rPr>
        <w:t xml:space="preserve">Selwyn, 2016; </w:t>
      </w:r>
      <w:r w:rsidRPr="0031323F">
        <w:rPr>
          <w:rFonts w:ascii="Arial" w:hAnsi="Arial" w:cs="Arial"/>
          <w:sz w:val="20"/>
          <w:szCs w:val="20"/>
        </w:rPr>
        <w:t xml:space="preserve">Walker, Voce and Ahmed, 2012). </w:t>
      </w:r>
    </w:p>
    <w:p w:rsidR="0031347C" w:rsidRPr="00C67C61" w:rsidRDefault="003F0A6B" w:rsidP="00C67C61">
      <w:pPr>
        <w:pStyle w:val="NoSpacing"/>
        <w:spacing w:line="480" w:lineRule="auto"/>
        <w:ind w:firstLine="567"/>
        <w:jc w:val="both"/>
        <w:rPr>
          <w:rFonts w:ascii="Arial" w:hAnsi="Arial" w:cs="Arial"/>
          <w:sz w:val="20"/>
          <w:szCs w:val="20"/>
        </w:rPr>
      </w:pPr>
      <w:r w:rsidRPr="0031323F">
        <w:rPr>
          <w:rFonts w:ascii="Arial" w:hAnsi="Arial" w:cs="Arial"/>
          <w:sz w:val="20"/>
          <w:szCs w:val="20"/>
        </w:rPr>
        <w:lastRenderedPageBreak/>
        <w:t xml:space="preserve">A key area of the higher education experience where students need to be supported is their engagement with assessments. Assessment </w:t>
      </w:r>
      <w:r w:rsidR="00DC5D79" w:rsidRPr="0031323F">
        <w:rPr>
          <w:rFonts w:ascii="Arial" w:hAnsi="Arial" w:cs="Arial"/>
          <w:sz w:val="20"/>
          <w:szCs w:val="20"/>
        </w:rPr>
        <w:t xml:space="preserve">and feedback </w:t>
      </w:r>
      <w:r w:rsidRPr="0031323F">
        <w:rPr>
          <w:rFonts w:ascii="Arial" w:hAnsi="Arial" w:cs="Arial"/>
          <w:sz w:val="20"/>
          <w:szCs w:val="20"/>
        </w:rPr>
        <w:t xml:space="preserve">engagement </w:t>
      </w:r>
      <w:r w:rsidR="00DC5D79" w:rsidRPr="0031323F">
        <w:rPr>
          <w:rFonts w:ascii="Arial" w:hAnsi="Arial" w:cs="Arial"/>
          <w:sz w:val="20"/>
          <w:szCs w:val="20"/>
        </w:rPr>
        <w:t>are</w:t>
      </w:r>
      <w:r w:rsidRPr="0031323F">
        <w:rPr>
          <w:rFonts w:ascii="Arial" w:hAnsi="Arial" w:cs="Arial"/>
          <w:sz w:val="20"/>
          <w:szCs w:val="20"/>
        </w:rPr>
        <w:t xml:space="preserve"> integral to student achievement of educational goals and motivation (Brown, Peterson and Irving, 2009; Grieve, Padgett and Moffitt, 2016; Heinrich, Milne and </w:t>
      </w:r>
      <w:proofErr w:type="spellStart"/>
      <w:r w:rsidRPr="0031323F">
        <w:rPr>
          <w:rFonts w:ascii="Arial" w:hAnsi="Arial" w:cs="Arial"/>
          <w:sz w:val="20"/>
          <w:szCs w:val="20"/>
        </w:rPr>
        <w:t>Granshaw</w:t>
      </w:r>
      <w:proofErr w:type="spellEnd"/>
      <w:r w:rsidRPr="0031323F">
        <w:rPr>
          <w:rFonts w:ascii="Arial" w:hAnsi="Arial" w:cs="Arial"/>
          <w:sz w:val="20"/>
          <w:szCs w:val="20"/>
        </w:rPr>
        <w:t>, 2012)</w:t>
      </w:r>
      <w:r w:rsidR="00DC5D79" w:rsidRPr="0031323F">
        <w:rPr>
          <w:rFonts w:ascii="Arial" w:hAnsi="Arial" w:cs="Arial"/>
          <w:sz w:val="20"/>
          <w:szCs w:val="20"/>
        </w:rPr>
        <w:t xml:space="preserve"> and they can promote self-regulated learning (Brown, Peterson and Yao, 2016). These issues emphasise</w:t>
      </w:r>
      <w:r w:rsidRPr="0031323F">
        <w:rPr>
          <w:rFonts w:ascii="Arial" w:hAnsi="Arial" w:cs="Arial"/>
          <w:sz w:val="20"/>
          <w:szCs w:val="20"/>
        </w:rPr>
        <w:t xml:space="preserve"> the importance of this domain.</w:t>
      </w:r>
      <w:r w:rsidR="00DC5D79" w:rsidRPr="0031323F">
        <w:rPr>
          <w:rFonts w:ascii="Arial" w:hAnsi="Arial" w:cs="Arial"/>
          <w:sz w:val="20"/>
          <w:szCs w:val="20"/>
        </w:rPr>
        <w:t xml:space="preserve"> In particular, assessment and feedback in higher education</w:t>
      </w:r>
      <w:r w:rsidRPr="0031323F">
        <w:rPr>
          <w:rFonts w:ascii="Arial" w:hAnsi="Arial" w:cs="Arial"/>
          <w:sz w:val="20"/>
          <w:szCs w:val="20"/>
        </w:rPr>
        <w:t>, too, have gone digital</w:t>
      </w:r>
      <w:r w:rsidR="00467C71" w:rsidRPr="0031323F">
        <w:rPr>
          <w:rFonts w:ascii="Arial" w:hAnsi="Arial" w:cs="Arial"/>
          <w:sz w:val="20"/>
          <w:szCs w:val="20"/>
        </w:rPr>
        <w:t xml:space="preserve"> and various studies have examined how technology can be used to support student engagement (e.g. Ambler, </w:t>
      </w:r>
      <w:proofErr w:type="spellStart"/>
      <w:r w:rsidR="00467C71" w:rsidRPr="0031323F">
        <w:rPr>
          <w:rFonts w:ascii="Arial" w:hAnsi="Arial" w:cs="Arial"/>
          <w:sz w:val="20"/>
          <w:szCs w:val="20"/>
        </w:rPr>
        <w:t>Breyer</w:t>
      </w:r>
      <w:proofErr w:type="spellEnd"/>
      <w:r w:rsidR="00467C71" w:rsidRPr="0031323F">
        <w:rPr>
          <w:rFonts w:ascii="Arial" w:hAnsi="Arial" w:cs="Arial"/>
          <w:sz w:val="20"/>
          <w:szCs w:val="20"/>
        </w:rPr>
        <w:t xml:space="preserve"> and Young, 2014; </w:t>
      </w:r>
      <w:proofErr w:type="spellStart"/>
      <w:r w:rsidR="00467C71" w:rsidRPr="0031323F">
        <w:rPr>
          <w:rFonts w:ascii="Arial" w:hAnsi="Arial" w:cs="Arial"/>
          <w:sz w:val="20"/>
          <w:szCs w:val="20"/>
        </w:rPr>
        <w:t>Hepplestone</w:t>
      </w:r>
      <w:proofErr w:type="spellEnd"/>
      <w:r w:rsidR="00467C71" w:rsidRPr="0031323F">
        <w:rPr>
          <w:rFonts w:ascii="Arial" w:hAnsi="Arial" w:cs="Arial"/>
          <w:sz w:val="20"/>
          <w:szCs w:val="20"/>
        </w:rPr>
        <w:t xml:space="preserve">, Holden, Irwin, Parkin and Thorpe, 2011; Pellegrino and </w:t>
      </w:r>
      <w:proofErr w:type="spellStart"/>
      <w:r w:rsidR="00467C71" w:rsidRPr="0031323F">
        <w:rPr>
          <w:rFonts w:ascii="Arial" w:hAnsi="Arial" w:cs="Arial"/>
          <w:sz w:val="20"/>
          <w:szCs w:val="20"/>
        </w:rPr>
        <w:t>Quellmalz</w:t>
      </w:r>
      <w:proofErr w:type="spellEnd"/>
      <w:r w:rsidR="00467C71" w:rsidRPr="0031323F">
        <w:rPr>
          <w:rFonts w:ascii="Arial" w:hAnsi="Arial" w:cs="Arial"/>
          <w:sz w:val="20"/>
          <w:szCs w:val="20"/>
        </w:rPr>
        <w:t xml:space="preserve">, 2010; </w:t>
      </w:r>
      <w:proofErr w:type="spellStart"/>
      <w:r w:rsidR="00467C71" w:rsidRPr="0031323F">
        <w:rPr>
          <w:rFonts w:ascii="Arial" w:hAnsi="Arial" w:cs="Arial"/>
          <w:sz w:val="20"/>
          <w:szCs w:val="20"/>
        </w:rPr>
        <w:t>Säljö</w:t>
      </w:r>
      <w:proofErr w:type="spellEnd"/>
      <w:r w:rsidR="00467C71" w:rsidRPr="0031323F">
        <w:rPr>
          <w:rFonts w:ascii="Arial" w:hAnsi="Arial" w:cs="Arial"/>
          <w:sz w:val="20"/>
          <w:szCs w:val="20"/>
        </w:rPr>
        <w:t>, 2010). However, despite students increasingly coming from a digitally confident population, their engagement with feedback through digital means is often subject to unexpected difficulties with the particular digital approaches used in higher education settings. This warrants further examination.</w:t>
      </w:r>
    </w:p>
    <w:p w:rsidR="006B5A74" w:rsidRPr="0031323F" w:rsidRDefault="00C5107A" w:rsidP="00234E39">
      <w:pPr>
        <w:pStyle w:val="NoSpacing"/>
        <w:spacing w:line="480" w:lineRule="auto"/>
        <w:ind w:firstLine="567"/>
        <w:jc w:val="both"/>
        <w:rPr>
          <w:rFonts w:ascii="Arial" w:hAnsi="Arial" w:cs="Arial"/>
          <w:sz w:val="20"/>
          <w:szCs w:val="20"/>
        </w:rPr>
      </w:pPr>
      <w:r w:rsidRPr="0031323F">
        <w:rPr>
          <w:rFonts w:ascii="Arial" w:hAnsi="Arial" w:cs="Arial"/>
          <w:sz w:val="20"/>
          <w:szCs w:val="20"/>
        </w:rPr>
        <w:t xml:space="preserve">Digital approaches to teaching and learning are often seen in a positive light. </w:t>
      </w:r>
      <w:r w:rsidR="00EF0D33" w:rsidRPr="0031323F">
        <w:rPr>
          <w:rFonts w:ascii="Arial" w:hAnsi="Arial" w:cs="Arial"/>
          <w:sz w:val="20"/>
          <w:szCs w:val="20"/>
        </w:rPr>
        <w:t>For instance, many higher education institutions follow blended learning systems that incorporate digital approaches because students make outcome gains (</w:t>
      </w:r>
      <w:proofErr w:type="spellStart"/>
      <w:r w:rsidR="00EF0D33" w:rsidRPr="0031323F">
        <w:rPr>
          <w:rFonts w:ascii="Arial" w:hAnsi="Arial" w:cs="Arial"/>
          <w:sz w:val="20"/>
          <w:szCs w:val="20"/>
        </w:rPr>
        <w:t>López</w:t>
      </w:r>
      <w:proofErr w:type="spellEnd"/>
      <w:r w:rsidR="00EF0D33" w:rsidRPr="0031323F">
        <w:rPr>
          <w:rFonts w:ascii="Arial" w:hAnsi="Arial" w:cs="Arial"/>
          <w:sz w:val="20"/>
          <w:szCs w:val="20"/>
        </w:rPr>
        <w:t>-Pérez, Pérez-</w:t>
      </w:r>
      <w:proofErr w:type="spellStart"/>
      <w:r w:rsidR="00EF0D33" w:rsidRPr="0031323F">
        <w:rPr>
          <w:rFonts w:ascii="Arial" w:hAnsi="Arial" w:cs="Arial"/>
          <w:sz w:val="20"/>
          <w:szCs w:val="20"/>
        </w:rPr>
        <w:t>López</w:t>
      </w:r>
      <w:proofErr w:type="spellEnd"/>
      <w:r w:rsidR="00EF0D33" w:rsidRPr="0031323F">
        <w:rPr>
          <w:rFonts w:ascii="Arial" w:hAnsi="Arial" w:cs="Arial"/>
          <w:sz w:val="20"/>
          <w:szCs w:val="20"/>
        </w:rPr>
        <w:t>, Rodríguez-</w:t>
      </w:r>
      <w:proofErr w:type="spellStart"/>
      <w:r w:rsidR="00EF0D33" w:rsidRPr="0031323F">
        <w:rPr>
          <w:rFonts w:ascii="Arial" w:hAnsi="Arial" w:cs="Arial"/>
          <w:sz w:val="20"/>
          <w:szCs w:val="20"/>
        </w:rPr>
        <w:t>Ariza</w:t>
      </w:r>
      <w:proofErr w:type="spellEnd"/>
      <w:r w:rsidR="00EF0D33" w:rsidRPr="0031323F">
        <w:rPr>
          <w:rFonts w:ascii="Arial" w:hAnsi="Arial" w:cs="Arial"/>
          <w:sz w:val="20"/>
          <w:szCs w:val="20"/>
        </w:rPr>
        <w:t xml:space="preserve"> and </w:t>
      </w:r>
      <w:proofErr w:type="spellStart"/>
      <w:r w:rsidR="00EF0D33" w:rsidRPr="0031323F">
        <w:rPr>
          <w:rFonts w:ascii="Arial" w:hAnsi="Arial" w:cs="Arial"/>
          <w:sz w:val="20"/>
          <w:szCs w:val="20"/>
        </w:rPr>
        <w:t>Argente</w:t>
      </w:r>
      <w:proofErr w:type="spellEnd"/>
      <w:r w:rsidR="00EF0D33" w:rsidRPr="0031323F">
        <w:rPr>
          <w:rFonts w:ascii="Arial" w:hAnsi="Arial" w:cs="Arial"/>
          <w:sz w:val="20"/>
          <w:szCs w:val="20"/>
        </w:rPr>
        <w:t>-Linares, 2013) and they tend to show positive attitudes towards these approaches (</w:t>
      </w:r>
      <w:proofErr w:type="spellStart"/>
      <w:r w:rsidR="00EF0D33" w:rsidRPr="0031323F">
        <w:rPr>
          <w:rFonts w:ascii="Arial" w:hAnsi="Arial" w:cs="Arial"/>
          <w:sz w:val="20"/>
          <w:szCs w:val="20"/>
        </w:rPr>
        <w:t>López</w:t>
      </w:r>
      <w:proofErr w:type="spellEnd"/>
      <w:r w:rsidR="00EF0D33" w:rsidRPr="0031323F">
        <w:rPr>
          <w:rFonts w:ascii="Arial" w:hAnsi="Arial" w:cs="Arial"/>
          <w:sz w:val="20"/>
          <w:szCs w:val="20"/>
        </w:rPr>
        <w:t>-Pérez, Pérez-</w:t>
      </w:r>
      <w:proofErr w:type="spellStart"/>
      <w:r w:rsidR="00EF0D33" w:rsidRPr="0031323F">
        <w:rPr>
          <w:rFonts w:ascii="Arial" w:hAnsi="Arial" w:cs="Arial"/>
          <w:sz w:val="20"/>
          <w:szCs w:val="20"/>
        </w:rPr>
        <w:t>López</w:t>
      </w:r>
      <w:proofErr w:type="spellEnd"/>
      <w:r w:rsidR="00EF0D33" w:rsidRPr="0031323F">
        <w:rPr>
          <w:rFonts w:ascii="Arial" w:hAnsi="Arial" w:cs="Arial"/>
          <w:sz w:val="20"/>
          <w:szCs w:val="20"/>
        </w:rPr>
        <w:t xml:space="preserve"> and Rodríguez-</w:t>
      </w:r>
      <w:proofErr w:type="spellStart"/>
      <w:r w:rsidR="00EF0D33" w:rsidRPr="0031323F">
        <w:rPr>
          <w:rFonts w:ascii="Arial" w:hAnsi="Arial" w:cs="Arial"/>
          <w:sz w:val="20"/>
          <w:szCs w:val="20"/>
        </w:rPr>
        <w:t>Ariza</w:t>
      </w:r>
      <w:proofErr w:type="spellEnd"/>
      <w:r w:rsidR="00EF0D33" w:rsidRPr="0031323F">
        <w:rPr>
          <w:rFonts w:ascii="Arial" w:hAnsi="Arial" w:cs="Arial"/>
          <w:sz w:val="20"/>
          <w:szCs w:val="20"/>
        </w:rPr>
        <w:t xml:space="preserve">, 2011). </w:t>
      </w:r>
      <w:r w:rsidRPr="0031323F">
        <w:rPr>
          <w:rFonts w:ascii="Arial" w:hAnsi="Arial" w:cs="Arial"/>
          <w:sz w:val="20"/>
          <w:szCs w:val="20"/>
        </w:rPr>
        <w:t xml:space="preserve">In the </w:t>
      </w:r>
      <w:r w:rsidR="00EF0D33" w:rsidRPr="0031323F">
        <w:rPr>
          <w:rFonts w:ascii="Arial" w:hAnsi="Arial" w:cs="Arial"/>
          <w:sz w:val="20"/>
          <w:szCs w:val="20"/>
        </w:rPr>
        <w:t xml:space="preserve">particular </w:t>
      </w:r>
      <w:r w:rsidRPr="0031323F">
        <w:rPr>
          <w:rFonts w:ascii="Arial" w:hAnsi="Arial" w:cs="Arial"/>
          <w:sz w:val="20"/>
          <w:szCs w:val="20"/>
        </w:rPr>
        <w:t xml:space="preserve">context of assessment and feedback, </w:t>
      </w:r>
      <w:r w:rsidR="00EF0D33" w:rsidRPr="0031323F">
        <w:rPr>
          <w:rFonts w:ascii="Arial" w:hAnsi="Arial" w:cs="Arial"/>
          <w:sz w:val="20"/>
          <w:szCs w:val="20"/>
        </w:rPr>
        <w:t>digital approaches</w:t>
      </w:r>
      <w:r w:rsidR="002671C2" w:rsidRPr="0031323F">
        <w:rPr>
          <w:rFonts w:ascii="Arial" w:hAnsi="Arial" w:cs="Arial"/>
          <w:sz w:val="20"/>
          <w:szCs w:val="20"/>
        </w:rPr>
        <w:t xml:space="preserve"> are </w:t>
      </w:r>
      <w:r w:rsidRPr="0031323F">
        <w:rPr>
          <w:rFonts w:ascii="Arial" w:hAnsi="Arial" w:cs="Arial"/>
          <w:sz w:val="20"/>
          <w:szCs w:val="20"/>
        </w:rPr>
        <w:t xml:space="preserve">viewed favourably </w:t>
      </w:r>
      <w:r w:rsidR="00697A8A" w:rsidRPr="0031323F">
        <w:rPr>
          <w:rFonts w:ascii="Arial" w:hAnsi="Arial" w:cs="Arial"/>
          <w:sz w:val="20"/>
          <w:szCs w:val="20"/>
        </w:rPr>
        <w:t xml:space="preserve">by institutions </w:t>
      </w:r>
      <w:r w:rsidRPr="0031323F">
        <w:rPr>
          <w:rFonts w:ascii="Arial" w:hAnsi="Arial" w:cs="Arial"/>
          <w:sz w:val="20"/>
          <w:szCs w:val="20"/>
        </w:rPr>
        <w:t xml:space="preserve">because </w:t>
      </w:r>
      <w:r w:rsidR="002671C2" w:rsidRPr="0031323F">
        <w:rPr>
          <w:rFonts w:ascii="Arial" w:hAnsi="Arial" w:cs="Arial"/>
          <w:sz w:val="20"/>
          <w:szCs w:val="20"/>
        </w:rPr>
        <w:t>they help</w:t>
      </w:r>
      <w:r w:rsidRPr="0031323F">
        <w:rPr>
          <w:rFonts w:ascii="Arial" w:hAnsi="Arial" w:cs="Arial"/>
          <w:sz w:val="20"/>
          <w:szCs w:val="20"/>
        </w:rPr>
        <w:t xml:space="preserve"> reduce plagiarism (Baker, Thornton and Adams, 2008; </w:t>
      </w:r>
      <w:proofErr w:type="spellStart"/>
      <w:r w:rsidRPr="0031323F">
        <w:rPr>
          <w:rFonts w:ascii="Arial" w:hAnsi="Arial" w:cs="Arial"/>
          <w:sz w:val="20"/>
          <w:szCs w:val="20"/>
        </w:rPr>
        <w:t>Batane</w:t>
      </w:r>
      <w:proofErr w:type="spellEnd"/>
      <w:r w:rsidRPr="0031323F">
        <w:rPr>
          <w:rFonts w:ascii="Arial" w:hAnsi="Arial" w:cs="Arial"/>
          <w:sz w:val="20"/>
          <w:szCs w:val="20"/>
        </w:rPr>
        <w:t>, 2010)</w:t>
      </w:r>
      <w:r w:rsidR="00697A8A" w:rsidRPr="0031323F">
        <w:rPr>
          <w:rFonts w:ascii="Arial" w:hAnsi="Arial" w:cs="Arial"/>
          <w:sz w:val="20"/>
          <w:szCs w:val="20"/>
        </w:rPr>
        <w:t xml:space="preserve"> and allow for faster marking, reducing the </w:t>
      </w:r>
      <w:r w:rsidR="00C04FD9" w:rsidRPr="0031323F">
        <w:rPr>
          <w:rFonts w:ascii="Arial" w:hAnsi="Arial" w:cs="Arial"/>
          <w:sz w:val="20"/>
          <w:szCs w:val="20"/>
        </w:rPr>
        <w:t xml:space="preserve">administrative </w:t>
      </w:r>
      <w:r w:rsidR="00697A8A" w:rsidRPr="0031323F">
        <w:rPr>
          <w:rFonts w:ascii="Arial" w:hAnsi="Arial" w:cs="Arial"/>
          <w:sz w:val="20"/>
          <w:szCs w:val="20"/>
        </w:rPr>
        <w:t xml:space="preserve">workload (Buckley and </w:t>
      </w:r>
      <w:proofErr w:type="spellStart"/>
      <w:r w:rsidR="00697A8A" w:rsidRPr="0031323F">
        <w:rPr>
          <w:rFonts w:ascii="Arial" w:hAnsi="Arial" w:cs="Arial"/>
          <w:sz w:val="20"/>
          <w:szCs w:val="20"/>
        </w:rPr>
        <w:t>Cowap</w:t>
      </w:r>
      <w:proofErr w:type="spellEnd"/>
      <w:r w:rsidR="00697A8A" w:rsidRPr="0031323F">
        <w:rPr>
          <w:rFonts w:ascii="Arial" w:hAnsi="Arial" w:cs="Arial"/>
          <w:sz w:val="20"/>
          <w:szCs w:val="20"/>
        </w:rPr>
        <w:t xml:space="preserve">, 2013). </w:t>
      </w:r>
      <w:r w:rsidR="00BF3A80" w:rsidRPr="0031323F">
        <w:rPr>
          <w:rFonts w:ascii="Arial" w:hAnsi="Arial" w:cs="Arial"/>
          <w:sz w:val="20"/>
          <w:szCs w:val="20"/>
        </w:rPr>
        <w:t>In addition, online marking is seen to be just as valid as ma</w:t>
      </w:r>
      <w:r w:rsidR="00EC39F5" w:rsidRPr="0031323F">
        <w:rPr>
          <w:rFonts w:ascii="Arial" w:hAnsi="Arial" w:cs="Arial"/>
          <w:sz w:val="20"/>
          <w:szCs w:val="20"/>
        </w:rPr>
        <w:t>rking in hard copy (Shaw, 2008) and feedback is perceived to be more targeted and more effective (</w:t>
      </w:r>
      <w:r w:rsidR="00467C71" w:rsidRPr="0031323F">
        <w:rPr>
          <w:rFonts w:ascii="Arial" w:hAnsi="Arial" w:cs="Arial"/>
          <w:sz w:val="20"/>
          <w:szCs w:val="20"/>
        </w:rPr>
        <w:t>Ambler et al.</w:t>
      </w:r>
      <w:r w:rsidR="00EC39F5" w:rsidRPr="0031323F">
        <w:rPr>
          <w:rFonts w:ascii="Arial" w:hAnsi="Arial" w:cs="Arial"/>
          <w:sz w:val="20"/>
          <w:szCs w:val="20"/>
        </w:rPr>
        <w:t>, 2014).</w:t>
      </w:r>
      <w:r w:rsidR="00BB386A" w:rsidRPr="0031323F">
        <w:rPr>
          <w:rFonts w:ascii="Arial" w:hAnsi="Arial" w:cs="Arial"/>
          <w:sz w:val="20"/>
          <w:szCs w:val="20"/>
        </w:rPr>
        <w:t xml:space="preserve"> </w:t>
      </w:r>
    </w:p>
    <w:p w:rsidR="00EE7548" w:rsidRPr="0031323F" w:rsidRDefault="00B42C44" w:rsidP="00234E39">
      <w:pPr>
        <w:pStyle w:val="NoSpacing"/>
        <w:spacing w:line="480" w:lineRule="auto"/>
        <w:ind w:firstLine="567"/>
        <w:jc w:val="both"/>
        <w:rPr>
          <w:rFonts w:ascii="Arial" w:hAnsi="Arial" w:cs="Arial"/>
          <w:sz w:val="20"/>
          <w:szCs w:val="20"/>
        </w:rPr>
      </w:pPr>
      <w:r w:rsidRPr="0031323F">
        <w:rPr>
          <w:rFonts w:ascii="Arial" w:hAnsi="Arial" w:cs="Arial"/>
          <w:sz w:val="20"/>
          <w:szCs w:val="20"/>
        </w:rPr>
        <w:t xml:space="preserve">Among students, too, preferences are turning more towards online marking and feedback provision. For instance, Hast and Healy (in press) recently found that 86% of undergraduate students preferred submitting assignments online rather than in hard copy, adding to a growing trend that started with only one in four students showing such </w:t>
      </w:r>
      <w:r w:rsidR="00BB386A" w:rsidRPr="0031323F">
        <w:rPr>
          <w:rFonts w:ascii="Arial" w:hAnsi="Arial" w:cs="Arial"/>
          <w:sz w:val="20"/>
          <w:szCs w:val="20"/>
        </w:rPr>
        <w:t xml:space="preserve">a </w:t>
      </w:r>
      <w:r w:rsidRPr="0031323F">
        <w:rPr>
          <w:rFonts w:ascii="Arial" w:hAnsi="Arial" w:cs="Arial"/>
          <w:sz w:val="20"/>
          <w:szCs w:val="20"/>
        </w:rPr>
        <w:t xml:space="preserve">preferences just a decade earlier (Ambler et al., 2014; Bridge and </w:t>
      </w:r>
      <w:proofErr w:type="spellStart"/>
      <w:r w:rsidRPr="0031323F">
        <w:rPr>
          <w:rFonts w:ascii="Arial" w:hAnsi="Arial" w:cs="Arial"/>
          <w:sz w:val="20"/>
          <w:szCs w:val="20"/>
        </w:rPr>
        <w:t>Appleyard</w:t>
      </w:r>
      <w:proofErr w:type="spellEnd"/>
      <w:r w:rsidRPr="0031323F">
        <w:rPr>
          <w:rFonts w:ascii="Arial" w:hAnsi="Arial" w:cs="Arial"/>
          <w:sz w:val="20"/>
          <w:szCs w:val="20"/>
        </w:rPr>
        <w:t xml:space="preserve">, 2005, 2008). Similarly, when it came to accessing feedback online, Hast and Healy (in press) noted an increase in preferences from prior studies (Ambler et al., 2014; Bridge and </w:t>
      </w:r>
      <w:proofErr w:type="spellStart"/>
      <w:r w:rsidRPr="0031323F">
        <w:rPr>
          <w:rFonts w:ascii="Arial" w:hAnsi="Arial" w:cs="Arial"/>
          <w:sz w:val="20"/>
          <w:szCs w:val="20"/>
        </w:rPr>
        <w:t>Appleyard</w:t>
      </w:r>
      <w:proofErr w:type="spellEnd"/>
      <w:r w:rsidRPr="0031323F">
        <w:rPr>
          <w:rFonts w:ascii="Arial" w:hAnsi="Arial" w:cs="Arial"/>
          <w:sz w:val="20"/>
          <w:szCs w:val="20"/>
        </w:rPr>
        <w:t xml:space="preserve">, 2008), and added by noting similar student preferences for reading feedback online. Added to this are various benefits that students see in digital approaches. </w:t>
      </w:r>
      <w:r w:rsidR="00BB386A" w:rsidRPr="0031323F">
        <w:rPr>
          <w:rFonts w:ascii="Arial" w:hAnsi="Arial" w:cs="Arial"/>
          <w:sz w:val="20"/>
          <w:szCs w:val="20"/>
        </w:rPr>
        <w:t>In particular, t</w:t>
      </w:r>
      <w:r w:rsidRPr="0031323F">
        <w:rPr>
          <w:rFonts w:ascii="Arial" w:hAnsi="Arial" w:cs="Arial"/>
          <w:sz w:val="20"/>
          <w:szCs w:val="20"/>
        </w:rPr>
        <w:t>hey offer greater flexibility in terms of time and space (</w:t>
      </w:r>
      <w:r w:rsidR="00467C71" w:rsidRPr="0031323F">
        <w:rPr>
          <w:rFonts w:ascii="Arial" w:hAnsi="Arial" w:cs="Arial"/>
          <w:sz w:val="20"/>
          <w:szCs w:val="20"/>
        </w:rPr>
        <w:t>Brown et al.</w:t>
      </w:r>
      <w:r w:rsidR="00BB386A" w:rsidRPr="0031323F">
        <w:rPr>
          <w:rFonts w:ascii="Arial" w:hAnsi="Arial" w:cs="Arial"/>
          <w:sz w:val="20"/>
          <w:szCs w:val="20"/>
        </w:rPr>
        <w:t xml:space="preserve">, 2016; </w:t>
      </w:r>
      <w:r w:rsidRPr="0031323F">
        <w:rPr>
          <w:rFonts w:ascii="Arial" w:hAnsi="Arial" w:cs="Arial"/>
          <w:sz w:val="20"/>
          <w:szCs w:val="20"/>
        </w:rPr>
        <w:t xml:space="preserve">Hast and Healy, in press; </w:t>
      </w:r>
      <w:proofErr w:type="spellStart"/>
      <w:r w:rsidRPr="0031323F">
        <w:rPr>
          <w:rFonts w:ascii="Arial" w:hAnsi="Arial" w:cs="Arial"/>
          <w:sz w:val="20"/>
          <w:szCs w:val="20"/>
        </w:rPr>
        <w:t>Timmis</w:t>
      </w:r>
      <w:proofErr w:type="spellEnd"/>
      <w:r w:rsidRPr="0031323F">
        <w:rPr>
          <w:rFonts w:ascii="Arial" w:hAnsi="Arial" w:cs="Arial"/>
          <w:sz w:val="20"/>
          <w:szCs w:val="20"/>
        </w:rPr>
        <w:t xml:space="preserve">, </w:t>
      </w:r>
      <w:proofErr w:type="spellStart"/>
      <w:r w:rsidRPr="0031323F">
        <w:rPr>
          <w:rFonts w:ascii="Arial" w:hAnsi="Arial" w:cs="Arial"/>
          <w:sz w:val="20"/>
          <w:szCs w:val="20"/>
        </w:rPr>
        <w:lastRenderedPageBreak/>
        <w:t>Broadfoot</w:t>
      </w:r>
      <w:proofErr w:type="spellEnd"/>
      <w:r w:rsidRPr="0031323F">
        <w:rPr>
          <w:rFonts w:ascii="Arial" w:hAnsi="Arial" w:cs="Arial"/>
          <w:sz w:val="20"/>
          <w:szCs w:val="20"/>
        </w:rPr>
        <w:t>, Sutherl</w:t>
      </w:r>
      <w:r w:rsidR="00934271" w:rsidRPr="0031323F">
        <w:rPr>
          <w:rFonts w:ascii="Arial" w:hAnsi="Arial" w:cs="Arial"/>
          <w:sz w:val="20"/>
          <w:szCs w:val="20"/>
        </w:rPr>
        <w:t xml:space="preserve">and and Oldfield, 2016; </w:t>
      </w:r>
      <w:proofErr w:type="spellStart"/>
      <w:r w:rsidR="00934271" w:rsidRPr="0031323F">
        <w:rPr>
          <w:rFonts w:ascii="Arial" w:hAnsi="Arial" w:cs="Arial"/>
          <w:sz w:val="20"/>
          <w:szCs w:val="20"/>
        </w:rPr>
        <w:t>Turney</w:t>
      </w:r>
      <w:proofErr w:type="spellEnd"/>
      <w:r w:rsidR="00934271" w:rsidRPr="0031323F">
        <w:rPr>
          <w:rFonts w:ascii="Arial" w:hAnsi="Arial" w:cs="Arial"/>
          <w:sz w:val="20"/>
          <w:szCs w:val="20"/>
        </w:rPr>
        <w:t xml:space="preserve"> et al.</w:t>
      </w:r>
      <w:r w:rsidRPr="0031323F">
        <w:rPr>
          <w:rFonts w:ascii="Arial" w:hAnsi="Arial" w:cs="Arial"/>
          <w:sz w:val="20"/>
          <w:szCs w:val="20"/>
        </w:rPr>
        <w:t>,</w:t>
      </w:r>
      <w:r w:rsidR="00BB386A" w:rsidRPr="0031323F">
        <w:rPr>
          <w:rFonts w:ascii="Arial" w:hAnsi="Arial" w:cs="Arial"/>
          <w:sz w:val="20"/>
          <w:szCs w:val="20"/>
        </w:rPr>
        <w:t xml:space="preserve"> 2009) and increased</w:t>
      </w:r>
      <w:r w:rsidR="00DC5D79" w:rsidRPr="0031323F">
        <w:rPr>
          <w:rFonts w:ascii="Arial" w:hAnsi="Arial" w:cs="Arial"/>
          <w:sz w:val="20"/>
          <w:szCs w:val="20"/>
        </w:rPr>
        <w:t xml:space="preserve"> ease of access (Grieve et al.</w:t>
      </w:r>
      <w:r w:rsidR="00BB386A" w:rsidRPr="0031323F">
        <w:rPr>
          <w:rFonts w:ascii="Arial" w:hAnsi="Arial" w:cs="Arial"/>
          <w:sz w:val="20"/>
          <w:szCs w:val="20"/>
        </w:rPr>
        <w:t xml:space="preserve">, 2016; Hast and Healy, in press). In essence, all these allow students </w:t>
      </w:r>
      <w:r w:rsidRPr="0031323F">
        <w:rPr>
          <w:rFonts w:ascii="Arial" w:hAnsi="Arial" w:cs="Arial"/>
          <w:sz w:val="20"/>
          <w:szCs w:val="20"/>
        </w:rPr>
        <w:t>to ‘work, learn, and study whenever and wherever they want to’ (</w:t>
      </w:r>
      <w:proofErr w:type="spellStart"/>
      <w:r w:rsidRPr="0031323F">
        <w:rPr>
          <w:rFonts w:ascii="Arial" w:hAnsi="Arial" w:cs="Arial"/>
          <w:sz w:val="20"/>
          <w:szCs w:val="20"/>
        </w:rPr>
        <w:t>Gosper</w:t>
      </w:r>
      <w:proofErr w:type="spellEnd"/>
      <w:r w:rsidRPr="0031323F">
        <w:rPr>
          <w:rFonts w:ascii="Arial" w:hAnsi="Arial" w:cs="Arial"/>
          <w:sz w:val="20"/>
          <w:szCs w:val="20"/>
        </w:rPr>
        <w:t xml:space="preserve">, </w:t>
      </w:r>
      <w:proofErr w:type="spellStart"/>
      <w:r w:rsidRPr="0031323F">
        <w:rPr>
          <w:rFonts w:ascii="Arial" w:hAnsi="Arial" w:cs="Arial"/>
          <w:sz w:val="20"/>
          <w:szCs w:val="20"/>
        </w:rPr>
        <w:t>Malfroy</w:t>
      </w:r>
      <w:proofErr w:type="spellEnd"/>
      <w:r w:rsidRPr="0031323F">
        <w:rPr>
          <w:rFonts w:ascii="Arial" w:hAnsi="Arial" w:cs="Arial"/>
          <w:sz w:val="20"/>
          <w:szCs w:val="20"/>
        </w:rPr>
        <w:t xml:space="preserve"> and McKenzie, 2013: 278).</w:t>
      </w:r>
    </w:p>
    <w:p w:rsidR="005A37BB" w:rsidRPr="0031323F" w:rsidRDefault="008E1B0E" w:rsidP="00234E39">
      <w:pPr>
        <w:pStyle w:val="NoSpacing"/>
        <w:spacing w:line="480" w:lineRule="auto"/>
        <w:ind w:firstLine="567"/>
        <w:jc w:val="both"/>
        <w:rPr>
          <w:rFonts w:ascii="Arial" w:hAnsi="Arial" w:cs="Arial"/>
          <w:sz w:val="20"/>
          <w:szCs w:val="20"/>
        </w:rPr>
      </w:pPr>
      <w:r w:rsidRPr="0031323F">
        <w:rPr>
          <w:rFonts w:ascii="Arial" w:hAnsi="Arial" w:cs="Arial"/>
          <w:sz w:val="20"/>
          <w:szCs w:val="20"/>
        </w:rPr>
        <w:t>The</w:t>
      </w:r>
      <w:r w:rsidR="00976F42" w:rsidRPr="0031323F">
        <w:rPr>
          <w:rFonts w:ascii="Arial" w:hAnsi="Arial" w:cs="Arial"/>
          <w:sz w:val="20"/>
          <w:szCs w:val="20"/>
        </w:rPr>
        <w:t xml:space="preserve"> changes </w:t>
      </w:r>
      <w:r w:rsidRPr="0031323F">
        <w:rPr>
          <w:rFonts w:ascii="Arial" w:hAnsi="Arial" w:cs="Arial"/>
          <w:sz w:val="20"/>
          <w:szCs w:val="20"/>
        </w:rPr>
        <w:t xml:space="preserve">noted above </w:t>
      </w:r>
      <w:r w:rsidR="00976F42" w:rsidRPr="0031323F">
        <w:rPr>
          <w:rFonts w:ascii="Arial" w:hAnsi="Arial" w:cs="Arial"/>
          <w:sz w:val="20"/>
          <w:szCs w:val="20"/>
        </w:rPr>
        <w:t xml:space="preserve">are </w:t>
      </w:r>
      <w:r w:rsidRPr="0031323F">
        <w:rPr>
          <w:rFonts w:ascii="Arial" w:hAnsi="Arial" w:cs="Arial"/>
          <w:sz w:val="20"/>
          <w:szCs w:val="20"/>
        </w:rPr>
        <w:t xml:space="preserve">most likely </w:t>
      </w:r>
      <w:r w:rsidR="00976F42" w:rsidRPr="0031323F">
        <w:rPr>
          <w:rFonts w:ascii="Arial" w:hAnsi="Arial" w:cs="Arial"/>
          <w:sz w:val="20"/>
          <w:szCs w:val="20"/>
        </w:rPr>
        <w:t>a response to the increase in</w:t>
      </w:r>
      <w:r w:rsidRPr="0031323F">
        <w:rPr>
          <w:rFonts w:ascii="Arial" w:hAnsi="Arial" w:cs="Arial"/>
          <w:sz w:val="20"/>
          <w:szCs w:val="20"/>
        </w:rPr>
        <w:t xml:space="preserve"> so-called</w:t>
      </w:r>
      <w:r w:rsidR="00976F42" w:rsidRPr="0031323F">
        <w:rPr>
          <w:rFonts w:ascii="Arial" w:hAnsi="Arial" w:cs="Arial"/>
          <w:sz w:val="20"/>
          <w:szCs w:val="20"/>
        </w:rPr>
        <w:t xml:space="preserve"> net generation</w:t>
      </w:r>
      <w:r w:rsidRPr="0031323F">
        <w:rPr>
          <w:rFonts w:ascii="Arial" w:hAnsi="Arial" w:cs="Arial"/>
          <w:sz w:val="20"/>
          <w:szCs w:val="20"/>
        </w:rPr>
        <w:t xml:space="preserve"> students (</w:t>
      </w:r>
      <w:proofErr w:type="spellStart"/>
      <w:r w:rsidR="00976F42" w:rsidRPr="0031323F">
        <w:rPr>
          <w:rFonts w:ascii="Arial" w:hAnsi="Arial" w:cs="Arial"/>
          <w:sz w:val="20"/>
          <w:szCs w:val="20"/>
        </w:rPr>
        <w:t>Manuguerra</w:t>
      </w:r>
      <w:proofErr w:type="spellEnd"/>
      <w:r w:rsidR="00976F42" w:rsidRPr="0031323F">
        <w:rPr>
          <w:rFonts w:ascii="Arial" w:hAnsi="Arial" w:cs="Arial"/>
          <w:sz w:val="20"/>
          <w:szCs w:val="20"/>
        </w:rPr>
        <w:t xml:space="preserve"> and </w:t>
      </w:r>
      <w:proofErr w:type="spellStart"/>
      <w:r w:rsidR="00976F42" w:rsidRPr="0031323F">
        <w:rPr>
          <w:rFonts w:ascii="Arial" w:hAnsi="Arial" w:cs="Arial"/>
          <w:sz w:val="20"/>
          <w:szCs w:val="20"/>
        </w:rPr>
        <w:t>Petocz</w:t>
      </w:r>
      <w:proofErr w:type="spellEnd"/>
      <w:r w:rsidR="00976F42" w:rsidRPr="0031323F">
        <w:rPr>
          <w:rFonts w:ascii="Arial" w:hAnsi="Arial" w:cs="Arial"/>
          <w:sz w:val="20"/>
          <w:szCs w:val="20"/>
        </w:rPr>
        <w:t>, 2011</w:t>
      </w:r>
      <w:r w:rsidR="00993FC3" w:rsidRPr="0031323F">
        <w:rPr>
          <w:rFonts w:ascii="Arial" w:hAnsi="Arial" w:cs="Arial"/>
          <w:sz w:val="20"/>
          <w:szCs w:val="20"/>
        </w:rPr>
        <w:t xml:space="preserve">; </w:t>
      </w:r>
      <w:proofErr w:type="spellStart"/>
      <w:r w:rsidR="00993FC3" w:rsidRPr="0031323F">
        <w:rPr>
          <w:rFonts w:ascii="Arial" w:hAnsi="Arial" w:cs="Arial"/>
          <w:sz w:val="20"/>
          <w:szCs w:val="20"/>
        </w:rPr>
        <w:t>Prensky</w:t>
      </w:r>
      <w:proofErr w:type="spellEnd"/>
      <w:r w:rsidR="00993FC3" w:rsidRPr="0031323F">
        <w:rPr>
          <w:rFonts w:ascii="Arial" w:hAnsi="Arial" w:cs="Arial"/>
          <w:sz w:val="20"/>
          <w:szCs w:val="20"/>
        </w:rPr>
        <w:t>, 2012</w:t>
      </w:r>
      <w:r w:rsidR="00976F42" w:rsidRPr="0031323F">
        <w:rPr>
          <w:rFonts w:ascii="Arial" w:hAnsi="Arial" w:cs="Arial"/>
          <w:sz w:val="20"/>
          <w:szCs w:val="20"/>
        </w:rPr>
        <w:t xml:space="preserve">) </w:t>
      </w:r>
      <w:r w:rsidRPr="0031323F">
        <w:rPr>
          <w:rFonts w:ascii="Arial" w:hAnsi="Arial" w:cs="Arial"/>
          <w:sz w:val="20"/>
          <w:szCs w:val="20"/>
        </w:rPr>
        <w:t xml:space="preserve">as well as reflecting </w:t>
      </w:r>
      <w:r w:rsidR="00976F42" w:rsidRPr="0031323F">
        <w:rPr>
          <w:rFonts w:ascii="Arial" w:hAnsi="Arial" w:cs="Arial"/>
          <w:sz w:val="20"/>
          <w:szCs w:val="20"/>
        </w:rPr>
        <w:t>technological innovations.</w:t>
      </w:r>
      <w:r w:rsidR="00EF0D33" w:rsidRPr="0031323F">
        <w:rPr>
          <w:rFonts w:ascii="Arial" w:hAnsi="Arial" w:cs="Arial"/>
          <w:sz w:val="20"/>
          <w:szCs w:val="20"/>
        </w:rPr>
        <w:t xml:space="preserve"> </w:t>
      </w:r>
      <w:r w:rsidR="000A014B" w:rsidRPr="0031323F">
        <w:rPr>
          <w:rFonts w:ascii="Arial" w:hAnsi="Arial" w:cs="Arial"/>
          <w:sz w:val="20"/>
          <w:szCs w:val="20"/>
        </w:rPr>
        <w:t>However, technology is not always categorically seen as a positive in higher education (see e.g. Selwyn, 2016) and it is therefore of essence that any new digital approaches are evaluated as carefully as possible. In doing so, higher education teaching and learning can be realigned and reformed as appropriately as possible.</w:t>
      </w:r>
      <w:r w:rsidR="005A37BB" w:rsidRPr="0031323F">
        <w:rPr>
          <w:rFonts w:ascii="Arial" w:hAnsi="Arial" w:cs="Arial"/>
          <w:sz w:val="20"/>
          <w:szCs w:val="20"/>
        </w:rPr>
        <w:t xml:space="preserve"> For instance, despite the fact – or </w:t>
      </w:r>
      <w:r w:rsidR="00092612" w:rsidRPr="0031323F">
        <w:rPr>
          <w:rFonts w:ascii="Arial" w:hAnsi="Arial" w:cs="Arial"/>
          <w:sz w:val="20"/>
          <w:szCs w:val="20"/>
        </w:rPr>
        <w:t xml:space="preserve">assumption </w:t>
      </w:r>
      <w:r w:rsidR="00A96A61" w:rsidRPr="0031323F">
        <w:rPr>
          <w:rFonts w:ascii="Arial" w:hAnsi="Arial" w:cs="Arial"/>
          <w:sz w:val="20"/>
          <w:szCs w:val="20"/>
        </w:rPr>
        <w:t xml:space="preserve">made </w:t>
      </w:r>
      <w:r w:rsidR="00092612" w:rsidRPr="0031323F">
        <w:rPr>
          <w:rFonts w:ascii="Arial" w:hAnsi="Arial" w:cs="Arial"/>
          <w:sz w:val="20"/>
          <w:szCs w:val="20"/>
        </w:rPr>
        <w:t>(cf. Hast</w:t>
      </w:r>
      <w:r w:rsidR="005A37BB" w:rsidRPr="0031323F">
        <w:rPr>
          <w:rFonts w:ascii="Arial" w:hAnsi="Arial" w:cs="Arial"/>
          <w:sz w:val="20"/>
          <w:szCs w:val="20"/>
        </w:rPr>
        <w:t xml:space="preserve"> and Healy, in press) – that many young people now entering higher education are familiar with new technologies these experiences vary and often do not match the new skills required at university. This means institutions have a responsibility to promote appropriate learning opportunities for students to fully engage with digital approaches (Newman and Scurry, 2015)</w:t>
      </w:r>
      <w:r w:rsidR="00A96A61" w:rsidRPr="0031323F">
        <w:rPr>
          <w:rFonts w:ascii="Arial" w:hAnsi="Arial" w:cs="Arial"/>
          <w:sz w:val="20"/>
          <w:szCs w:val="20"/>
        </w:rPr>
        <w:t>, thereby having to support the transition process</w:t>
      </w:r>
      <w:r w:rsidR="00B16A16" w:rsidRPr="0031323F">
        <w:rPr>
          <w:rFonts w:ascii="Arial" w:hAnsi="Arial" w:cs="Arial"/>
          <w:sz w:val="20"/>
          <w:szCs w:val="20"/>
        </w:rPr>
        <w:t xml:space="preserve"> in a field that is easily overlooked</w:t>
      </w:r>
      <w:r w:rsidR="005A37BB" w:rsidRPr="0031323F">
        <w:rPr>
          <w:rFonts w:ascii="Arial" w:hAnsi="Arial" w:cs="Arial"/>
          <w:sz w:val="20"/>
          <w:szCs w:val="20"/>
        </w:rPr>
        <w:t>.</w:t>
      </w:r>
    </w:p>
    <w:p w:rsidR="006B09C8" w:rsidRPr="0031323F" w:rsidRDefault="00F0374E" w:rsidP="00234E39">
      <w:pPr>
        <w:pStyle w:val="NoSpacing"/>
        <w:spacing w:line="480" w:lineRule="auto"/>
        <w:ind w:firstLine="567"/>
        <w:jc w:val="both"/>
        <w:rPr>
          <w:rFonts w:ascii="Arial" w:hAnsi="Arial" w:cs="Arial"/>
          <w:sz w:val="20"/>
          <w:szCs w:val="20"/>
        </w:rPr>
      </w:pPr>
      <w:r w:rsidRPr="0031323F">
        <w:rPr>
          <w:rFonts w:ascii="Arial" w:hAnsi="Arial" w:cs="Arial"/>
          <w:sz w:val="20"/>
          <w:szCs w:val="20"/>
        </w:rPr>
        <w:t>The consequences of a lack of such transition support can be seen in the negative student experiences surrounding online assignments.</w:t>
      </w:r>
      <w:r w:rsidR="003F3E0E" w:rsidRPr="0031323F">
        <w:rPr>
          <w:rFonts w:ascii="Arial" w:hAnsi="Arial" w:cs="Arial"/>
          <w:sz w:val="20"/>
          <w:szCs w:val="20"/>
        </w:rPr>
        <w:t xml:space="preserve"> </w:t>
      </w:r>
      <w:r w:rsidR="002374DF" w:rsidRPr="0031323F">
        <w:rPr>
          <w:rFonts w:ascii="Arial" w:hAnsi="Arial" w:cs="Arial"/>
          <w:sz w:val="20"/>
          <w:szCs w:val="20"/>
        </w:rPr>
        <w:t>A key issue for students is that online feedback, in the absence of face-to-face discussion, leads to difficulties in interpretation and use of feedback (</w:t>
      </w:r>
      <w:r w:rsidR="003F3E0E" w:rsidRPr="0031323F">
        <w:rPr>
          <w:rFonts w:ascii="Arial" w:hAnsi="Arial" w:cs="Arial"/>
          <w:sz w:val="20"/>
          <w:szCs w:val="20"/>
        </w:rPr>
        <w:t>Andrade, 2010;</w:t>
      </w:r>
      <w:r w:rsidR="001D1FC1" w:rsidRPr="0031323F">
        <w:rPr>
          <w:rFonts w:ascii="Arial" w:hAnsi="Arial" w:cs="Arial"/>
          <w:sz w:val="20"/>
          <w:szCs w:val="20"/>
        </w:rPr>
        <w:t xml:space="preserve"> Hast and Healy, in press;</w:t>
      </w:r>
      <w:r w:rsidR="003F3E0E" w:rsidRPr="0031323F">
        <w:rPr>
          <w:rFonts w:ascii="Arial" w:hAnsi="Arial" w:cs="Arial"/>
          <w:sz w:val="20"/>
          <w:szCs w:val="20"/>
        </w:rPr>
        <w:t xml:space="preserve"> </w:t>
      </w:r>
      <w:r w:rsidR="002374DF" w:rsidRPr="0031323F">
        <w:rPr>
          <w:rFonts w:ascii="Arial" w:hAnsi="Arial" w:cs="Arial"/>
          <w:sz w:val="20"/>
          <w:szCs w:val="20"/>
        </w:rPr>
        <w:t xml:space="preserve">Hattie and </w:t>
      </w:r>
      <w:proofErr w:type="spellStart"/>
      <w:r w:rsidR="002374DF" w:rsidRPr="0031323F">
        <w:rPr>
          <w:rFonts w:ascii="Arial" w:hAnsi="Arial" w:cs="Arial"/>
          <w:sz w:val="20"/>
          <w:szCs w:val="20"/>
        </w:rPr>
        <w:t>Timperley</w:t>
      </w:r>
      <w:proofErr w:type="spellEnd"/>
      <w:r w:rsidR="002374DF" w:rsidRPr="0031323F">
        <w:rPr>
          <w:rFonts w:ascii="Arial" w:hAnsi="Arial" w:cs="Arial"/>
          <w:sz w:val="20"/>
          <w:szCs w:val="20"/>
        </w:rPr>
        <w:t>, 2007).</w:t>
      </w:r>
      <w:r w:rsidR="003F3E0E" w:rsidRPr="0031323F">
        <w:rPr>
          <w:rFonts w:ascii="Arial" w:hAnsi="Arial" w:cs="Arial"/>
          <w:sz w:val="20"/>
          <w:szCs w:val="20"/>
        </w:rPr>
        <w:t xml:space="preserve"> This </w:t>
      </w:r>
      <w:r w:rsidR="004869DF" w:rsidRPr="0031323F">
        <w:rPr>
          <w:rFonts w:ascii="Arial" w:hAnsi="Arial" w:cs="Arial"/>
          <w:sz w:val="20"/>
          <w:szCs w:val="20"/>
        </w:rPr>
        <w:t xml:space="preserve">lack of relationship with the online marker </w:t>
      </w:r>
      <w:r w:rsidR="003F3E0E" w:rsidRPr="0031323F">
        <w:rPr>
          <w:rFonts w:ascii="Arial" w:hAnsi="Arial" w:cs="Arial"/>
          <w:sz w:val="20"/>
          <w:szCs w:val="20"/>
        </w:rPr>
        <w:t xml:space="preserve">can have knock-on effects, leading towards depersonalisation and reduced self-regulated learning (McCabe, </w:t>
      </w:r>
      <w:proofErr w:type="spellStart"/>
      <w:r w:rsidR="003F3E0E" w:rsidRPr="0031323F">
        <w:rPr>
          <w:rFonts w:ascii="Arial" w:hAnsi="Arial" w:cs="Arial"/>
          <w:sz w:val="20"/>
          <w:szCs w:val="20"/>
        </w:rPr>
        <w:t>Doerflinger</w:t>
      </w:r>
      <w:proofErr w:type="spellEnd"/>
      <w:r w:rsidR="003F3E0E" w:rsidRPr="0031323F">
        <w:rPr>
          <w:rFonts w:ascii="Arial" w:hAnsi="Arial" w:cs="Arial"/>
          <w:sz w:val="20"/>
          <w:szCs w:val="20"/>
        </w:rPr>
        <w:t xml:space="preserve"> and Fox, 2011; Parkin, </w:t>
      </w:r>
      <w:proofErr w:type="spellStart"/>
      <w:r w:rsidR="003F3E0E" w:rsidRPr="0031323F">
        <w:rPr>
          <w:rFonts w:ascii="Arial" w:hAnsi="Arial" w:cs="Arial"/>
          <w:sz w:val="20"/>
          <w:szCs w:val="20"/>
        </w:rPr>
        <w:t>Hepplestone</w:t>
      </w:r>
      <w:proofErr w:type="spellEnd"/>
      <w:r w:rsidR="003F3E0E" w:rsidRPr="0031323F">
        <w:rPr>
          <w:rFonts w:ascii="Arial" w:hAnsi="Arial" w:cs="Arial"/>
          <w:sz w:val="20"/>
          <w:szCs w:val="20"/>
        </w:rPr>
        <w:t>, Holden, Irwin and Thorpe, 2012)</w:t>
      </w:r>
      <w:r w:rsidR="0012604F" w:rsidRPr="0031323F">
        <w:rPr>
          <w:rFonts w:ascii="Arial" w:hAnsi="Arial" w:cs="Arial"/>
          <w:sz w:val="20"/>
          <w:szCs w:val="20"/>
        </w:rPr>
        <w:t xml:space="preserve"> and can, in turn, impede the issue of interpretation</w:t>
      </w:r>
      <w:r w:rsidR="003F3E0E" w:rsidRPr="0031323F">
        <w:rPr>
          <w:rFonts w:ascii="Arial" w:hAnsi="Arial" w:cs="Arial"/>
          <w:sz w:val="20"/>
          <w:szCs w:val="20"/>
        </w:rPr>
        <w:t>.</w:t>
      </w:r>
      <w:r w:rsidR="00B71C57" w:rsidRPr="0031323F">
        <w:rPr>
          <w:rFonts w:ascii="Arial" w:hAnsi="Arial" w:cs="Arial"/>
          <w:sz w:val="20"/>
          <w:szCs w:val="20"/>
        </w:rPr>
        <w:t xml:space="preserve"> Appropriate engagement on the student behalf contributes to issues such as retention rates, indicating an enhanced engagement with supporting transition (Gale and Parker, 2014; </w:t>
      </w:r>
      <w:proofErr w:type="spellStart"/>
      <w:r w:rsidR="00B71C57" w:rsidRPr="0031323F">
        <w:rPr>
          <w:rFonts w:ascii="Arial" w:hAnsi="Arial" w:cs="Arial"/>
          <w:sz w:val="20"/>
          <w:szCs w:val="20"/>
        </w:rPr>
        <w:t>Kift</w:t>
      </w:r>
      <w:proofErr w:type="spellEnd"/>
      <w:r w:rsidR="00B71C57" w:rsidRPr="0031323F">
        <w:rPr>
          <w:rFonts w:ascii="Arial" w:hAnsi="Arial" w:cs="Arial"/>
          <w:sz w:val="20"/>
          <w:szCs w:val="20"/>
        </w:rPr>
        <w:t xml:space="preserve">, Nelson and Clarke, 2010). The issues noted above could be resolved in a relatively simple manner – through the provision of structured training that guides students through all relevant processes, including aspects of submission and access, and clarifying the relationship between online feedback </w:t>
      </w:r>
      <w:proofErr w:type="gramStart"/>
      <w:r w:rsidR="00B71C57" w:rsidRPr="0031323F">
        <w:rPr>
          <w:rFonts w:ascii="Arial" w:hAnsi="Arial" w:cs="Arial"/>
          <w:sz w:val="20"/>
          <w:szCs w:val="20"/>
        </w:rPr>
        <w:t>access</w:t>
      </w:r>
      <w:proofErr w:type="gramEnd"/>
      <w:r w:rsidR="00B71C57" w:rsidRPr="0031323F">
        <w:rPr>
          <w:rFonts w:ascii="Arial" w:hAnsi="Arial" w:cs="Arial"/>
          <w:sz w:val="20"/>
          <w:szCs w:val="20"/>
        </w:rPr>
        <w:t xml:space="preserve"> and communicating with tutors to discuss the feedback. Doing so should enhance engagement motivation (Hast and Healy, in press).</w:t>
      </w:r>
    </w:p>
    <w:p w:rsidR="003D2BF6" w:rsidRPr="0031323F" w:rsidRDefault="00A353A2" w:rsidP="00234E39">
      <w:pPr>
        <w:pStyle w:val="NoSpacing"/>
        <w:spacing w:line="480" w:lineRule="auto"/>
        <w:ind w:firstLine="567"/>
        <w:jc w:val="both"/>
        <w:rPr>
          <w:rFonts w:ascii="Arial" w:hAnsi="Arial" w:cs="Arial"/>
          <w:sz w:val="20"/>
          <w:szCs w:val="20"/>
        </w:rPr>
      </w:pPr>
      <w:r w:rsidRPr="0031323F">
        <w:rPr>
          <w:rFonts w:ascii="Arial" w:hAnsi="Arial" w:cs="Arial"/>
          <w:sz w:val="20"/>
          <w:szCs w:val="20"/>
        </w:rPr>
        <w:t xml:space="preserve">To support students in their transition into online feedback provision, a series of activities was embedded in a first year undergraduate module on learning skills, centring on submission and access. </w:t>
      </w:r>
      <w:r w:rsidR="00460AC4" w:rsidRPr="0031323F">
        <w:rPr>
          <w:rFonts w:ascii="Arial" w:hAnsi="Arial" w:cs="Arial"/>
          <w:sz w:val="20"/>
          <w:szCs w:val="20"/>
        </w:rPr>
        <w:t xml:space="preserve">In the first lecture students were given a live demonstration on how to submit work online </w:t>
      </w:r>
      <w:r w:rsidR="00460AC4" w:rsidRPr="0031323F">
        <w:rPr>
          <w:rFonts w:ascii="Arial" w:hAnsi="Arial" w:cs="Arial"/>
          <w:sz w:val="20"/>
          <w:szCs w:val="20"/>
        </w:rPr>
        <w:lastRenderedPageBreak/>
        <w:t>(</w:t>
      </w:r>
      <w:r w:rsidR="00460AC4" w:rsidRPr="0031323F">
        <w:rPr>
          <w:rFonts w:ascii="Arial" w:hAnsi="Arial" w:cs="Arial"/>
          <w:i/>
          <w:sz w:val="20"/>
          <w:szCs w:val="20"/>
        </w:rPr>
        <w:t>Step 1</w:t>
      </w:r>
      <w:r w:rsidR="00460AC4" w:rsidRPr="0031323F">
        <w:rPr>
          <w:rFonts w:ascii="Arial" w:hAnsi="Arial" w:cs="Arial"/>
          <w:sz w:val="20"/>
          <w:szCs w:val="20"/>
        </w:rPr>
        <w:t>). Importantly, the instructors showed this from the student perspective by having the instructors enrolled on a practice module as a student. This was necessary since the studen</w:t>
      </w:r>
      <w:r w:rsidR="009A6635" w:rsidRPr="0031323F">
        <w:rPr>
          <w:rFonts w:ascii="Arial" w:hAnsi="Arial" w:cs="Arial"/>
          <w:sz w:val="20"/>
          <w:szCs w:val="20"/>
        </w:rPr>
        <w:t xml:space="preserve">t view of </w:t>
      </w:r>
      <w:proofErr w:type="spellStart"/>
      <w:r w:rsidR="009A6635" w:rsidRPr="0031323F">
        <w:rPr>
          <w:rFonts w:ascii="Arial" w:hAnsi="Arial" w:cs="Arial"/>
          <w:sz w:val="20"/>
          <w:szCs w:val="20"/>
        </w:rPr>
        <w:t>Turnitin</w:t>
      </w:r>
      <w:proofErr w:type="spellEnd"/>
      <w:r w:rsidR="00460AC4" w:rsidRPr="0031323F">
        <w:rPr>
          <w:rFonts w:ascii="Arial" w:hAnsi="Arial" w:cs="Arial"/>
          <w:sz w:val="20"/>
          <w:szCs w:val="20"/>
        </w:rPr>
        <w:t xml:space="preserve"> is different from that of an instructor.</w:t>
      </w:r>
      <w:r w:rsidR="00D9593D" w:rsidRPr="0031323F">
        <w:rPr>
          <w:rFonts w:ascii="Arial" w:hAnsi="Arial" w:cs="Arial"/>
          <w:sz w:val="20"/>
          <w:szCs w:val="20"/>
        </w:rPr>
        <w:t xml:space="preserve"> Students were then set a simple writing activity and were asked to submit this assignment online after the lecture (</w:t>
      </w:r>
      <w:r w:rsidR="00D9593D" w:rsidRPr="0031323F">
        <w:rPr>
          <w:rFonts w:ascii="Arial" w:hAnsi="Arial" w:cs="Arial"/>
          <w:i/>
          <w:sz w:val="20"/>
          <w:szCs w:val="20"/>
        </w:rPr>
        <w:t>Step 2</w:t>
      </w:r>
      <w:r w:rsidR="00D9593D" w:rsidRPr="0031323F">
        <w:rPr>
          <w:rFonts w:ascii="Arial" w:hAnsi="Arial" w:cs="Arial"/>
          <w:sz w:val="20"/>
          <w:szCs w:val="20"/>
        </w:rPr>
        <w:t>). The instructors provided basic written feedback on the assignment thro</w:t>
      </w:r>
      <w:r w:rsidR="009A6635" w:rsidRPr="0031323F">
        <w:rPr>
          <w:rFonts w:ascii="Arial" w:hAnsi="Arial" w:cs="Arial"/>
          <w:sz w:val="20"/>
          <w:szCs w:val="20"/>
        </w:rPr>
        <w:t xml:space="preserve">ugh </w:t>
      </w:r>
      <w:proofErr w:type="spellStart"/>
      <w:r w:rsidR="009A6635" w:rsidRPr="0031323F">
        <w:rPr>
          <w:rFonts w:ascii="Arial" w:hAnsi="Arial" w:cs="Arial"/>
          <w:sz w:val="20"/>
          <w:szCs w:val="20"/>
        </w:rPr>
        <w:t>Grademark</w:t>
      </w:r>
      <w:proofErr w:type="spellEnd"/>
      <w:r w:rsidR="00D9593D" w:rsidRPr="0031323F">
        <w:rPr>
          <w:rFonts w:ascii="Arial" w:hAnsi="Arial" w:cs="Arial"/>
          <w:sz w:val="20"/>
          <w:szCs w:val="20"/>
        </w:rPr>
        <w:t xml:space="preserve"> and students were requested to access the feedback online, using video materials posted on the VLE to support the process</w:t>
      </w:r>
      <w:r w:rsidR="00E26017">
        <w:rPr>
          <w:rFonts w:ascii="Arial" w:hAnsi="Arial" w:cs="Arial"/>
          <w:sz w:val="20"/>
          <w:szCs w:val="20"/>
        </w:rPr>
        <w:t>,</w:t>
      </w:r>
      <w:r w:rsidR="00B02640" w:rsidRPr="0031323F">
        <w:rPr>
          <w:rFonts w:ascii="Arial" w:hAnsi="Arial" w:cs="Arial"/>
          <w:sz w:val="20"/>
          <w:szCs w:val="20"/>
        </w:rPr>
        <w:t xml:space="preserve"> if necessary</w:t>
      </w:r>
      <w:r w:rsidR="00D9593D" w:rsidRPr="0031323F">
        <w:rPr>
          <w:rFonts w:ascii="Arial" w:hAnsi="Arial" w:cs="Arial"/>
          <w:sz w:val="20"/>
          <w:szCs w:val="20"/>
        </w:rPr>
        <w:t xml:space="preserve"> (</w:t>
      </w:r>
      <w:r w:rsidR="00D9593D" w:rsidRPr="0031323F">
        <w:rPr>
          <w:rFonts w:ascii="Arial" w:hAnsi="Arial" w:cs="Arial"/>
          <w:i/>
          <w:sz w:val="20"/>
          <w:szCs w:val="20"/>
        </w:rPr>
        <w:t>Step 3</w:t>
      </w:r>
      <w:r w:rsidR="00D9593D" w:rsidRPr="0031323F">
        <w:rPr>
          <w:rFonts w:ascii="Arial" w:hAnsi="Arial" w:cs="Arial"/>
          <w:sz w:val="20"/>
          <w:szCs w:val="20"/>
        </w:rPr>
        <w:t>). Following a later assignment on which students were provided with more extensive formative feedback, students were given a lecture on how to use the feedback, including knowing who to speak to and how this could be identified from the feedback (</w:t>
      </w:r>
      <w:r w:rsidR="00D9593D" w:rsidRPr="0031323F">
        <w:rPr>
          <w:rFonts w:ascii="Arial" w:hAnsi="Arial" w:cs="Arial"/>
          <w:i/>
          <w:sz w:val="20"/>
          <w:szCs w:val="20"/>
        </w:rPr>
        <w:t>Step 4</w:t>
      </w:r>
      <w:r w:rsidR="00D9593D" w:rsidRPr="0031323F">
        <w:rPr>
          <w:rFonts w:ascii="Arial" w:hAnsi="Arial" w:cs="Arial"/>
          <w:sz w:val="20"/>
          <w:szCs w:val="20"/>
        </w:rPr>
        <w:t>). What follows in this paper is an evaluation of th</w:t>
      </w:r>
      <w:r w:rsidR="003D2BF6" w:rsidRPr="0031323F">
        <w:rPr>
          <w:rFonts w:ascii="Arial" w:hAnsi="Arial" w:cs="Arial"/>
          <w:sz w:val="20"/>
          <w:szCs w:val="20"/>
        </w:rPr>
        <w:t xml:space="preserve">is structured training approach, drawing on </w:t>
      </w:r>
      <w:r w:rsidRPr="0031323F">
        <w:rPr>
          <w:rFonts w:ascii="Arial" w:hAnsi="Arial" w:cs="Arial"/>
          <w:sz w:val="20"/>
          <w:szCs w:val="20"/>
        </w:rPr>
        <w:t xml:space="preserve">quantitative and qualitative data of student </w:t>
      </w:r>
      <w:r w:rsidR="003D2BF6" w:rsidRPr="0031323F">
        <w:rPr>
          <w:rFonts w:ascii="Arial" w:hAnsi="Arial" w:cs="Arial"/>
          <w:sz w:val="20"/>
          <w:szCs w:val="20"/>
        </w:rPr>
        <w:t xml:space="preserve">views. Specifically, it </w:t>
      </w:r>
      <w:r w:rsidR="00B40258">
        <w:rPr>
          <w:rFonts w:ascii="Arial" w:hAnsi="Arial" w:cs="Arial"/>
          <w:sz w:val="20"/>
          <w:szCs w:val="20"/>
        </w:rPr>
        <w:t>seeks</w:t>
      </w:r>
      <w:r w:rsidR="003D2BF6" w:rsidRPr="0031323F">
        <w:rPr>
          <w:rFonts w:ascii="Arial" w:hAnsi="Arial" w:cs="Arial"/>
          <w:sz w:val="20"/>
          <w:szCs w:val="20"/>
        </w:rPr>
        <w:t xml:space="preserve"> to </w:t>
      </w:r>
      <w:r w:rsidR="00E61CEA">
        <w:rPr>
          <w:rFonts w:ascii="Arial" w:hAnsi="Arial" w:cs="Arial"/>
          <w:sz w:val="20"/>
          <w:szCs w:val="20"/>
        </w:rPr>
        <w:t>draw on how these views compare</w:t>
      </w:r>
      <w:r w:rsidR="003D2BF6" w:rsidRPr="0031323F">
        <w:rPr>
          <w:rFonts w:ascii="Arial" w:hAnsi="Arial" w:cs="Arial"/>
          <w:sz w:val="20"/>
          <w:szCs w:val="20"/>
        </w:rPr>
        <w:t xml:space="preserve"> to those of students who had not undergone this training.</w:t>
      </w:r>
    </w:p>
    <w:p w:rsidR="00BC5193" w:rsidRPr="0031323F" w:rsidRDefault="00BC5193" w:rsidP="00234E39">
      <w:pPr>
        <w:spacing w:line="480" w:lineRule="auto"/>
        <w:rPr>
          <w:rFonts w:ascii="Arial" w:hAnsi="Arial" w:cs="Arial"/>
          <w:b/>
          <w:sz w:val="20"/>
          <w:szCs w:val="20"/>
        </w:rPr>
      </w:pPr>
    </w:p>
    <w:p w:rsidR="00FC4E51" w:rsidRPr="0031323F" w:rsidRDefault="00171987" w:rsidP="00234E39">
      <w:pPr>
        <w:spacing w:line="480" w:lineRule="auto"/>
        <w:rPr>
          <w:rFonts w:ascii="Arial" w:hAnsi="Arial" w:cs="Arial"/>
          <w:b/>
          <w:sz w:val="20"/>
          <w:szCs w:val="20"/>
        </w:rPr>
      </w:pPr>
      <w:r w:rsidRPr="0031323F">
        <w:rPr>
          <w:rFonts w:ascii="Arial" w:hAnsi="Arial" w:cs="Arial"/>
          <w:b/>
          <w:sz w:val="20"/>
          <w:szCs w:val="20"/>
        </w:rPr>
        <w:t>M</w:t>
      </w:r>
      <w:r w:rsidR="00FC4E51" w:rsidRPr="0031323F">
        <w:rPr>
          <w:rFonts w:ascii="Arial" w:hAnsi="Arial" w:cs="Arial"/>
          <w:b/>
          <w:sz w:val="20"/>
          <w:szCs w:val="20"/>
        </w:rPr>
        <w:t>ethod</w:t>
      </w:r>
    </w:p>
    <w:p w:rsidR="00122FDB" w:rsidRPr="0031323F" w:rsidRDefault="00122FDB" w:rsidP="00234E39">
      <w:pPr>
        <w:pStyle w:val="NoSpacing"/>
        <w:spacing w:line="480" w:lineRule="auto"/>
        <w:jc w:val="both"/>
        <w:rPr>
          <w:rFonts w:ascii="Arial" w:hAnsi="Arial" w:cs="Arial"/>
          <w:sz w:val="20"/>
          <w:szCs w:val="20"/>
        </w:rPr>
      </w:pPr>
    </w:p>
    <w:p w:rsidR="00FC4E51" w:rsidRPr="0031323F" w:rsidRDefault="00FC4E51" w:rsidP="00234E39">
      <w:pPr>
        <w:pStyle w:val="NoSpacing"/>
        <w:spacing w:line="480" w:lineRule="auto"/>
        <w:ind w:firstLine="567"/>
        <w:jc w:val="both"/>
        <w:rPr>
          <w:rFonts w:ascii="Arial" w:hAnsi="Arial" w:cs="Arial"/>
          <w:sz w:val="20"/>
          <w:szCs w:val="20"/>
          <w:highlight w:val="yellow"/>
        </w:rPr>
      </w:pPr>
      <w:r w:rsidRPr="0031323F">
        <w:rPr>
          <w:rFonts w:ascii="Arial" w:hAnsi="Arial" w:cs="Arial"/>
          <w:sz w:val="20"/>
          <w:szCs w:val="20"/>
        </w:rPr>
        <w:t xml:space="preserve">The target participants for the present study were undergraduate students in their </w:t>
      </w:r>
      <w:r w:rsidR="00B124FA" w:rsidRPr="0031323F">
        <w:rPr>
          <w:rFonts w:ascii="Arial" w:hAnsi="Arial" w:cs="Arial"/>
          <w:sz w:val="20"/>
          <w:szCs w:val="20"/>
        </w:rPr>
        <w:t>first</w:t>
      </w:r>
      <w:r w:rsidRPr="0031323F">
        <w:rPr>
          <w:rFonts w:ascii="Arial" w:hAnsi="Arial" w:cs="Arial"/>
          <w:sz w:val="20"/>
          <w:szCs w:val="20"/>
        </w:rPr>
        <w:t xml:space="preserve"> year of a social</w:t>
      </w:r>
      <w:r w:rsidR="00B124FA" w:rsidRPr="0031323F">
        <w:rPr>
          <w:rFonts w:ascii="Arial" w:hAnsi="Arial" w:cs="Arial"/>
          <w:sz w:val="20"/>
          <w:szCs w:val="20"/>
        </w:rPr>
        <w:t xml:space="preserve"> science degree programme at a university</w:t>
      </w:r>
      <w:r w:rsidRPr="0031323F">
        <w:rPr>
          <w:rFonts w:ascii="Arial" w:hAnsi="Arial" w:cs="Arial"/>
          <w:sz w:val="20"/>
          <w:szCs w:val="20"/>
        </w:rPr>
        <w:t xml:space="preserve"> in the Greater London area. </w:t>
      </w:r>
      <w:r w:rsidR="008F50C0" w:rsidRPr="0031323F">
        <w:rPr>
          <w:rFonts w:ascii="Arial" w:hAnsi="Arial" w:cs="Arial"/>
          <w:sz w:val="20"/>
          <w:szCs w:val="20"/>
        </w:rPr>
        <w:t xml:space="preserve">The research </w:t>
      </w:r>
      <w:r w:rsidR="005500A7" w:rsidRPr="0031323F">
        <w:rPr>
          <w:rFonts w:ascii="Arial" w:hAnsi="Arial" w:cs="Arial"/>
          <w:sz w:val="20"/>
          <w:szCs w:val="20"/>
        </w:rPr>
        <w:t>was carried out during the</w:t>
      </w:r>
      <w:r w:rsidR="008F50C0" w:rsidRPr="0031323F">
        <w:rPr>
          <w:rFonts w:ascii="Arial" w:hAnsi="Arial" w:cs="Arial"/>
          <w:sz w:val="20"/>
          <w:szCs w:val="20"/>
        </w:rPr>
        <w:t xml:space="preserve"> second semester, which meant a</w:t>
      </w:r>
      <w:r w:rsidRPr="0031323F">
        <w:rPr>
          <w:rFonts w:ascii="Arial" w:hAnsi="Arial" w:cs="Arial"/>
          <w:sz w:val="20"/>
          <w:szCs w:val="20"/>
        </w:rPr>
        <w:t xml:space="preserve">ll of the participants had previous experience of submitting work </w:t>
      </w:r>
      <w:r w:rsidR="00C23302" w:rsidRPr="0031323F">
        <w:rPr>
          <w:rFonts w:ascii="Arial" w:hAnsi="Arial" w:cs="Arial"/>
          <w:sz w:val="20"/>
          <w:szCs w:val="20"/>
        </w:rPr>
        <w:t>and</w:t>
      </w:r>
      <w:r w:rsidRPr="0031323F">
        <w:rPr>
          <w:rFonts w:ascii="Arial" w:hAnsi="Arial" w:cs="Arial"/>
          <w:sz w:val="20"/>
          <w:szCs w:val="20"/>
        </w:rPr>
        <w:t xml:space="preserve"> </w:t>
      </w:r>
      <w:r w:rsidR="008F50C0" w:rsidRPr="0031323F">
        <w:rPr>
          <w:rFonts w:ascii="Arial" w:hAnsi="Arial" w:cs="Arial"/>
          <w:sz w:val="20"/>
          <w:szCs w:val="20"/>
        </w:rPr>
        <w:t xml:space="preserve">accessing feedback </w:t>
      </w:r>
      <w:r w:rsidRPr="0031323F">
        <w:rPr>
          <w:rFonts w:ascii="Arial" w:hAnsi="Arial" w:cs="Arial"/>
          <w:sz w:val="20"/>
          <w:szCs w:val="20"/>
        </w:rPr>
        <w:t xml:space="preserve">online </w:t>
      </w:r>
      <w:r w:rsidR="008F50C0" w:rsidRPr="0031323F">
        <w:rPr>
          <w:rFonts w:ascii="Arial" w:hAnsi="Arial" w:cs="Arial"/>
          <w:sz w:val="20"/>
          <w:szCs w:val="20"/>
        </w:rPr>
        <w:t>as required by the programme</w:t>
      </w:r>
      <w:r w:rsidRPr="0031323F">
        <w:rPr>
          <w:rFonts w:ascii="Arial" w:hAnsi="Arial" w:cs="Arial"/>
          <w:sz w:val="20"/>
          <w:szCs w:val="20"/>
        </w:rPr>
        <w:t xml:space="preserve">. To gain more detailed insight into the student </w:t>
      </w:r>
      <w:r w:rsidR="00B124FA" w:rsidRPr="0031323F">
        <w:rPr>
          <w:rFonts w:ascii="Arial" w:hAnsi="Arial" w:cs="Arial"/>
          <w:sz w:val="20"/>
          <w:szCs w:val="20"/>
        </w:rPr>
        <w:t>views</w:t>
      </w:r>
      <w:r w:rsidRPr="0031323F">
        <w:rPr>
          <w:rFonts w:ascii="Arial" w:hAnsi="Arial" w:cs="Arial"/>
          <w:sz w:val="20"/>
          <w:szCs w:val="20"/>
        </w:rPr>
        <w:t xml:space="preserve"> a mixed method approach was chosen, combining both statistical trends and personal experiences (Creswell, 2015). A survey drawing on both quantitative and qualitative data was carried out first, followed by qualitative focus groups.</w:t>
      </w:r>
    </w:p>
    <w:p w:rsidR="00E514F2" w:rsidRPr="0031323F" w:rsidRDefault="00E514F2" w:rsidP="00234E39">
      <w:pPr>
        <w:spacing w:line="480" w:lineRule="auto"/>
        <w:rPr>
          <w:rFonts w:ascii="Arial" w:hAnsi="Arial" w:cs="Arial"/>
          <w:i/>
          <w:sz w:val="20"/>
          <w:szCs w:val="20"/>
        </w:rPr>
      </w:pPr>
    </w:p>
    <w:p w:rsidR="00FC4E51" w:rsidRPr="0031323F" w:rsidRDefault="00B124FA" w:rsidP="00234E39">
      <w:pPr>
        <w:spacing w:line="480" w:lineRule="auto"/>
        <w:rPr>
          <w:rFonts w:ascii="Arial" w:hAnsi="Arial" w:cs="Arial"/>
          <w:b/>
          <w:i/>
          <w:sz w:val="20"/>
          <w:szCs w:val="20"/>
        </w:rPr>
      </w:pPr>
      <w:r w:rsidRPr="0031323F">
        <w:rPr>
          <w:rFonts w:ascii="Arial" w:hAnsi="Arial" w:cs="Arial"/>
          <w:i/>
          <w:sz w:val="20"/>
          <w:szCs w:val="20"/>
        </w:rPr>
        <w:t>Survey</w:t>
      </w:r>
    </w:p>
    <w:p w:rsidR="00122FDB" w:rsidRPr="0031323F" w:rsidRDefault="00122FDB" w:rsidP="00234E39">
      <w:pPr>
        <w:spacing w:line="480" w:lineRule="auto"/>
        <w:rPr>
          <w:rFonts w:ascii="Arial" w:hAnsi="Arial" w:cs="Arial"/>
          <w:i/>
          <w:sz w:val="20"/>
          <w:szCs w:val="20"/>
        </w:rPr>
      </w:pPr>
    </w:p>
    <w:p w:rsidR="00ED5407" w:rsidRPr="0031323F" w:rsidRDefault="00FC4E51" w:rsidP="00234E39">
      <w:pPr>
        <w:pStyle w:val="NoSpacing"/>
        <w:spacing w:line="480" w:lineRule="auto"/>
        <w:ind w:firstLine="567"/>
        <w:jc w:val="both"/>
        <w:rPr>
          <w:rFonts w:ascii="Arial" w:hAnsi="Arial" w:cs="Arial"/>
          <w:sz w:val="20"/>
          <w:szCs w:val="20"/>
        </w:rPr>
      </w:pPr>
      <w:r w:rsidRPr="0031323F">
        <w:rPr>
          <w:rFonts w:ascii="Arial" w:hAnsi="Arial" w:cs="Arial"/>
          <w:sz w:val="20"/>
          <w:szCs w:val="20"/>
        </w:rPr>
        <w:t>A total of 62 students</w:t>
      </w:r>
      <w:r w:rsidR="001979B9" w:rsidRPr="0031323F">
        <w:rPr>
          <w:rFonts w:ascii="Arial" w:hAnsi="Arial" w:cs="Arial"/>
          <w:sz w:val="20"/>
          <w:szCs w:val="20"/>
        </w:rPr>
        <w:t xml:space="preserve"> (55 female)</w:t>
      </w:r>
      <w:r w:rsidRPr="0031323F">
        <w:rPr>
          <w:rFonts w:ascii="Arial" w:hAnsi="Arial" w:cs="Arial"/>
          <w:sz w:val="20"/>
          <w:szCs w:val="20"/>
        </w:rPr>
        <w:t xml:space="preserve"> originally registered for the module in question completed the survey. This represents a response rate of 82%. </w:t>
      </w:r>
      <w:r w:rsidR="001979B9" w:rsidRPr="0031323F">
        <w:rPr>
          <w:rFonts w:ascii="Arial" w:hAnsi="Arial" w:cs="Arial"/>
          <w:sz w:val="20"/>
          <w:szCs w:val="20"/>
        </w:rPr>
        <w:t xml:space="preserve">The majority </w:t>
      </w:r>
      <w:r w:rsidR="009C7A93" w:rsidRPr="0031323F">
        <w:rPr>
          <w:rFonts w:ascii="Arial" w:hAnsi="Arial" w:cs="Arial"/>
          <w:sz w:val="20"/>
          <w:szCs w:val="20"/>
        </w:rPr>
        <w:t xml:space="preserve">of respondents </w:t>
      </w:r>
      <w:r w:rsidR="001979B9" w:rsidRPr="0031323F">
        <w:rPr>
          <w:rFonts w:ascii="Arial" w:hAnsi="Arial" w:cs="Arial"/>
          <w:sz w:val="20"/>
          <w:szCs w:val="20"/>
        </w:rPr>
        <w:t xml:space="preserve">(81%) </w:t>
      </w:r>
      <w:r w:rsidRPr="0031323F">
        <w:rPr>
          <w:rFonts w:ascii="Arial" w:hAnsi="Arial" w:cs="Arial"/>
          <w:sz w:val="20"/>
          <w:szCs w:val="20"/>
        </w:rPr>
        <w:t>were aged 18 to 20 years at t</w:t>
      </w:r>
      <w:r w:rsidR="001979B9" w:rsidRPr="0031323F">
        <w:rPr>
          <w:rFonts w:ascii="Arial" w:hAnsi="Arial" w:cs="Arial"/>
          <w:sz w:val="20"/>
          <w:szCs w:val="20"/>
        </w:rPr>
        <w:t xml:space="preserve">ime of degree enrolment </w:t>
      </w:r>
      <w:r w:rsidRPr="0031323F">
        <w:rPr>
          <w:rFonts w:ascii="Arial" w:hAnsi="Arial" w:cs="Arial"/>
          <w:sz w:val="20"/>
          <w:szCs w:val="20"/>
        </w:rPr>
        <w:t>, with the remainder identifying as aged 21 or above at that time (classified as</w:t>
      </w:r>
      <w:r w:rsidR="001979B9" w:rsidRPr="0031323F">
        <w:rPr>
          <w:rFonts w:ascii="Arial" w:hAnsi="Arial" w:cs="Arial"/>
          <w:sz w:val="20"/>
          <w:szCs w:val="20"/>
        </w:rPr>
        <w:t xml:space="preserve"> mature students; cf. UCAS, 2017</w:t>
      </w:r>
      <w:r w:rsidRPr="0031323F">
        <w:rPr>
          <w:rFonts w:ascii="Arial" w:hAnsi="Arial" w:cs="Arial"/>
          <w:sz w:val="20"/>
          <w:szCs w:val="20"/>
        </w:rPr>
        <w:t>).</w:t>
      </w:r>
    </w:p>
    <w:p w:rsidR="00FC4E51" w:rsidRPr="0031323F" w:rsidRDefault="00FC4E51" w:rsidP="007B109D">
      <w:pPr>
        <w:pStyle w:val="NoSpacing"/>
        <w:spacing w:line="480" w:lineRule="auto"/>
        <w:ind w:firstLine="567"/>
        <w:jc w:val="both"/>
        <w:rPr>
          <w:rFonts w:ascii="Arial" w:hAnsi="Arial" w:cs="Arial"/>
          <w:sz w:val="20"/>
          <w:szCs w:val="20"/>
        </w:rPr>
      </w:pPr>
      <w:r w:rsidRPr="0031323F">
        <w:rPr>
          <w:rFonts w:ascii="Arial" w:hAnsi="Arial" w:cs="Arial"/>
          <w:sz w:val="20"/>
          <w:szCs w:val="20"/>
        </w:rPr>
        <w:lastRenderedPageBreak/>
        <w:t>To gather initial insight the survey covered a range of items and response approaches across two sections</w:t>
      </w:r>
      <w:r w:rsidR="002D6713" w:rsidRPr="0031323F">
        <w:rPr>
          <w:rFonts w:ascii="Arial" w:hAnsi="Arial" w:cs="Arial"/>
          <w:sz w:val="20"/>
          <w:szCs w:val="20"/>
        </w:rPr>
        <w:t xml:space="preserve"> using 4-point </w:t>
      </w:r>
      <w:proofErr w:type="spellStart"/>
      <w:r w:rsidR="002D6713" w:rsidRPr="0031323F">
        <w:rPr>
          <w:rFonts w:ascii="Arial" w:hAnsi="Arial" w:cs="Arial"/>
          <w:sz w:val="20"/>
          <w:szCs w:val="20"/>
        </w:rPr>
        <w:t>Likert</w:t>
      </w:r>
      <w:proofErr w:type="spellEnd"/>
      <w:r w:rsidR="002D6713" w:rsidRPr="0031323F">
        <w:rPr>
          <w:rFonts w:ascii="Arial" w:hAnsi="Arial" w:cs="Arial"/>
          <w:sz w:val="20"/>
          <w:szCs w:val="20"/>
        </w:rPr>
        <w:t xml:space="preserve"> scales. In t</w:t>
      </w:r>
      <w:r w:rsidRPr="0031323F">
        <w:rPr>
          <w:rFonts w:ascii="Arial" w:hAnsi="Arial" w:cs="Arial"/>
          <w:sz w:val="20"/>
          <w:szCs w:val="20"/>
        </w:rPr>
        <w:t>he first section</w:t>
      </w:r>
      <w:r w:rsidR="006D52D8" w:rsidRPr="0031323F">
        <w:rPr>
          <w:rFonts w:ascii="Arial" w:hAnsi="Arial" w:cs="Arial"/>
          <w:sz w:val="20"/>
          <w:szCs w:val="20"/>
        </w:rPr>
        <w:t>,</w:t>
      </w:r>
      <w:r w:rsidRPr="0031323F">
        <w:rPr>
          <w:rFonts w:ascii="Arial" w:hAnsi="Arial" w:cs="Arial"/>
          <w:sz w:val="20"/>
          <w:szCs w:val="20"/>
        </w:rPr>
        <w:t xml:space="preserve"> </w:t>
      </w:r>
      <w:r w:rsidR="002D6713" w:rsidRPr="0031323F">
        <w:rPr>
          <w:rFonts w:ascii="Arial" w:hAnsi="Arial" w:cs="Arial"/>
          <w:sz w:val="20"/>
          <w:szCs w:val="20"/>
        </w:rPr>
        <w:t xml:space="preserve">questions were asked around the first writing activity </w:t>
      </w:r>
      <w:r w:rsidR="006D3374" w:rsidRPr="0031323F">
        <w:rPr>
          <w:rFonts w:ascii="Arial" w:hAnsi="Arial" w:cs="Arial"/>
          <w:sz w:val="20"/>
          <w:szCs w:val="20"/>
        </w:rPr>
        <w:t xml:space="preserve">and subsequent feedback access </w:t>
      </w:r>
      <w:r w:rsidR="002D6713" w:rsidRPr="0031323F">
        <w:rPr>
          <w:rFonts w:ascii="Arial" w:hAnsi="Arial" w:cs="Arial"/>
          <w:sz w:val="20"/>
          <w:szCs w:val="20"/>
        </w:rPr>
        <w:t>(Steps 1, 2 and 3). In the second section</w:t>
      </w:r>
      <w:r w:rsidR="006D52D8" w:rsidRPr="0031323F">
        <w:rPr>
          <w:rFonts w:ascii="Arial" w:hAnsi="Arial" w:cs="Arial"/>
          <w:sz w:val="20"/>
          <w:szCs w:val="20"/>
        </w:rPr>
        <w:t>,</w:t>
      </w:r>
      <w:r w:rsidR="002D6713" w:rsidRPr="0031323F">
        <w:rPr>
          <w:rFonts w:ascii="Arial" w:hAnsi="Arial" w:cs="Arial"/>
          <w:sz w:val="20"/>
          <w:szCs w:val="20"/>
        </w:rPr>
        <w:t xml:space="preserve"> questions were asked around post-feedback engagement (Step 4). This was then followed by open-ended response opportunities. </w:t>
      </w:r>
      <w:r w:rsidRPr="0031323F">
        <w:rPr>
          <w:rFonts w:ascii="Arial" w:hAnsi="Arial" w:cs="Arial"/>
          <w:sz w:val="20"/>
          <w:szCs w:val="20"/>
        </w:rPr>
        <w:t xml:space="preserve">Questions were asked about </w:t>
      </w:r>
      <w:r w:rsidR="002D6713" w:rsidRPr="0031323F">
        <w:rPr>
          <w:rFonts w:ascii="Arial" w:hAnsi="Arial" w:cs="Arial"/>
          <w:sz w:val="20"/>
          <w:szCs w:val="20"/>
        </w:rPr>
        <w:t xml:space="preserve">perceived ease, perceived usefulness of the training, confidence in relation to future work, and the impact of the training on transition experience. </w:t>
      </w:r>
      <w:r w:rsidR="009F3370" w:rsidRPr="0031323F">
        <w:rPr>
          <w:rFonts w:ascii="Arial" w:hAnsi="Arial" w:cs="Arial"/>
          <w:sz w:val="20"/>
          <w:szCs w:val="20"/>
        </w:rPr>
        <w:t>The survey</w:t>
      </w:r>
      <w:r w:rsidRPr="0031323F">
        <w:rPr>
          <w:rFonts w:ascii="Arial" w:hAnsi="Arial" w:cs="Arial"/>
          <w:sz w:val="20"/>
          <w:szCs w:val="20"/>
        </w:rPr>
        <w:t xml:space="preserve"> </w:t>
      </w:r>
      <w:r w:rsidR="009F3370" w:rsidRPr="0031323F">
        <w:rPr>
          <w:rFonts w:ascii="Arial" w:hAnsi="Arial" w:cs="Arial"/>
          <w:sz w:val="20"/>
          <w:szCs w:val="20"/>
        </w:rPr>
        <w:t xml:space="preserve">was </w:t>
      </w:r>
      <w:r w:rsidRPr="0031323F">
        <w:rPr>
          <w:rFonts w:ascii="Arial" w:hAnsi="Arial" w:cs="Arial"/>
          <w:sz w:val="20"/>
          <w:szCs w:val="20"/>
        </w:rPr>
        <w:t xml:space="preserve">distributed to students </w:t>
      </w:r>
      <w:r w:rsidR="009F3370" w:rsidRPr="0031323F">
        <w:rPr>
          <w:rFonts w:ascii="Arial" w:hAnsi="Arial" w:cs="Arial"/>
          <w:sz w:val="20"/>
          <w:szCs w:val="20"/>
        </w:rPr>
        <w:t xml:space="preserve">in hard copy </w:t>
      </w:r>
      <w:r w:rsidRPr="0031323F">
        <w:rPr>
          <w:rFonts w:ascii="Arial" w:hAnsi="Arial" w:cs="Arial"/>
          <w:sz w:val="20"/>
          <w:szCs w:val="20"/>
        </w:rPr>
        <w:t xml:space="preserve">during lectures. </w:t>
      </w:r>
      <w:r w:rsidR="009F3370" w:rsidRPr="0031323F">
        <w:rPr>
          <w:rFonts w:ascii="Arial" w:hAnsi="Arial" w:cs="Arial"/>
          <w:sz w:val="20"/>
          <w:szCs w:val="20"/>
        </w:rPr>
        <w:t>Participants</w:t>
      </w:r>
      <w:r w:rsidRPr="0031323F">
        <w:rPr>
          <w:rFonts w:ascii="Arial" w:hAnsi="Arial" w:cs="Arial"/>
          <w:sz w:val="20"/>
          <w:szCs w:val="20"/>
        </w:rPr>
        <w:t xml:space="preserve"> respo</w:t>
      </w:r>
      <w:r w:rsidR="009F3370" w:rsidRPr="0031323F">
        <w:rPr>
          <w:rFonts w:ascii="Arial" w:hAnsi="Arial" w:cs="Arial"/>
          <w:sz w:val="20"/>
          <w:szCs w:val="20"/>
        </w:rPr>
        <w:t>nded anonymously and the survey</w:t>
      </w:r>
      <w:r w:rsidRPr="0031323F">
        <w:rPr>
          <w:rFonts w:ascii="Arial" w:hAnsi="Arial" w:cs="Arial"/>
          <w:sz w:val="20"/>
          <w:szCs w:val="20"/>
        </w:rPr>
        <w:t xml:space="preserve"> took </w:t>
      </w:r>
      <w:r w:rsidR="009F3370" w:rsidRPr="0031323F">
        <w:rPr>
          <w:rFonts w:ascii="Arial" w:hAnsi="Arial" w:cs="Arial"/>
          <w:sz w:val="20"/>
          <w:szCs w:val="20"/>
        </w:rPr>
        <w:t>approximately</w:t>
      </w:r>
      <w:r w:rsidRPr="0031323F">
        <w:rPr>
          <w:rFonts w:ascii="Arial" w:hAnsi="Arial" w:cs="Arial"/>
          <w:sz w:val="20"/>
          <w:szCs w:val="20"/>
        </w:rPr>
        <w:t xml:space="preserve"> 10 minutes to complete.</w:t>
      </w:r>
      <w:r w:rsidR="00795F63" w:rsidRPr="0031323F">
        <w:rPr>
          <w:rFonts w:ascii="Arial" w:hAnsi="Arial" w:cs="Arial"/>
          <w:sz w:val="20"/>
          <w:szCs w:val="20"/>
        </w:rPr>
        <w:t xml:space="preserve"> </w:t>
      </w:r>
      <w:r w:rsidRPr="0031323F">
        <w:rPr>
          <w:rFonts w:ascii="Arial" w:hAnsi="Arial" w:cs="Arial"/>
          <w:sz w:val="20"/>
          <w:szCs w:val="20"/>
        </w:rPr>
        <w:t xml:space="preserve">To examine </w:t>
      </w:r>
      <w:r w:rsidR="00795F63" w:rsidRPr="0031323F">
        <w:rPr>
          <w:rFonts w:ascii="Arial" w:hAnsi="Arial" w:cs="Arial"/>
          <w:sz w:val="20"/>
          <w:szCs w:val="20"/>
        </w:rPr>
        <w:t xml:space="preserve">any significant relationships amongst the </w:t>
      </w:r>
      <w:proofErr w:type="spellStart"/>
      <w:r w:rsidR="00795F63" w:rsidRPr="0031323F">
        <w:rPr>
          <w:rFonts w:ascii="Arial" w:hAnsi="Arial" w:cs="Arial"/>
          <w:sz w:val="20"/>
          <w:szCs w:val="20"/>
        </w:rPr>
        <w:t>Likert</w:t>
      </w:r>
      <w:proofErr w:type="spellEnd"/>
      <w:r w:rsidR="00795F63" w:rsidRPr="0031323F">
        <w:rPr>
          <w:rFonts w:ascii="Arial" w:hAnsi="Arial" w:cs="Arial"/>
          <w:sz w:val="20"/>
          <w:szCs w:val="20"/>
        </w:rPr>
        <w:t xml:space="preserve"> items, Kendall’s tau co</w:t>
      </w:r>
      <w:r w:rsidR="00F656C7" w:rsidRPr="0031323F">
        <w:rPr>
          <w:rFonts w:ascii="Arial" w:hAnsi="Arial" w:cs="Arial"/>
          <w:sz w:val="20"/>
          <w:szCs w:val="20"/>
        </w:rPr>
        <w:t>rrelations were run using SPSS.</w:t>
      </w:r>
    </w:p>
    <w:p w:rsidR="00234E39" w:rsidRPr="0031323F" w:rsidRDefault="00234E39" w:rsidP="00234E39">
      <w:pPr>
        <w:spacing w:line="480" w:lineRule="auto"/>
        <w:rPr>
          <w:rFonts w:ascii="Arial" w:hAnsi="Arial" w:cs="Arial"/>
          <w:sz w:val="20"/>
          <w:szCs w:val="20"/>
          <w:highlight w:val="yellow"/>
        </w:rPr>
      </w:pPr>
    </w:p>
    <w:p w:rsidR="00FC4E51" w:rsidRPr="0031323F" w:rsidRDefault="00FC4E51" w:rsidP="00234E39">
      <w:pPr>
        <w:spacing w:line="480" w:lineRule="auto"/>
        <w:rPr>
          <w:rFonts w:ascii="Arial" w:hAnsi="Arial" w:cs="Arial"/>
          <w:b/>
          <w:i/>
          <w:sz w:val="20"/>
          <w:szCs w:val="20"/>
        </w:rPr>
      </w:pPr>
      <w:r w:rsidRPr="0031323F">
        <w:rPr>
          <w:rFonts w:ascii="Arial" w:hAnsi="Arial" w:cs="Arial"/>
          <w:i/>
          <w:sz w:val="20"/>
          <w:szCs w:val="20"/>
        </w:rPr>
        <w:t>Focus groups</w:t>
      </w:r>
    </w:p>
    <w:p w:rsidR="00FC4E51" w:rsidRPr="0031323F" w:rsidRDefault="00FC4E51" w:rsidP="00234E39">
      <w:pPr>
        <w:spacing w:line="480" w:lineRule="auto"/>
        <w:rPr>
          <w:rFonts w:ascii="Arial" w:hAnsi="Arial" w:cs="Arial"/>
          <w:sz w:val="20"/>
          <w:szCs w:val="20"/>
        </w:rPr>
      </w:pPr>
    </w:p>
    <w:p w:rsidR="00E27CF7" w:rsidRPr="0031323F" w:rsidRDefault="00FC4E51" w:rsidP="00234E39">
      <w:pPr>
        <w:pStyle w:val="NoSpacing"/>
        <w:spacing w:line="480" w:lineRule="auto"/>
        <w:ind w:firstLine="567"/>
        <w:jc w:val="both"/>
        <w:rPr>
          <w:rFonts w:ascii="Arial" w:hAnsi="Arial" w:cs="Arial"/>
          <w:sz w:val="20"/>
          <w:szCs w:val="20"/>
        </w:rPr>
      </w:pPr>
      <w:r w:rsidRPr="0031323F">
        <w:rPr>
          <w:rFonts w:ascii="Arial" w:hAnsi="Arial" w:cs="Arial"/>
          <w:sz w:val="20"/>
          <w:szCs w:val="20"/>
        </w:rPr>
        <w:t xml:space="preserve">Out of the </w:t>
      </w:r>
      <w:r w:rsidR="00B13696" w:rsidRPr="0031323F">
        <w:rPr>
          <w:rFonts w:ascii="Arial" w:hAnsi="Arial" w:cs="Arial"/>
          <w:sz w:val="20"/>
          <w:szCs w:val="20"/>
        </w:rPr>
        <w:t>62</w:t>
      </w:r>
      <w:r w:rsidRPr="0031323F">
        <w:rPr>
          <w:rFonts w:ascii="Arial" w:hAnsi="Arial" w:cs="Arial"/>
          <w:sz w:val="20"/>
          <w:szCs w:val="20"/>
        </w:rPr>
        <w:t xml:space="preserve"> students who completed the survey, 8 participants were invited to take part in one of </w:t>
      </w:r>
      <w:r w:rsidR="00B13696" w:rsidRPr="0031323F">
        <w:rPr>
          <w:rFonts w:ascii="Arial" w:hAnsi="Arial" w:cs="Arial"/>
          <w:sz w:val="20"/>
          <w:szCs w:val="20"/>
        </w:rPr>
        <w:t>two</w:t>
      </w:r>
      <w:r w:rsidRPr="0031323F">
        <w:rPr>
          <w:rFonts w:ascii="Arial" w:hAnsi="Arial" w:cs="Arial"/>
          <w:sz w:val="20"/>
          <w:szCs w:val="20"/>
        </w:rPr>
        <w:t xml:space="preserve"> focus groups</w:t>
      </w:r>
      <w:r w:rsidR="00FD5292" w:rsidRPr="0031323F">
        <w:rPr>
          <w:rFonts w:ascii="Arial" w:hAnsi="Arial" w:cs="Arial"/>
          <w:sz w:val="20"/>
          <w:szCs w:val="20"/>
        </w:rPr>
        <w:t xml:space="preserve"> (Groups 1 and 2)</w:t>
      </w:r>
      <w:r w:rsidR="00B13696" w:rsidRPr="0031323F">
        <w:rPr>
          <w:rFonts w:ascii="Arial" w:hAnsi="Arial" w:cs="Arial"/>
          <w:sz w:val="20"/>
          <w:szCs w:val="20"/>
        </w:rPr>
        <w:t>, with 4 participants in each</w:t>
      </w:r>
      <w:r w:rsidRPr="0031323F">
        <w:rPr>
          <w:rFonts w:ascii="Arial" w:hAnsi="Arial" w:cs="Arial"/>
          <w:sz w:val="20"/>
          <w:szCs w:val="20"/>
        </w:rPr>
        <w:t>. Selection was made to represent the student body as closely as possible</w:t>
      </w:r>
      <w:r w:rsidR="00B13696" w:rsidRPr="0031323F">
        <w:rPr>
          <w:rFonts w:ascii="Arial" w:hAnsi="Arial" w:cs="Arial"/>
          <w:sz w:val="20"/>
          <w:szCs w:val="20"/>
        </w:rPr>
        <w:t xml:space="preserve"> in terms of gender </w:t>
      </w:r>
      <w:r w:rsidR="00E27CF7" w:rsidRPr="0031323F">
        <w:rPr>
          <w:rFonts w:ascii="Arial" w:hAnsi="Arial" w:cs="Arial"/>
          <w:sz w:val="20"/>
          <w:szCs w:val="20"/>
        </w:rPr>
        <w:t>(6</w:t>
      </w:r>
      <w:r w:rsidR="00B13696" w:rsidRPr="0031323F">
        <w:rPr>
          <w:rFonts w:ascii="Arial" w:hAnsi="Arial" w:cs="Arial"/>
          <w:sz w:val="20"/>
          <w:szCs w:val="20"/>
        </w:rPr>
        <w:t xml:space="preserve"> female) and age </w:t>
      </w:r>
      <w:r w:rsidR="0005751C" w:rsidRPr="0031323F">
        <w:rPr>
          <w:rFonts w:ascii="Arial" w:hAnsi="Arial" w:cs="Arial"/>
          <w:sz w:val="20"/>
          <w:szCs w:val="20"/>
        </w:rPr>
        <w:t xml:space="preserve">group </w:t>
      </w:r>
      <w:r w:rsidR="00B13696" w:rsidRPr="0031323F">
        <w:rPr>
          <w:rFonts w:ascii="Arial" w:hAnsi="Arial" w:cs="Arial"/>
          <w:sz w:val="20"/>
          <w:szCs w:val="20"/>
        </w:rPr>
        <w:t>(</w:t>
      </w:r>
      <w:r w:rsidR="00E27CF7" w:rsidRPr="0031323F">
        <w:rPr>
          <w:rFonts w:ascii="Arial" w:hAnsi="Arial" w:cs="Arial"/>
          <w:sz w:val="20"/>
          <w:szCs w:val="20"/>
        </w:rPr>
        <w:t>7</w:t>
      </w:r>
      <w:r w:rsidR="00B13696" w:rsidRPr="0031323F">
        <w:rPr>
          <w:rFonts w:ascii="Arial" w:hAnsi="Arial" w:cs="Arial"/>
          <w:sz w:val="20"/>
          <w:szCs w:val="20"/>
        </w:rPr>
        <w:t xml:space="preserve"> aged 18-20 at start of course).</w:t>
      </w:r>
      <w:r w:rsidR="00E27CF7" w:rsidRPr="0031323F">
        <w:rPr>
          <w:rFonts w:ascii="Arial" w:hAnsi="Arial" w:cs="Arial"/>
          <w:sz w:val="20"/>
          <w:szCs w:val="20"/>
        </w:rPr>
        <w:t xml:space="preserve"> While recommended focus group sizes are typically five or six participants (cf. Krueger and Casey, 2014) the requirement of specific participants meant that organising appropriate times to conduct a single group presented a challenge. A further focus group </w:t>
      </w:r>
      <w:r w:rsidR="00FD5292" w:rsidRPr="0031323F">
        <w:rPr>
          <w:rFonts w:ascii="Arial" w:hAnsi="Arial" w:cs="Arial"/>
          <w:sz w:val="20"/>
          <w:szCs w:val="20"/>
        </w:rPr>
        <w:t xml:space="preserve">(Group 3) </w:t>
      </w:r>
      <w:r w:rsidR="00E27CF7" w:rsidRPr="0031323F">
        <w:rPr>
          <w:rFonts w:ascii="Arial" w:hAnsi="Arial" w:cs="Arial"/>
          <w:sz w:val="20"/>
          <w:szCs w:val="20"/>
        </w:rPr>
        <w:t>was run with 4 students who were from the same programme but who had not taken the particular module.</w:t>
      </w:r>
      <w:r w:rsidR="00FD5292" w:rsidRPr="0031323F">
        <w:rPr>
          <w:rFonts w:ascii="Arial" w:hAnsi="Arial" w:cs="Arial"/>
          <w:sz w:val="20"/>
          <w:szCs w:val="20"/>
        </w:rPr>
        <w:t xml:space="preserve"> Data are presented according to focus group and participant number in that group (e.g. the first participant from the first focus group is referred to as 1.1).</w:t>
      </w:r>
    </w:p>
    <w:p w:rsidR="00FC4E51" w:rsidRPr="0031323F" w:rsidRDefault="00E27CF7" w:rsidP="00234E39">
      <w:pPr>
        <w:pStyle w:val="NoSpacing"/>
        <w:spacing w:line="480" w:lineRule="auto"/>
        <w:ind w:firstLine="567"/>
        <w:jc w:val="both"/>
        <w:rPr>
          <w:rFonts w:ascii="Arial" w:hAnsi="Arial" w:cs="Arial"/>
          <w:sz w:val="20"/>
          <w:szCs w:val="20"/>
        </w:rPr>
      </w:pPr>
      <w:r w:rsidRPr="0031323F">
        <w:rPr>
          <w:rFonts w:ascii="Arial" w:hAnsi="Arial" w:cs="Arial"/>
          <w:sz w:val="20"/>
          <w:szCs w:val="20"/>
        </w:rPr>
        <w:t>The f</w:t>
      </w:r>
      <w:r w:rsidR="00FC4E51" w:rsidRPr="0031323F">
        <w:rPr>
          <w:rFonts w:ascii="Arial" w:hAnsi="Arial" w:cs="Arial"/>
          <w:sz w:val="20"/>
          <w:szCs w:val="20"/>
        </w:rPr>
        <w:t>ocus groups were facilitated by the</w:t>
      </w:r>
      <w:r w:rsidRPr="0031323F">
        <w:rPr>
          <w:rFonts w:ascii="Arial" w:hAnsi="Arial" w:cs="Arial"/>
          <w:sz w:val="20"/>
          <w:szCs w:val="20"/>
        </w:rPr>
        <w:t xml:space="preserve"> researcher, using</w:t>
      </w:r>
      <w:r w:rsidR="00FC4E51" w:rsidRPr="0031323F">
        <w:rPr>
          <w:rFonts w:ascii="Arial" w:hAnsi="Arial" w:cs="Arial"/>
          <w:sz w:val="20"/>
          <w:szCs w:val="20"/>
        </w:rPr>
        <w:t xml:space="preserve"> a pre-determined set of questions to guide the participant interaction. </w:t>
      </w:r>
      <w:r w:rsidR="00583EAE" w:rsidRPr="0031323F">
        <w:rPr>
          <w:rFonts w:ascii="Arial" w:hAnsi="Arial" w:cs="Arial"/>
          <w:sz w:val="20"/>
          <w:szCs w:val="20"/>
        </w:rPr>
        <w:t>In relation to the training or lack thereof, p</w:t>
      </w:r>
      <w:r w:rsidR="00FC4E51" w:rsidRPr="0031323F">
        <w:rPr>
          <w:rFonts w:ascii="Arial" w:hAnsi="Arial" w:cs="Arial"/>
          <w:sz w:val="20"/>
          <w:szCs w:val="20"/>
        </w:rPr>
        <w:t>articipants were asked to discuss the</w:t>
      </w:r>
      <w:r w:rsidR="00583EAE" w:rsidRPr="0031323F">
        <w:rPr>
          <w:rFonts w:ascii="Arial" w:hAnsi="Arial" w:cs="Arial"/>
          <w:sz w:val="20"/>
          <w:szCs w:val="20"/>
        </w:rPr>
        <w:t xml:space="preserve"> initial experiences of </w:t>
      </w:r>
      <w:r w:rsidR="009A6635" w:rsidRPr="0031323F">
        <w:rPr>
          <w:rFonts w:ascii="Arial" w:hAnsi="Arial" w:cs="Arial"/>
          <w:sz w:val="20"/>
          <w:szCs w:val="20"/>
        </w:rPr>
        <w:t xml:space="preserve">working with </w:t>
      </w:r>
      <w:proofErr w:type="spellStart"/>
      <w:r w:rsidR="009A6635" w:rsidRPr="0031323F">
        <w:rPr>
          <w:rFonts w:ascii="Arial" w:hAnsi="Arial" w:cs="Arial"/>
          <w:sz w:val="20"/>
          <w:szCs w:val="20"/>
        </w:rPr>
        <w:t>Turnitin</w:t>
      </w:r>
      <w:proofErr w:type="spellEnd"/>
      <w:r w:rsidR="009A6635" w:rsidRPr="0031323F">
        <w:rPr>
          <w:rFonts w:ascii="Arial" w:hAnsi="Arial" w:cs="Arial"/>
          <w:sz w:val="20"/>
          <w:szCs w:val="20"/>
        </w:rPr>
        <w:t xml:space="preserve"> and </w:t>
      </w:r>
      <w:proofErr w:type="spellStart"/>
      <w:r w:rsidR="009A6635" w:rsidRPr="0031323F">
        <w:rPr>
          <w:rFonts w:ascii="Arial" w:hAnsi="Arial" w:cs="Arial"/>
          <w:sz w:val="20"/>
          <w:szCs w:val="20"/>
        </w:rPr>
        <w:t>Grademark</w:t>
      </w:r>
      <w:proofErr w:type="spellEnd"/>
      <w:r w:rsidR="00583EAE" w:rsidRPr="0031323F">
        <w:rPr>
          <w:rFonts w:ascii="Arial" w:hAnsi="Arial" w:cs="Arial"/>
          <w:sz w:val="20"/>
          <w:szCs w:val="20"/>
        </w:rPr>
        <w:t xml:space="preserve">, their relationship with the online marker, and the overall transition into higher education. </w:t>
      </w:r>
      <w:r w:rsidRPr="0031323F">
        <w:rPr>
          <w:rFonts w:ascii="Arial" w:hAnsi="Arial" w:cs="Arial"/>
          <w:sz w:val="20"/>
          <w:szCs w:val="20"/>
        </w:rPr>
        <w:t>Each session</w:t>
      </w:r>
      <w:r w:rsidR="00FC4E51" w:rsidRPr="0031323F">
        <w:rPr>
          <w:rFonts w:ascii="Arial" w:hAnsi="Arial" w:cs="Arial"/>
          <w:sz w:val="20"/>
          <w:szCs w:val="20"/>
        </w:rPr>
        <w:t xml:space="preserve"> lasted for around half an hour. All sessions were video recorded to ease the process of transcription.</w:t>
      </w:r>
      <w:r w:rsidR="00795F63" w:rsidRPr="0031323F">
        <w:rPr>
          <w:rFonts w:ascii="Arial" w:hAnsi="Arial" w:cs="Arial"/>
          <w:sz w:val="20"/>
          <w:szCs w:val="20"/>
        </w:rPr>
        <w:t xml:space="preserve"> </w:t>
      </w:r>
      <w:r w:rsidR="00FC4E51" w:rsidRPr="0031323F">
        <w:rPr>
          <w:rFonts w:ascii="Arial" w:hAnsi="Arial" w:cs="Arial"/>
          <w:sz w:val="20"/>
          <w:szCs w:val="20"/>
        </w:rPr>
        <w:t xml:space="preserve">After completion of the focus groups, the transcripts were analysed by drawing on a grounded theory approach (see e.g. </w:t>
      </w:r>
      <w:proofErr w:type="spellStart"/>
      <w:r w:rsidR="00FC4E51" w:rsidRPr="0031323F">
        <w:rPr>
          <w:rFonts w:ascii="Arial" w:hAnsi="Arial" w:cs="Arial"/>
          <w:sz w:val="20"/>
          <w:szCs w:val="20"/>
        </w:rPr>
        <w:t>Charmaz</w:t>
      </w:r>
      <w:proofErr w:type="spellEnd"/>
      <w:r w:rsidR="00FC4E51" w:rsidRPr="0031323F">
        <w:rPr>
          <w:rFonts w:ascii="Arial" w:hAnsi="Arial" w:cs="Arial"/>
          <w:sz w:val="20"/>
          <w:szCs w:val="20"/>
        </w:rPr>
        <w:t xml:space="preserve">, 2014; Corbin and Strauss, 2014). Transcripts were </w:t>
      </w:r>
      <w:r w:rsidR="00863FB5" w:rsidRPr="0031323F">
        <w:rPr>
          <w:rFonts w:ascii="Arial" w:hAnsi="Arial" w:cs="Arial"/>
          <w:sz w:val="20"/>
          <w:szCs w:val="20"/>
        </w:rPr>
        <w:t xml:space="preserve">first openly </w:t>
      </w:r>
      <w:r w:rsidR="00FC4E51" w:rsidRPr="0031323F">
        <w:rPr>
          <w:rFonts w:ascii="Arial" w:hAnsi="Arial" w:cs="Arial"/>
          <w:sz w:val="20"/>
          <w:szCs w:val="20"/>
        </w:rPr>
        <w:t xml:space="preserve">coded </w:t>
      </w:r>
      <w:r w:rsidR="00863FB5" w:rsidRPr="0031323F">
        <w:rPr>
          <w:rFonts w:ascii="Arial" w:hAnsi="Arial" w:cs="Arial"/>
          <w:sz w:val="20"/>
          <w:szCs w:val="20"/>
        </w:rPr>
        <w:t xml:space="preserve">by </w:t>
      </w:r>
      <w:r w:rsidR="00FC4E51" w:rsidRPr="0031323F">
        <w:rPr>
          <w:rFonts w:ascii="Arial" w:hAnsi="Arial" w:cs="Arial"/>
          <w:sz w:val="20"/>
          <w:szCs w:val="20"/>
        </w:rPr>
        <w:t>reading and re-reading the transcripts</w:t>
      </w:r>
      <w:r w:rsidR="00863FB5" w:rsidRPr="0031323F">
        <w:rPr>
          <w:rFonts w:ascii="Arial" w:hAnsi="Arial" w:cs="Arial"/>
          <w:sz w:val="20"/>
          <w:szCs w:val="20"/>
        </w:rPr>
        <w:t>,</w:t>
      </w:r>
      <w:r w:rsidR="00FC4E51" w:rsidRPr="0031323F">
        <w:rPr>
          <w:rFonts w:ascii="Arial" w:hAnsi="Arial" w:cs="Arial"/>
          <w:sz w:val="20"/>
          <w:szCs w:val="20"/>
        </w:rPr>
        <w:t xml:space="preserve"> and identifying all emerging instances of attitudes, feelings, ideas, thoughts and experiences repeated multiple times. These were constantly compared within and across </w:t>
      </w:r>
      <w:r w:rsidR="00FC4E51" w:rsidRPr="0031323F">
        <w:rPr>
          <w:rFonts w:ascii="Arial" w:hAnsi="Arial" w:cs="Arial"/>
          <w:sz w:val="20"/>
          <w:szCs w:val="20"/>
        </w:rPr>
        <w:lastRenderedPageBreak/>
        <w:t xml:space="preserve">transcripts. This was done until theoretical saturation had been reached. Memos were written alongside the extraction of codes. </w:t>
      </w:r>
      <w:r w:rsidR="0045063A" w:rsidRPr="0031323F">
        <w:rPr>
          <w:rFonts w:ascii="Arial" w:hAnsi="Arial" w:cs="Arial"/>
          <w:sz w:val="20"/>
          <w:szCs w:val="20"/>
        </w:rPr>
        <w:t>Then d</w:t>
      </w:r>
      <w:r w:rsidR="00FC4E51" w:rsidRPr="0031323F">
        <w:rPr>
          <w:rFonts w:ascii="Arial" w:hAnsi="Arial" w:cs="Arial"/>
          <w:sz w:val="20"/>
          <w:szCs w:val="20"/>
        </w:rPr>
        <w:t>uring axial coding the initial codes were grouped to form thematic relati</w:t>
      </w:r>
      <w:r w:rsidR="0045063A" w:rsidRPr="0031323F">
        <w:rPr>
          <w:rFonts w:ascii="Arial" w:hAnsi="Arial" w:cs="Arial"/>
          <w:sz w:val="20"/>
          <w:szCs w:val="20"/>
        </w:rPr>
        <w:t>onships. F</w:t>
      </w:r>
      <w:r w:rsidR="00FC4E51" w:rsidRPr="0031323F">
        <w:rPr>
          <w:rFonts w:ascii="Arial" w:hAnsi="Arial" w:cs="Arial"/>
          <w:sz w:val="20"/>
          <w:szCs w:val="20"/>
        </w:rPr>
        <w:t xml:space="preserve">inally, central and peripheral themes </w:t>
      </w:r>
      <w:r w:rsidR="0045063A" w:rsidRPr="0031323F">
        <w:rPr>
          <w:rFonts w:ascii="Arial" w:hAnsi="Arial" w:cs="Arial"/>
          <w:sz w:val="20"/>
          <w:szCs w:val="20"/>
        </w:rPr>
        <w:t xml:space="preserve">and relationships between themes </w:t>
      </w:r>
      <w:r w:rsidR="00FC4E51" w:rsidRPr="0031323F">
        <w:rPr>
          <w:rFonts w:ascii="Arial" w:hAnsi="Arial" w:cs="Arial"/>
          <w:sz w:val="20"/>
          <w:szCs w:val="20"/>
        </w:rPr>
        <w:t xml:space="preserve">were </w:t>
      </w:r>
      <w:r w:rsidR="0045063A" w:rsidRPr="0031323F">
        <w:rPr>
          <w:rFonts w:ascii="Arial" w:hAnsi="Arial" w:cs="Arial"/>
          <w:sz w:val="20"/>
          <w:szCs w:val="20"/>
        </w:rPr>
        <w:t>established through selective coding</w:t>
      </w:r>
      <w:r w:rsidR="00FC4E51" w:rsidRPr="0031323F">
        <w:rPr>
          <w:rFonts w:ascii="Arial" w:hAnsi="Arial" w:cs="Arial"/>
          <w:sz w:val="20"/>
          <w:szCs w:val="20"/>
        </w:rPr>
        <w:t>.</w:t>
      </w:r>
    </w:p>
    <w:p w:rsidR="001979B9" w:rsidRPr="0031323F" w:rsidRDefault="001979B9" w:rsidP="00234E39">
      <w:pPr>
        <w:spacing w:line="480" w:lineRule="auto"/>
        <w:rPr>
          <w:rFonts w:ascii="Arial" w:hAnsi="Arial" w:cs="Arial"/>
          <w:sz w:val="20"/>
          <w:szCs w:val="20"/>
        </w:rPr>
      </w:pPr>
    </w:p>
    <w:p w:rsidR="001979B9" w:rsidRPr="0031323F" w:rsidRDefault="00C247C0" w:rsidP="00234E39">
      <w:pPr>
        <w:spacing w:line="480" w:lineRule="auto"/>
        <w:rPr>
          <w:rFonts w:ascii="Arial" w:hAnsi="Arial" w:cs="Arial"/>
          <w:b/>
          <w:sz w:val="20"/>
          <w:szCs w:val="20"/>
        </w:rPr>
      </w:pPr>
      <w:r w:rsidRPr="0031323F">
        <w:rPr>
          <w:rFonts w:ascii="Arial" w:hAnsi="Arial" w:cs="Arial"/>
          <w:b/>
          <w:sz w:val="20"/>
          <w:szCs w:val="20"/>
        </w:rPr>
        <w:t>Results</w:t>
      </w:r>
      <w:r w:rsidR="00F20F67" w:rsidRPr="0031323F">
        <w:rPr>
          <w:rFonts w:ascii="Arial" w:hAnsi="Arial" w:cs="Arial"/>
          <w:b/>
          <w:sz w:val="20"/>
          <w:szCs w:val="20"/>
        </w:rPr>
        <w:t xml:space="preserve"> and discussion</w:t>
      </w:r>
    </w:p>
    <w:p w:rsidR="00ED5407" w:rsidRPr="0031323F" w:rsidRDefault="00ED5407" w:rsidP="00234E39">
      <w:pPr>
        <w:spacing w:line="480" w:lineRule="auto"/>
        <w:rPr>
          <w:rFonts w:ascii="Arial" w:hAnsi="Arial" w:cs="Arial"/>
          <w:sz w:val="20"/>
          <w:szCs w:val="20"/>
        </w:rPr>
      </w:pPr>
    </w:p>
    <w:p w:rsidR="003114CF" w:rsidRPr="0031323F" w:rsidRDefault="00E94FBD" w:rsidP="00234E39">
      <w:pPr>
        <w:spacing w:line="480" w:lineRule="auto"/>
        <w:rPr>
          <w:rFonts w:ascii="Arial" w:hAnsi="Arial" w:cs="Arial"/>
          <w:b/>
          <w:i/>
          <w:sz w:val="20"/>
          <w:szCs w:val="20"/>
        </w:rPr>
      </w:pPr>
      <w:r w:rsidRPr="0031323F">
        <w:rPr>
          <w:rFonts w:ascii="Arial" w:hAnsi="Arial" w:cs="Arial"/>
          <w:i/>
          <w:sz w:val="20"/>
          <w:szCs w:val="20"/>
        </w:rPr>
        <w:t xml:space="preserve">Perceived need for </w:t>
      </w:r>
      <w:r w:rsidR="003114CF" w:rsidRPr="0031323F">
        <w:rPr>
          <w:rFonts w:ascii="Arial" w:hAnsi="Arial" w:cs="Arial"/>
          <w:i/>
          <w:sz w:val="20"/>
          <w:szCs w:val="20"/>
        </w:rPr>
        <w:t>training</w:t>
      </w:r>
    </w:p>
    <w:p w:rsidR="00E97B28" w:rsidRPr="0031323F" w:rsidRDefault="00E97B28" w:rsidP="00234E39">
      <w:pPr>
        <w:spacing w:line="480" w:lineRule="auto"/>
        <w:rPr>
          <w:rFonts w:ascii="Arial" w:hAnsi="Arial" w:cs="Arial"/>
          <w:sz w:val="20"/>
          <w:szCs w:val="20"/>
        </w:rPr>
      </w:pPr>
    </w:p>
    <w:p w:rsidR="00721F53" w:rsidRPr="0031323F" w:rsidRDefault="00E97B28" w:rsidP="00234E39">
      <w:pPr>
        <w:pStyle w:val="NoSpacing"/>
        <w:spacing w:line="480" w:lineRule="auto"/>
        <w:ind w:firstLine="567"/>
        <w:jc w:val="both"/>
        <w:rPr>
          <w:rFonts w:ascii="Arial" w:hAnsi="Arial" w:cs="Arial"/>
          <w:sz w:val="20"/>
          <w:szCs w:val="20"/>
        </w:rPr>
      </w:pPr>
      <w:r w:rsidRPr="0031323F">
        <w:rPr>
          <w:rFonts w:ascii="Arial" w:hAnsi="Arial" w:cs="Arial"/>
          <w:sz w:val="20"/>
          <w:szCs w:val="20"/>
        </w:rPr>
        <w:t xml:space="preserve">When asked about their experiences of working with </w:t>
      </w:r>
      <w:r w:rsidR="00B26946" w:rsidRPr="0031323F">
        <w:rPr>
          <w:rFonts w:ascii="Arial" w:hAnsi="Arial" w:cs="Arial"/>
          <w:sz w:val="20"/>
          <w:szCs w:val="20"/>
        </w:rPr>
        <w:t>online feedback</w:t>
      </w:r>
      <w:r w:rsidRPr="0031323F">
        <w:rPr>
          <w:rFonts w:ascii="Arial" w:hAnsi="Arial" w:cs="Arial"/>
          <w:sz w:val="20"/>
          <w:szCs w:val="20"/>
        </w:rPr>
        <w:t xml:space="preserve">, students who had not taken the learning skills module indicated that </w:t>
      </w:r>
      <w:r w:rsidR="00C72FD0" w:rsidRPr="0031323F">
        <w:rPr>
          <w:rFonts w:ascii="Arial" w:hAnsi="Arial" w:cs="Arial"/>
          <w:sz w:val="20"/>
          <w:szCs w:val="20"/>
        </w:rPr>
        <w:t>‘</w:t>
      </w:r>
      <w:r w:rsidR="00FD5292" w:rsidRPr="0031323F">
        <w:rPr>
          <w:rFonts w:ascii="Arial" w:hAnsi="Arial" w:cs="Arial"/>
          <w:i/>
          <w:sz w:val="20"/>
          <w:szCs w:val="20"/>
        </w:rPr>
        <w:t>i</w:t>
      </w:r>
      <w:r w:rsidR="00C72FD0" w:rsidRPr="0031323F">
        <w:rPr>
          <w:rFonts w:ascii="Arial" w:hAnsi="Arial" w:cs="Arial"/>
          <w:i/>
          <w:sz w:val="20"/>
          <w:szCs w:val="20"/>
        </w:rPr>
        <w:t>t was quite hard without having like a proper training</w:t>
      </w:r>
      <w:r w:rsidR="00C72FD0" w:rsidRPr="0031323F">
        <w:rPr>
          <w:rFonts w:ascii="Arial" w:hAnsi="Arial" w:cs="Arial"/>
          <w:sz w:val="20"/>
          <w:szCs w:val="20"/>
        </w:rPr>
        <w:t>’</w:t>
      </w:r>
      <w:r w:rsidR="00FD5292" w:rsidRPr="0031323F">
        <w:rPr>
          <w:rFonts w:ascii="Arial" w:hAnsi="Arial" w:cs="Arial"/>
          <w:sz w:val="20"/>
          <w:szCs w:val="20"/>
        </w:rPr>
        <w:t xml:space="preserve"> (</w:t>
      </w:r>
      <w:r w:rsidR="00AC767B" w:rsidRPr="0031323F">
        <w:rPr>
          <w:rFonts w:ascii="Arial" w:hAnsi="Arial" w:cs="Arial"/>
          <w:sz w:val="20"/>
          <w:szCs w:val="20"/>
        </w:rPr>
        <w:t>P</w:t>
      </w:r>
      <w:r w:rsidR="00FD5292" w:rsidRPr="0031323F">
        <w:rPr>
          <w:rFonts w:ascii="Arial" w:hAnsi="Arial" w:cs="Arial"/>
          <w:sz w:val="20"/>
          <w:szCs w:val="20"/>
        </w:rPr>
        <w:t xml:space="preserve">articipant 3.1). Even though all participants in </w:t>
      </w:r>
      <w:r w:rsidR="00F626C6">
        <w:rPr>
          <w:rFonts w:ascii="Arial" w:hAnsi="Arial" w:cs="Arial"/>
          <w:sz w:val="20"/>
          <w:szCs w:val="20"/>
        </w:rPr>
        <w:t>Group 3</w:t>
      </w:r>
      <w:r w:rsidR="00FD5292" w:rsidRPr="0031323F">
        <w:rPr>
          <w:rFonts w:ascii="Arial" w:hAnsi="Arial" w:cs="Arial"/>
          <w:sz w:val="20"/>
          <w:szCs w:val="20"/>
        </w:rPr>
        <w:t xml:space="preserve"> had received some basic form of instruction through their other modules on how to </w:t>
      </w:r>
      <w:r w:rsidR="00B26946" w:rsidRPr="0031323F">
        <w:rPr>
          <w:rFonts w:ascii="Arial" w:hAnsi="Arial" w:cs="Arial"/>
          <w:sz w:val="20"/>
          <w:szCs w:val="20"/>
        </w:rPr>
        <w:t>submit work to</w:t>
      </w:r>
      <w:r w:rsidR="00FD5292" w:rsidRPr="0031323F">
        <w:rPr>
          <w:rFonts w:ascii="Arial" w:hAnsi="Arial" w:cs="Arial"/>
          <w:sz w:val="20"/>
          <w:szCs w:val="20"/>
        </w:rPr>
        <w:t xml:space="preserve"> </w:t>
      </w:r>
      <w:proofErr w:type="spellStart"/>
      <w:r w:rsidR="00FD5292" w:rsidRPr="0031323F">
        <w:rPr>
          <w:rFonts w:ascii="Arial" w:hAnsi="Arial" w:cs="Arial"/>
          <w:sz w:val="20"/>
          <w:szCs w:val="20"/>
        </w:rPr>
        <w:t>Turnitin</w:t>
      </w:r>
      <w:proofErr w:type="spellEnd"/>
      <w:r w:rsidR="00FD5292" w:rsidRPr="0031323F">
        <w:rPr>
          <w:rFonts w:ascii="Arial" w:hAnsi="Arial" w:cs="Arial"/>
          <w:sz w:val="20"/>
          <w:szCs w:val="20"/>
        </w:rPr>
        <w:t xml:space="preserve">, they felt specific in-depth training was needed. As </w:t>
      </w:r>
      <w:r w:rsidR="00AC767B" w:rsidRPr="0031323F">
        <w:rPr>
          <w:rFonts w:ascii="Arial" w:hAnsi="Arial" w:cs="Arial"/>
          <w:sz w:val="20"/>
          <w:szCs w:val="20"/>
        </w:rPr>
        <w:t>P</w:t>
      </w:r>
      <w:r w:rsidR="00FD5292" w:rsidRPr="0031323F">
        <w:rPr>
          <w:rFonts w:ascii="Arial" w:hAnsi="Arial" w:cs="Arial"/>
          <w:sz w:val="20"/>
          <w:szCs w:val="20"/>
        </w:rPr>
        <w:t xml:space="preserve">articipant </w:t>
      </w:r>
      <w:r w:rsidR="00AA02E7" w:rsidRPr="0031323F">
        <w:rPr>
          <w:rFonts w:ascii="Arial" w:hAnsi="Arial" w:cs="Arial"/>
          <w:sz w:val="20"/>
          <w:szCs w:val="20"/>
        </w:rPr>
        <w:t>3.3</w:t>
      </w:r>
      <w:r w:rsidR="00FD5292" w:rsidRPr="0031323F">
        <w:rPr>
          <w:rFonts w:ascii="Arial" w:hAnsi="Arial" w:cs="Arial"/>
          <w:sz w:val="20"/>
          <w:szCs w:val="20"/>
        </w:rPr>
        <w:t xml:space="preserve"> pointed out, </w:t>
      </w:r>
      <w:r w:rsidR="00C72FD0" w:rsidRPr="0031323F">
        <w:rPr>
          <w:rFonts w:ascii="Arial" w:hAnsi="Arial" w:cs="Arial"/>
          <w:sz w:val="20"/>
          <w:szCs w:val="20"/>
        </w:rPr>
        <w:t>‘</w:t>
      </w:r>
      <w:r w:rsidR="00FD5292" w:rsidRPr="0031323F">
        <w:rPr>
          <w:rFonts w:ascii="Arial" w:hAnsi="Arial" w:cs="Arial"/>
          <w:i/>
          <w:sz w:val="20"/>
          <w:szCs w:val="20"/>
        </w:rPr>
        <w:t>e</w:t>
      </w:r>
      <w:r w:rsidR="00C72FD0" w:rsidRPr="0031323F">
        <w:rPr>
          <w:rFonts w:ascii="Arial" w:hAnsi="Arial" w:cs="Arial"/>
          <w:i/>
          <w:sz w:val="20"/>
          <w:szCs w:val="20"/>
        </w:rPr>
        <w:t>very tutor at the beginning just talks like really briefly about it, but it’s just too fast</w:t>
      </w:r>
      <w:r w:rsidR="00C72FD0" w:rsidRPr="0031323F">
        <w:rPr>
          <w:rFonts w:ascii="Arial" w:hAnsi="Arial" w:cs="Arial"/>
          <w:sz w:val="20"/>
          <w:szCs w:val="20"/>
        </w:rPr>
        <w:t>’</w:t>
      </w:r>
      <w:r w:rsidR="00FD5292" w:rsidRPr="0031323F">
        <w:rPr>
          <w:rFonts w:ascii="Arial" w:hAnsi="Arial" w:cs="Arial"/>
          <w:sz w:val="20"/>
          <w:szCs w:val="20"/>
        </w:rPr>
        <w:t>.</w:t>
      </w:r>
      <w:r w:rsidR="00F93900" w:rsidRPr="0031323F">
        <w:rPr>
          <w:rFonts w:ascii="Arial" w:hAnsi="Arial" w:cs="Arial"/>
          <w:sz w:val="20"/>
          <w:szCs w:val="20"/>
        </w:rPr>
        <w:t xml:space="preserve"> </w:t>
      </w:r>
      <w:r w:rsidR="00AC767B" w:rsidRPr="0031323F">
        <w:rPr>
          <w:rFonts w:ascii="Arial" w:hAnsi="Arial" w:cs="Arial"/>
          <w:sz w:val="20"/>
          <w:szCs w:val="20"/>
        </w:rPr>
        <w:t xml:space="preserve">Conversely, those </w:t>
      </w:r>
      <w:r w:rsidR="00F93900" w:rsidRPr="0031323F">
        <w:rPr>
          <w:rFonts w:ascii="Arial" w:hAnsi="Arial" w:cs="Arial"/>
          <w:sz w:val="20"/>
          <w:szCs w:val="20"/>
        </w:rPr>
        <w:t xml:space="preserve">students </w:t>
      </w:r>
      <w:r w:rsidR="00AC767B" w:rsidRPr="0031323F">
        <w:rPr>
          <w:rFonts w:ascii="Arial" w:hAnsi="Arial" w:cs="Arial"/>
          <w:sz w:val="20"/>
          <w:szCs w:val="20"/>
        </w:rPr>
        <w:t xml:space="preserve">who had </w:t>
      </w:r>
      <w:r w:rsidR="00F93900" w:rsidRPr="0031323F">
        <w:rPr>
          <w:rFonts w:ascii="Arial" w:hAnsi="Arial" w:cs="Arial"/>
          <w:sz w:val="20"/>
          <w:szCs w:val="20"/>
        </w:rPr>
        <w:t>gone through the structured training perceived it as a positive, removing unnecessary stress. They acknowledged that ‘</w:t>
      </w:r>
      <w:proofErr w:type="spellStart"/>
      <w:r w:rsidR="00F93900" w:rsidRPr="0031323F">
        <w:rPr>
          <w:rFonts w:ascii="Arial" w:hAnsi="Arial" w:cs="Arial"/>
          <w:i/>
          <w:sz w:val="20"/>
          <w:szCs w:val="20"/>
        </w:rPr>
        <w:t>Turnitin</w:t>
      </w:r>
      <w:proofErr w:type="spellEnd"/>
      <w:r w:rsidR="00F93900" w:rsidRPr="0031323F">
        <w:rPr>
          <w:rFonts w:ascii="Arial" w:hAnsi="Arial" w:cs="Arial"/>
          <w:i/>
          <w:sz w:val="20"/>
          <w:szCs w:val="20"/>
        </w:rPr>
        <w:t xml:space="preserve"> isn’t the easiest system to navigate without help and training cleared my confusion</w:t>
      </w:r>
      <w:r w:rsidR="00F93900" w:rsidRPr="0031323F">
        <w:rPr>
          <w:rFonts w:ascii="Arial" w:hAnsi="Arial" w:cs="Arial"/>
          <w:sz w:val="20"/>
          <w:szCs w:val="20"/>
        </w:rPr>
        <w:t>’ (</w:t>
      </w:r>
      <w:r w:rsidR="00B26946" w:rsidRPr="0031323F">
        <w:rPr>
          <w:rFonts w:ascii="Arial" w:hAnsi="Arial" w:cs="Arial"/>
          <w:sz w:val="20"/>
          <w:szCs w:val="20"/>
        </w:rPr>
        <w:t>Survey</w:t>
      </w:r>
      <w:r w:rsidR="00F93900" w:rsidRPr="0031323F">
        <w:rPr>
          <w:rFonts w:ascii="Arial" w:hAnsi="Arial" w:cs="Arial"/>
          <w:sz w:val="20"/>
          <w:szCs w:val="20"/>
        </w:rPr>
        <w:t xml:space="preserve">). Some even felt that the training placed them at an advantage over other students: </w:t>
      </w:r>
      <w:r w:rsidR="00EC7048" w:rsidRPr="0031323F">
        <w:rPr>
          <w:rFonts w:ascii="Arial" w:hAnsi="Arial" w:cs="Arial"/>
          <w:sz w:val="20"/>
          <w:szCs w:val="20"/>
        </w:rPr>
        <w:t>‘</w:t>
      </w:r>
      <w:r w:rsidR="00122649" w:rsidRPr="0031323F">
        <w:rPr>
          <w:rFonts w:ascii="Arial" w:hAnsi="Arial" w:cs="Arial"/>
          <w:i/>
          <w:sz w:val="20"/>
          <w:szCs w:val="20"/>
        </w:rPr>
        <w:t>I found that I used it a lot more easily and I understood it better than other students from other courses</w:t>
      </w:r>
      <w:r w:rsidR="00EC7048" w:rsidRPr="0031323F">
        <w:rPr>
          <w:rFonts w:ascii="Arial" w:hAnsi="Arial" w:cs="Arial"/>
          <w:sz w:val="20"/>
          <w:szCs w:val="20"/>
        </w:rPr>
        <w:t>’</w:t>
      </w:r>
      <w:r w:rsidR="00B26946" w:rsidRPr="0031323F">
        <w:rPr>
          <w:rFonts w:ascii="Arial" w:hAnsi="Arial" w:cs="Arial"/>
          <w:sz w:val="20"/>
          <w:szCs w:val="20"/>
        </w:rPr>
        <w:t xml:space="preserve"> (Participant 2.3</w:t>
      </w:r>
      <w:r w:rsidR="00F93900" w:rsidRPr="0031323F">
        <w:rPr>
          <w:rFonts w:ascii="Arial" w:hAnsi="Arial" w:cs="Arial"/>
          <w:sz w:val="20"/>
          <w:szCs w:val="20"/>
        </w:rPr>
        <w:t>). Participant 1.1 further pointed out that structured training was, in fact, essential: ‘</w:t>
      </w:r>
      <w:r w:rsidR="00F93900" w:rsidRPr="0031323F">
        <w:rPr>
          <w:rFonts w:ascii="Arial" w:hAnsi="Arial" w:cs="Arial"/>
          <w:i/>
          <w:sz w:val="20"/>
          <w:szCs w:val="20"/>
        </w:rPr>
        <w:t xml:space="preserve">I think if you’re just </w:t>
      </w:r>
      <w:proofErr w:type="spellStart"/>
      <w:r w:rsidR="00F93900" w:rsidRPr="0031323F">
        <w:rPr>
          <w:rFonts w:ascii="Arial" w:hAnsi="Arial" w:cs="Arial"/>
          <w:i/>
          <w:sz w:val="20"/>
          <w:szCs w:val="20"/>
        </w:rPr>
        <w:t>gonna</w:t>
      </w:r>
      <w:proofErr w:type="spellEnd"/>
      <w:r w:rsidR="00F93900" w:rsidRPr="0031323F">
        <w:rPr>
          <w:rFonts w:ascii="Arial" w:hAnsi="Arial" w:cs="Arial"/>
          <w:i/>
          <w:sz w:val="20"/>
          <w:szCs w:val="20"/>
        </w:rPr>
        <w:t xml:space="preserve"> freestyle it, you can’t do it</w:t>
      </w:r>
      <w:r w:rsidR="00F93900" w:rsidRPr="0031323F">
        <w:rPr>
          <w:rFonts w:ascii="Arial" w:hAnsi="Arial" w:cs="Arial"/>
          <w:sz w:val="20"/>
          <w:szCs w:val="20"/>
        </w:rPr>
        <w:t xml:space="preserve">’. This idea was similarly expressed by Participant 3.2 from the comparison group, who emphasised that a lack of training places a much greater onus on the students to be proactive in trying to engage with </w:t>
      </w:r>
      <w:proofErr w:type="spellStart"/>
      <w:r w:rsidR="00F93900" w:rsidRPr="0031323F">
        <w:rPr>
          <w:rFonts w:ascii="Arial" w:hAnsi="Arial" w:cs="Arial"/>
          <w:sz w:val="20"/>
          <w:szCs w:val="20"/>
        </w:rPr>
        <w:t>Turnitin</w:t>
      </w:r>
      <w:proofErr w:type="spellEnd"/>
      <w:r w:rsidR="00F93900" w:rsidRPr="0031323F">
        <w:rPr>
          <w:rFonts w:ascii="Arial" w:hAnsi="Arial" w:cs="Arial"/>
          <w:sz w:val="20"/>
          <w:szCs w:val="20"/>
        </w:rPr>
        <w:t>: ‘</w:t>
      </w:r>
      <w:r w:rsidR="00F93900" w:rsidRPr="0031323F">
        <w:rPr>
          <w:rFonts w:ascii="Arial" w:hAnsi="Arial" w:cs="Arial"/>
          <w:i/>
          <w:sz w:val="20"/>
          <w:szCs w:val="20"/>
        </w:rPr>
        <w:t>We really need to go and search for [support]</w:t>
      </w:r>
      <w:r w:rsidR="00F93900" w:rsidRPr="0031323F">
        <w:rPr>
          <w:rFonts w:ascii="Arial" w:hAnsi="Arial" w:cs="Arial"/>
          <w:sz w:val="20"/>
          <w:szCs w:val="20"/>
        </w:rPr>
        <w:t>’.</w:t>
      </w:r>
    </w:p>
    <w:p w:rsidR="0031323F" w:rsidRDefault="00721F53" w:rsidP="00F626C6">
      <w:pPr>
        <w:pStyle w:val="NoSpacing"/>
        <w:spacing w:line="480" w:lineRule="auto"/>
        <w:ind w:firstLine="567"/>
        <w:jc w:val="both"/>
        <w:rPr>
          <w:rFonts w:ascii="Arial" w:hAnsi="Arial" w:cs="Arial"/>
          <w:sz w:val="20"/>
          <w:szCs w:val="20"/>
        </w:rPr>
      </w:pPr>
      <w:r w:rsidRPr="0031323F">
        <w:rPr>
          <w:rFonts w:ascii="Arial" w:hAnsi="Arial" w:cs="Arial"/>
          <w:sz w:val="20"/>
          <w:szCs w:val="20"/>
        </w:rPr>
        <w:t>These views reflect</w:t>
      </w:r>
      <w:r w:rsidR="00CD3D90" w:rsidRPr="0031323F">
        <w:rPr>
          <w:rFonts w:ascii="Arial" w:hAnsi="Arial" w:cs="Arial"/>
          <w:sz w:val="20"/>
          <w:szCs w:val="20"/>
        </w:rPr>
        <w:t xml:space="preserve"> findings from previous work (</w:t>
      </w:r>
      <w:r w:rsidR="009366BA" w:rsidRPr="0031323F">
        <w:rPr>
          <w:rFonts w:ascii="Arial" w:hAnsi="Arial" w:cs="Arial"/>
          <w:sz w:val="20"/>
          <w:szCs w:val="20"/>
        </w:rPr>
        <w:t>e.g. Hast and Healy, in press) where students expressed a desire for training that supports their engagement with online submission and feedback processes, which they are not averse to in principle. So despite coming from a generation that is supposed to be comfortable with technology (</w:t>
      </w:r>
      <w:proofErr w:type="spellStart"/>
      <w:r w:rsidR="009366BA" w:rsidRPr="0031323F">
        <w:rPr>
          <w:rFonts w:ascii="Arial" w:hAnsi="Arial" w:cs="Arial"/>
          <w:sz w:val="20"/>
          <w:szCs w:val="20"/>
        </w:rPr>
        <w:t>Manuguerra</w:t>
      </w:r>
      <w:proofErr w:type="spellEnd"/>
      <w:r w:rsidR="009366BA" w:rsidRPr="0031323F">
        <w:rPr>
          <w:rFonts w:ascii="Arial" w:hAnsi="Arial" w:cs="Arial"/>
          <w:sz w:val="20"/>
          <w:szCs w:val="20"/>
        </w:rPr>
        <w:t xml:space="preserve"> and </w:t>
      </w:r>
      <w:proofErr w:type="spellStart"/>
      <w:r w:rsidR="009366BA" w:rsidRPr="0031323F">
        <w:rPr>
          <w:rFonts w:ascii="Arial" w:hAnsi="Arial" w:cs="Arial"/>
          <w:sz w:val="20"/>
          <w:szCs w:val="20"/>
        </w:rPr>
        <w:t>Petocz</w:t>
      </w:r>
      <w:proofErr w:type="spellEnd"/>
      <w:r w:rsidR="009366BA" w:rsidRPr="0031323F">
        <w:rPr>
          <w:rFonts w:ascii="Arial" w:hAnsi="Arial" w:cs="Arial"/>
          <w:sz w:val="20"/>
          <w:szCs w:val="20"/>
        </w:rPr>
        <w:t xml:space="preserve">, 2011; </w:t>
      </w:r>
      <w:proofErr w:type="spellStart"/>
      <w:r w:rsidR="009366BA" w:rsidRPr="0031323F">
        <w:rPr>
          <w:rFonts w:ascii="Arial" w:hAnsi="Arial" w:cs="Arial"/>
          <w:sz w:val="20"/>
          <w:szCs w:val="20"/>
        </w:rPr>
        <w:t>Prensky</w:t>
      </w:r>
      <w:proofErr w:type="spellEnd"/>
      <w:r w:rsidR="009366BA" w:rsidRPr="0031323F">
        <w:rPr>
          <w:rFonts w:ascii="Arial" w:hAnsi="Arial" w:cs="Arial"/>
          <w:sz w:val="20"/>
          <w:szCs w:val="20"/>
        </w:rPr>
        <w:t xml:space="preserve">, 2012) it is evident that they still see a need for training to support their engagement with specific digital approaches, especially ones they are unlikely to have experienced outside of higher education. </w:t>
      </w:r>
      <w:r w:rsidRPr="0031323F">
        <w:rPr>
          <w:rFonts w:ascii="Arial" w:hAnsi="Arial" w:cs="Arial"/>
          <w:sz w:val="20"/>
          <w:szCs w:val="20"/>
        </w:rPr>
        <w:t>The findings</w:t>
      </w:r>
      <w:r w:rsidR="009366BA" w:rsidRPr="0031323F">
        <w:rPr>
          <w:rFonts w:ascii="Arial" w:hAnsi="Arial" w:cs="Arial"/>
          <w:sz w:val="20"/>
          <w:szCs w:val="20"/>
        </w:rPr>
        <w:t xml:space="preserve"> also point</w:t>
      </w:r>
      <w:r w:rsidR="00F93900" w:rsidRPr="0031323F">
        <w:rPr>
          <w:rFonts w:ascii="Arial" w:hAnsi="Arial" w:cs="Arial"/>
          <w:sz w:val="20"/>
          <w:szCs w:val="20"/>
        </w:rPr>
        <w:t xml:space="preserve"> </w:t>
      </w:r>
      <w:r w:rsidR="009366BA" w:rsidRPr="0031323F">
        <w:rPr>
          <w:rFonts w:ascii="Arial" w:hAnsi="Arial" w:cs="Arial"/>
          <w:sz w:val="20"/>
          <w:szCs w:val="20"/>
        </w:rPr>
        <w:t>to</w:t>
      </w:r>
      <w:r w:rsidR="00F93900" w:rsidRPr="0031323F">
        <w:rPr>
          <w:rFonts w:ascii="Arial" w:hAnsi="Arial" w:cs="Arial"/>
          <w:sz w:val="20"/>
          <w:szCs w:val="20"/>
        </w:rPr>
        <w:t xml:space="preserve"> the potential danger of leaving stu</w:t>
      </w:r>
      <w:r w:rsidRPr="0031323F">
        <w:rPr>
          <w:rFonts w:ascii="Arial" w:hAnsi="Arial" w:cs="Arial"/>
          <w:sz w:val="20"/>
          <w:szCs w:val="20"/>
        </w:rPr>
        <w:t>dents to their own devices as this may</w:t>
      </w:r>
      <w:r w:rsidR="00F93900" w:rsidRPr="0031323F">
        <w:rPr>
          <w:rFonts w:ascii="Arial" w:hAnsi="Arial" w:cs="Arial"/>
          <w:sz w:val="20"/>
          <w:szCs w:val="20"/>
        </w:rPr>
        <w:t xml:space="preserve"> </w:t>
      </w:r>
      <w:r w:rsidRPr="0031323F">
        <w:rPr>
          <w:rFonts w:ascii="Arial" w:hAnsi="Arial" w:cs="Arial"/>
          <w:sz w:val="20"/>
          <w:szCs w:val="20"/>
        </w:rPr>
        <w:t xml:space="preserve">have </w:t>
      </w:r>
      <w:r w:rsidR="00F93900" w:rsidRPr="0031323F">
        <w:rPr>
          <w:rFonts w:ascii="Arial" w:hAnsi="Arial" w:cs="Arial"/>
          <w:sz w:val="20"/>
          <w:szCs w:val="20"/>
        </w:rPr>
        <w:lastRenderedPageBreak/>
        <w:t>potential to lead to disengagement with feedback if</w:t>
      </w:r>
      <w:r w:rsidRPr="0031323F">
        <w:rPr>
          <w:rFonts w:ascii="Arial" w:hAnsi="Arial" w:cs="Arial"/>
          <w:sz w:val="20"/>
          <w:szCs w:val="20"/>
        </w:rPr>
        <w:t xml:space="preserve"> the cost of effort is too high (cf. McCabe et al., 2011; Parkin et al., 2012</w:t>
      </w:r>
      <w:r w:rsidR="009366BA" w:rsidRPr="0031323F">
        <w:rPr>
          <w:rFonts w:ascii="Arial" w:hAnsi="Arial" w:cs="Arial"/>
          <w:sz w:val="20"/>
          <w:szCs w:val="20"/>
        </w:rPr>
        <w:t>), again highlighting the need for structured training to be in place.</w:t>
      </w:r>
    </w:p>
    <w:p w:rsidR="0031323F" w:rsidRDefault="0031323F" w:rsidP="00234E39">
      <w:pPr>
        <w:pStyle w:val="NoSpacing"/>
        <w:spacing w:line="480" w:lineRule="auto"/>
        <w:ind w:firstLine="567"/>
        <w:jc w:val="both"/>
        <w:rPr>
          <w:rFonts w:ascii="Arial" w:hAnsi="Arial" w:cs="Arial"/>
          <w:sz w:val="20"/>
          <w:szCs w:val="20"/>
        </w:rPr>
      </w:pPr>
    </w:p>
    <w:p w:rsidR="00CD3D90" w:rsidRPr="0031323F" w:rsidRDefault="00B26946" w:rsidP="00234E39">
      <w:pPr>
        <w:spacing w:line="480" w:lineRule="auto"/>
        <w:rPr>
          <w:rFonts w:ascii="Arial" w:hAnsi="Arial" w:cs="Arial"/>
          <w:b/>
          <w:i/>
          <w:sz w:val="20"/>
          <w:szCs w:val="20"/>
        </w:rPr>
      </w:pPr>
      <w:r w:rsidRPr="0031323F">
        <w:rPr>
          <w:rFonts w:ascii="Arial" w:hAnsi="Arial" w:cs="Arial"/>
          <w:i/>
          <w:sz w:val="20"/>
          <w:szCs w:val="20"/>
        </w:rPr>
        <w:t>Perceived usefulness of training</w:t>
      </w:r>
    </w:p>
    <w:p w:rsidR="00F93900" w:rsidRPr="0031323F" w:rsidRDefault="00F93900" w:rsidP="00234E39">
      <w:pPr>
        <w:spacing w:line="480" w:lineRule="auto"/>
        <w:rPr>
          <w:rFonts w:ascii="Arial" w:hAnsi="Arial" w:cs="Arial"/>
          <w:sz w:val="20"/>
          <w:szCs w:val="20"/>
        </w:rPr>
      </w:pPr>
    </w:p>
    <w:p w:rsidR="00B26946" w:rsidRPr="0031323F" w:rsidRDefault="00C12363" w:rsidP="00234E39">
      <w:pPr>
        <w:pStyle w:val="NoSpacing"/>
        <w:spacing w:line="480" w:lineRule="auto"/>
        <w:ind w:firstLine="567"/>
        <w:jc w:val="both"/>
        <w:rPr>
          <w:rFonts w:ascii="Arial" w:hAnsi="Arial" w:cs="Arial"/>
          <w:sz w:val="20"/>
          <w:szCs w:val="20"/>
        </w:rPr>
      </w:pPr>
      <w:r w:rsidRPr="0031323F">
        <w:rPr>
          <w:rFonts w:ascii="Arial" w:hAnsi="Arial" w:cs="Arial"/>
          <w:sz w:val="20"/>
          <w:szCs w:val="20"/>
        </w:rPr>
        <w:t>From the survey data it i</w:t>
      </w:r>
      <w:r w:rsidR="0028667B" w:rsidRPr="0031323F">
        <w:rPr>
          <w:rFonts w:ascii="Arial" w:hAnsi="Arial" w:cs="Arial"/>
          <w:sz w:val="20"/>
          <w:szCs w:val="20"/>
        </w:rPr>
        <w:t>s evident that the structured t</w:t>
      </w:r>
      <w:r w:rsidR="00D11B6E" w:rsidRPr="0031323F">
        <w:rPr>
          <w:rFonts w:ascii="Arial" w:hAnsi="Arial" w:cs="Arial"/>
          <w:sz w:val="20"/>
          <w:szCs w:val="20"/>
        </w:rPr>
        <w:t xml:space="preserve">raining </w:t>
      </w:r>
      <w:r w:rsidR="0028667B" w:rsidRPr="0031323F">
        <w:rPr>
          <w:rFonts w:ascii="Arial" w:hAnsi="Arial" w:cs="Arial"/>
          <w:sz w:val="20"/>
          <w:szCs w:val="20"/>
        </w:rPr>
        <w:t>eased the</w:t>
      </w:r>
      <w:r w:rsidR="00D11B6E" w:rsidRPr="0031323F">
        <w:rPr>
          <w:rFonts w:ascii="Arial" w:hAnsi="Arial" w:cs="Arial"/>
          <w:sz w:val="20"/>
          <w:szCs w:val="20"/>
        </w:rPr>
        <w:t xml:space="preserve"> submission process</w:t>
      </w:r>
      <w:r w:rsidR="0028667B" w:rsidRPr="0031323F">
        <w:rPr>
          <w:rFonts w:ascii="Arial" w:hAnsi="Arial" w:cs="Arial"/>
          <w:sz w:val="20"/>
          <w:szCs w:val="20"/>
        </w:rPr>
        <w:t xml:space="preserve"> for students.</w:t>
      </w:r>
      <w:r w:rsidR="00B25818" w:rsidRPr="0031323F">
        <w:rPr>
          <w:rFonts w:ascii="Arial" w:hAnsi="Arial" w:cs="Arial"/>
          <w:sz w:val="20"/>
          <w:szCs w:val="20"/>
        </w:rPr>
        <w:t xml:space="preserve"> There were moderate positive correlations between the views on the in-class demonstration and perceived ease of both submitting work, </w:t>
      </w:r>
      <w:r w:rsidR="00B25818" w:rsidRPr="0031323F">
        <w:rPr>
          <w:rFonts w:ascii="Arial" w:hAnsi="Arial" w:cs="Arial"/>
          <w:i/>
          <w:sz w:val="20"/>
          <w:szCs w:val="20"/>
        </w:rPr>
        <w:t>τ</w:t>
      </w:r>
      <w:r w:rsidR="00B25818" w:rsidRPr="0031323F">
        <w:rPr>
          <w:rFonts w:ascii="Arial" w:hAnsi="Arial" w:cs="Arial"/>
          <w:sz w:val="20"/>
          <w:szCs w:val="20"/>
        </w:rPr>
        <w:t xml:space="preserve"> = 0.48, </w:t>
      </w:r>
      <w:r w:rsidR="00B25818" w:rsidRPr="0031323F">
        <w:rPr>
          <w:rFonts w:ascii="Arial" w:hAnsi="Arial" w:cs="Arial"/>
          <w:i/>
          <w:sz w:val="20"/>
          <w:szCs w:val="20"/>
        </w:rPr>
        <w:t>p</w:t>
      </w:r>
      <w:r w:rsidR="00B25818" w:rsidRPr="0031323F">
        <w:rPr>
          <w:rFonts w:ascii="Arial" w:hAnsi="Arial" w:cs="Arial"/>
          <w:sz w:val="20"/>
          <w:szCs w:val="20"/>
        </w:rPr>
        <w:t xml:space="preserve"> &lt; 0.001, and accessing feedback, </w:t>
      </w:r>
      <w:r w:rsidR="00B25818" w:rsidRPr="0031323F">
        <w:rPr>
          <w:rFonts w:ascii="Arial" w:hAnsi="Arial" w:cs="Arial"/>
          <w:i/>
          <w:sz w:val="20"/>
          <w:szCs w:val="20"/>
        </w:rPr>
        <w:t>τ</w:t>
      </w:r>
      <w:r w:rsidR="00B25818" w:rsidRPr="0031323F">
        <w:rPr>
          <w:rFonts w:ascii="Arial" w:hAnsi="Arial" w:cs="Arial"/>
          <w:sz w:val="20"/>
          <w:szCs w:val="20"/>
        </w:rPr>
        <w:t xml:space="preserve"> = 0.40, </w:t>
      </w:r>
      <w:r w:rsidR="00B25818" w:rsidRPr="0031323F">
        <w:rPr>
          <w:rFonts w:ascii="Arial" w:hAnsi="Arial" w:cs="Arial"/>
          <w:i/>
          <w:sz w:val="20"/>
          <w:szCs w:val="20"/>
        </w:rPr>
        <w:t>p</w:t>
      </w:r>
      <w:r w:rsidR="00B25818" w:rsidRPr="0031323F">
        <w:rPr>
          <w:rFonts w:ascii="Arial" w:hAnsi="Arial" w:cs="Arial"/>
          <w:sz w:val="20"/>
          <w:szCs w:val="20"/>
        </w:rPr>
        <w:t xml:space="preserve"> &lt; 0.01. Supporting this, there was a moderate positive correlation between the views on the demonstration and the perceived </w:t>
      </w:r>
      <w:r w:rsidR="00F71B90" w:rsidRPr="0031323F">
        <w:rPr>
          <w:rFonts w:ascii="Arial" w:hAnsi="Arial" w:cs="Arial"/>
          <w:sz w:val="20"/>
          <w:szCs w:val="20"/>
        </w:rPr>
        <w:t xml:space="preserve">difficulty of working with </w:t>
      </w:r>
      <w:proofErr w:type="spellStart"/>
      <w:r w:rsidR="00F71B90" w:rsidRPr="0031323F">
        <w:rPr>
          <w:rFonts w:ascii="Arial" w:hAnsi="Arial" w:cs="Arial"/>
          <w:sz w:val="20"/>
          <w:szCs w:val="20"/>
        </w:rPr>
        <w:t>Turnitin</w:t>
      </w:r>
      <w:proofErr w:type="spellEnd"/>
      <w:r w:rsidR="00F71B90" w:rsidRPr="0031323F">
        <w:rPr>
          <w:rFonts w:ascii="Arial" w:hAnsi="Arial" w:cs="Arial"/>
          <w:sz w:val="20"/>
          <w:szCs w:val="20"/>
        </w:rPr>
        <w:t xml:space="preserve"> if training had not been provided, </w:t>
      </w:r>
      <w:r w:rsidR="00F71B90" w:rsidRPr="0031323F">
        <w:rPr>
          <w:rFonts w:ascii="Arial" w:hAnsi="Arial" w:cs="Arial"/>
          <w:i/>
          <w:sz w:val="20"/>
          <w:szCs w:val="20"/>
        </w:rPr>
        <w:t>τ</w:t>
      </w:r>
      <w:r w:rsidR="00F71B90" w:rsidRPr="0031323F">
        <w:rPr>
          <w:rFonts w:ascii="Arial" w:hAnsi="Arial" w:cs="Arial"/>
          <w:sz w:val="20"/>
          <w:szCs w:val="20"/>
        </w:rPr>
        <w:t xml:space="preserve"> = 0.42, </w:t>
      </w:r>
      <w:r w:rsidR="00F71B90" w:rsidRPr="0031323F">
        <w:rPr>
          <w:rFonts w:ascii="Arial" w:hAnsi="Arial" w:cs="Arial"/>
          <w:i/>
          <w:sz w:val="20"/>
          <w:szCs w:val="20"/>
        </w:rPr>
        <w:t>p</w:t>
      </w:r>
      <w:r w:rsidR="00F71B90" w:rsidRPr="0031323F">
        <w:rPr>
          <w:rFonts w:ascii="Arial" w:hAnsi="Arial" w:cs="Arial"/>
          <w:sz w:val="20"/>
          <w:szCs w:val="20"/>
        </w:rPr>
        <w:t xml:space="preserve"> &lt; 0.01. However, n</w:t>
      </w:r>
      <w:r w:rsidR="00372165" w:rsidRPr="0031323F">
        <w:rPr>
          <w:rFonts w:ascii="Arial" w:hAnsi="Arial" w:cs="Arial"/>
          <w:sz w:val="20"/>
          <w:szCs w:val="20"/>
        </w:rPr>
        <w:t>ot only did the training make the submission and access processes easier for students, it also seem</w:t>
      </w:r>
      <w:r w:rsidR="00CB396F" w:rsidRPr="0031323F">
        <w:rPr>
          <w:rFonts w:ascii="Arial" w:hAnsi="Arial" w:cs="Arial"/>
          <w:sz w:val="20"/>
          <w:szCs w:val="20"/>
        </w:rPr>
        <w:t>ed</w:t>
      </w:r>
      <w:r w:rsidR="00372165" w:rsidRPr="0031323F">
        <w:rPr>
          <w:rFonts w:ascii="Arial" w:hAnsi="Arial" w:cs="Arial"/>
          <w:sz w:val="20"/>
          <w:szCs w:val="20"/>
        </w:rPr>
        <w:t xml:space="preserve"> to foster confidence towards future processes. There </w:t>
      </w:r>
      <w:r w:rsidR="00FE14AE" w:rsidRPr="0031323F">
        <w:rPr>
          <w:rFonts w:ascii="Arial" w:hAnsi="Arial" w:cs="Arial"/>
          <w:sz w:val="20"/>
          <w:szCs w:val="20"/>
        </w:rPr>
        <w:t xml:space="preserve">were moderate positive correlations between the views on the in-class demonstration and confidence both in submitting future work, </w:t>
      </w:r>
      <w:r w:rsidR="00FE14AE" w:rsidRPr="0031323F">
        <w:rPr>
          <w:rFonts w:ascii="Arial" w:hAnsi="Arial" w:cs="Arial"/>
          <w:i/>
          <w:sz w:val="20"/>
          <w:szCs w:val="20"/>
        </w:rPr>
        <w:t>τ</w:t>
      </w:r>
      <w:r w:rsidR="00FE14AE" w:rsidRPr="0031323F">
        <w:rPr>
          <w:rFonts w:ascii="Arial" w:hAnsi="Arial" w:cs="Arial"/>
          <w:sz w:val="20"/>
          <w:szCs w:val="20"/>
        </w:rPr>
        <w:t xml:space="preserve"> = 0.34, </w:t>
      </w:r>
      <w:r w:rsidR="00FE14AE" w:rsidRPr="0031323F">
        <w:rPr>
          <w:rFonts w:ascii="Arial" w:hAnsi="Arial" w:cs="Arial"/>
          <w:i/>
          <w:sz w:val="20"/>
          <w:szCs w:val="20"/>
        </w:rPr>
        <w:t>p</w:t>
      </w:r>
      <w:r w:rsidR="00FE14AE" w:rsidRPr="0031323F">
        <w:rPr>
          <w:rFonts w:ascii="Arial" w:hAnsi="Arial" w:cs="Arial"/>
          <w:sz w:val="20"/>
          <w:szCs w:val="20"/>
        </w:rPr>
        <w:t xml:space="preserve"> &lt; 0.01, and in accessing future feedback, </w:t>
      </w:r>
      <w:r w:rsidR="00FE14AE" w:rsidRPr="0031323F">
        <w:rPr>
          <w:rFonts w:ascii="Arial" w:hAnsi="Arial" w:cs="Arial"/>
          <w:i/>
          <w:sz w:val="20"/>
          <w:szCs w:val="20"/>
        </w:rPr>
        <w:t>τ</w:t>
      </w:r>
      <w:r w:rsidR="00FE14AE" w:rsidRPr="0031323F">
        <w:rPr>
          <w:rFonts w:ascii="Arial" w:hAnsi="Arial" w:cs="Arial"/>
          <w:sz w:val="20"/>
          <w:szCs w:val="20"/>
        </w:rPr>
        <w:t xml:space="preserve"> = 0.38, </w:t>
      </w:r>
      <w:r w:rsidR="00FE14AE" w:rsidRPr="0031323F">
        <w:rPr>
          <w:rFonts w:ascii="Arial" w:hAnsi="Arial" w:cs="Arial"/>
          <w:i/>
          <w:sz w:val="20"/>
          <w:szCs w:val="20"/>
        </w:rPr>
        <w:t>p</w:t>
      </w:r>
      <w:r w:rsidR="00FE14AE" w:rsidRPr="0031323F">
        <w:rPr>
          <w:rFonts w:ascii="Arial" w:hAnsi="Arial" w:cs="Arial"/>
          <w:sz w:val="20"/>
          <w:szCs w:val="20"/>
        </w:rPr>
        <w:t xml:space="preserve"> &lt; 0.01. </w:t>
      </w:r>
      <w:r w:rsidR="0028667B" w:rsidRPr="0031323F">
        <w:rPr>
          <w:rFonts w:ascii="Arial" w:hAnsi="Arial" w:cs="Arial"/>
          <w:sz w:val="20"/>
          <w:szCs w:val="20"/>
        </w:rPr>
        <w:t>This was also reflected in the open</w:t>
      </w:r>
      <w:r w:rsidR="00225FE2" w:rsidRPr="0031323F">
        <w:rPr>
          <w:rFonts w:ascii="Arial" w:hAnsi="Arial" w:cs="Arial"/>
          <w:sz w:val="20"/>
          <w:szCs w:val="20"/>
        </w:rPr>
        <w:t xml:space="preserve"> survey</w:t>
      </w:r>
      <w:r w:rsidR="0028667B" w:rsidRPr="0031323F">
        <w:rPr>
          <w:rFonts w:ascii="Arial" w:hAnsi="Arial" w:cs="Arial"/>
          <w:sz w:val="20"/>
          <w:szCs w:val="20"/>
        </w:rPr>
        <w:t xml:space="preserve"> responses, as students felt they were, as a result, ‘</w:t>
      </w:r>
      <w:r w:rsidR="0028667B" w:rsidRPr="0031323F">
        <w:rPr>
          <w:rFonts w:ascii="Arial" w:hAnsi="Arial" w:cs="Arial"/>
          <w:i/>
          <w:sz w:val="20"/>
          <w:szCs w:val="20"/>
        </w:rPr>
        <w:t>able to submit essays better – easier for the future</w:t>
      </w:r>
      <w:r w:rsidR="0028667B" w:rsidRPr="0031323F">
        <w:rPr>
          <w:rFonts w:ascii="Arial" w:hAnsi="Arial" w:cs="Arial"/>
          <w:sz w:val="20"/>
          <w:szCs w:val="20"/>
        </w:rPr>
        <w:t xml:space="preserve">’. </w:t>
      </w:r>
      <w:r w:rsidR="00FE14AE" w:rsidRPr="0031323F">
        <w:rPr>
          <w:rFonts w:ascii="Arial" w:hAnsi="Arial" w:cs="Arial"/>
          <w:sz w:val="20"/>
          <w:szCs w:val="20"/>
        </w:rPr>
        <w:t>Further</w:t>
      </w:r>
      <w:r w:rsidR="00F71B90" w:rsidRPr="0031323F">
        <w:rPr>
          <w:rFonts w:ascii="Arial" w:hAnsi="Arial" w:cs="Arial"/>
          <w:sz w:val="20"/>
          <w:szCs w:val="20"/>
        </w:rPr>
        <w:t>more</w:t>
      </w:r>
      <w:r w:rsidR="00FE14AE" w:rsidRPr="0031323F">
        <w:rPr>
          <w:rFonts w:ascii="Arial" w:hAnsi="Arial" w:cs="Arial"/>
          <w:sz w:val="20"/>
          <w:szCs w:val="20"/>
        </w:rPr>
        <w:t xml:space="preserve">, there was a moderate positive correlation between submission ease and confidence in submitting future work, </w:t>
      </w:r>
      <w:r w:rsidR="00FE14AE" w:rsidRPr="0031323F">
        <w:rPr>
          <w:rFonts w:ascii="Arial" w:hAnsi="Arial" w:cs="Arial"/>
          <w:i/>
          <w:sz w:val="20"/>
          <w:szCs w:val="20"/>
        </w:rPr>
        <w:t>τ</w:t>
      </w:r>
      <w:r w:rsidR="00FE14AE" w:rsidRPr="0031323F">
        <w:rPr>
          <w:rFonts w:ascii="Arial" w:hAnsi="Arial" w:cs="Arial"/>
          <w:sz w:val="20"/>
          <w:szCs w:val="20"/>
        </w:rPr>
        <w:t xml:space="preserve"> = 0.45, </w:t>
      </w:r>
      <w:r w:rsidR="00FE14AE" w:rsidRPr="0031323F">
        <w:rPr>
          <w:rFonts w:ascii="Arial" w:hAnsi="Arial" w:cs="Arial"/>
          <w:i/>
          <w:sz w:val="20"/>
          <w:szCs w:val="20"/>
        </w:rPr>
        <w:t>p</w:t>
      </w:r>
      <w:r w:rsidR="00FE14AE" w:rsidRPr="0031323F">
        <w:rPr>
          <w:rFonts w:ascii="Arial" w:hAnsi="Arial" w:cs="Arial"/>
          <w:sz w:val="20"/>
          <w:szCs w:val="20"/>
        </w:rPr>
        <w:t xml:space="preserve"> &lt; 0.01, and a strong positive correlation between feedback access ease and confidence in accessing future feedback, </w:t>
      </w:r>
      <w:r w:rsidR="00FE14AE" w:rsidRPr="0031323F">
        <w:rPr>
          <w:rFonts w:ascii="Arial" w:hAnsi="Arial" w:cs="Arial"/>
          <w:i/>
          <w:sz w:val="20"/>
          <w:szCs w:val="20"/>
        </w:rPr>
        <w:t>τ</w:t>
      </w:r>
      <w:r w:rsidR="00FE14AE" w:rsidRPr="0031323F">
        <w:rPr>
          <w:rFonts w:ascii="Arial" w:hAnsi="Arial" w:cs="Arial"/>
          <w:sz w:val="20"/>
          <w:szCs w:val="20"/>
        </w:rPr>
        <w:t xml:space="preserve"> = 0.57, </w:t>
      </w:r>
      <w:r w:rsidR="00FE14AE" w:rsidRPr="0031323F">
        <w:rPr>
          <w:rFonts w:ascii="Arial" w:hAnsi="Arial" w:cs="Arial"/>
          <w:i/>
          <w:sz w:val="20"/>
          <w:szCs w:val="20"/>
        </w:rPr>
        <w:t>p</w:t>
      </w:r>
      <w:r w:rsidR="007A5F41" w:rsidRPr="0031323F">
        <w:rPr>
          <w:rFonts w:ascii="Arial" w:hAnsi="Arial" w:cs="Arial"/>
          <w:sz w:val="20"/>
          <w:szCs w:val="20"/>
        </w:rPr>
        <w:t xml:space="preserve"> &lt; 0.001.</w:t>
      </w:r>
    </w:p>
    <w:p w:rsidR="00234E39" w:rsidRPr="0031323F" w:rsidRDefault="00234E39" w:rsidP="00234E39">
      <w:pPr>
        <w:spacing w:line="480" w:lineRule="auto"/>
        <w:rPr>
          <w:rFonts w:ascii="Arial" w:hAnsi="Arial" w:cs="Arial"/>
          <w:sz w:val="20"/>
          <w:szCs w:val="20"/>
        </w:rPr>
      </w:pPr>
    </w:p>
    <w:p w:rsidR="00B26946" w:rsidRPr="0031323F" w:rsidRDefault="00B26946" w:rsidP="00234E39">
      <w:pPr>
        <w:spacing w:line="480" w:lineRule="auto"/>
        <w:rPr>
          <w:rFonts w:ascii="Arial" w:hAnsi="Arial" w:cs="Arial"/>
          <w:b/>
          <w:i/>
          <w:sz w:val="20"/>
          <w:szCs w:val="20"/>
        </w:rPr>
      </w:pPr>
      <w:r w:rsidRPr="0031323F">
        <w:rPr>
          <w:rFonts w:ascii="Arial" w:hAnsi="Arial" w:cs="Arial"/>
          <w:i/>
          <w:sz w:val="20"/>
          <w:szCs w:val="20"/>
        </w:rPr>
        <w:t>Reducing disengagement and depersonalisation</w:t>
      </w:r>
    </w:p>
    <w:p w:rsidR="00B26946" w:rsidRPr="0031323F" w:rsidRDefault="00B26946" w:rsidP="00234E39">
      <w:pPr>
        <w:spacing w:line="480" w:lineRule="auto"/>
        <w:rPr>
          <w:rFonts w:ascii="Arial" w:hAnsi="Arial" w:cs="Arial"/>
          <w:sz w:val="20"/>
          <w:szCs w:val="20"/>
        </w:rPr>
      </w:pPr>
    </w:p>
    <w:p w:rsidR="00795F63" w:rsidRPr="0031323F" w:rsidRDefault="00D11B6E" w:rsidP="00234E39">
      <w:pPr>
        <w:pStyle w:val="NoSpacing"/>
        <w:spacing w:line="480" w:lineRule="auto"/>
        <w:ind w:firstLine="567"/>
        <w:jc w:val="both"/>
        <w:rPr>
          <w:rFonts w:ascii="Arial" w:hAnsi="Arial" w:cs="Arial"/>
          <w:sz w:val="20"/>
          <w:szCs w:val="20"/>
        </w:rPr>
      </w:pPr>
      <w:r w:rsidRPr="0031323F">
        <w:rPr>
          <w:rFonts w:ascii="Arial" w:hAnsi="Arial" w:cs="Arial"/>
          <w:sz w:val="20"/>
          <w:szCs w:val="20"/>
        </w:rPr>
        <w:t xml:space="preserve">A key issue pointed out by students in the comparison focus group was that </w:t>
      </w:r>
      <w:r w:rsidR="00C72FD0" w:rsidRPr="0031323F">
        <w:rPr>
          <w:rFonts w:ascii="Arial" w:hAnsi="Arial" w:cs="Arial"/>
          <w:sz w:val="20"/>
          <w:szCs w:val="20"/>
        </w:rPr>
        <w:t>‘</w:t>
      </w:r>
      <w:r w:rsidRPr="0031323F">
        <w:rPr>
          <w:rFonts w:ascii="Arial" w:hAnsi="Arial" w:cs="Arial"/>
          <w:i/>
          <w:sz w:val="20"/>
          <w:szCs w:val="20"/>
        </w:rPr>
        <w:t>i</w:t>
      </w:r>
      <w:r w:rsidR="00C72FD0" w:rsidRPr="0031323F">
        <w:rPr>
          <w:rFonts w:ascii="Arial" w:hAnsi="Arial" w:cs="Arial"/>
          <w:i/>
          <w:sz w:val="20"/>
          <w:szCs w:val="20"/>
        </w:rPr>
        <w:t>t would be maybe also helpful if you would ha</w:t>
      </w:r>
      <w:r w:rsidRPr="0031323F">
        <w:rPr>
          <w:rFonts w:ascii="Arial" w:hAnsi="Arial" w:cs="Arial"/>
          <w:i/>
          <w:sz w:val="20"/>
          <w:szCs w:val="20"/>
        </w:rPr>
        <w:t>ve like a tutor to talk about [the feedback]</w:t>
      </w:r>
      <w:r w:rsidR="00C72FD0" w:rsidRPr="0031323F">
        <w:rPr>
          <w:rFonts w:ascii="Arial" w:hAnsi="Arial" w:cs="Arial"/>
          <w:sz w:val="20"/>
          <w:szCs w:val="20"/>
        </w:rPr>
        <w:t>’</w:t>
      </w:r>
      <w:r w:rsidRPr="0031323F">
        <w:rPr>
          <w:rFonts w:ascii="Arial" w:hAnsi="Arial" w:cs="Arial"/>
          <w:sz w:val="20"/>
          <w:szCs w:val="20"/>
        </w:rPr>
        <w:t xml:space="preserve"> (Participant 3.2). A similar issue was noted in previous work</w:t>
      </w:r>
      <w:r w:rsidR="008311A7" w:rsidRPr="0031323F">
        <w:rPr>
          <w:rFonts w:ascii="Arial" w:hAnsi="Arial" w:cs="Arial"/>
          <w:sz w:val="20"/>
          <w:szCs w:val="20"/>
        </w:rPr>
        <w:t xml:space="preserve"> where students expressed a favouring of face-to-face tutor communication</w:t>
      </w:r>
      <w:r w:rsidRPr="0031323F">
        <w:rPr>
          <w:rFonts w:ascii="Arial" w:hAnsi="Arial" w:cs="Arial"/>
          <w:sz w:val="20"/>
          <w:szCs w:val="20"/>
        </w:rPr>
        <w:t xml:space="preserve"> (</w:t>
      </w:r>
      <w:r w:rsidR="008311A7" w:rsidRPr="0031323F">
        <w:rPr>
          <w:rFonts w:ascii="Arial" w:hAnsi="Arial" w:cs="Arial"/>
          <w:sz w:val="20"/>
          <w:szCs w:val="20"/>
        </w:rPr>
        <w:t xml:space="preserve">e.g. </w:t>
      </w:r>
      <w:r w:rsidRPr="0031323F">
        <w:rPr>
          <w:rFonts w:ascii="Arial" w:hAnsi="Arial" w:cs="Arial"/>
          <w:sz w:val="20"/>
          <w:szCs w:val="20"/>
        </w:rPr>
        <w:t>Hast and Healy, in press</w:t>
      </w:r>
      <w:r w:rsidR="008311A7" w:rsidRPr="0031323F">
        <w:rPr>
          <w:rFonts w:ascii="Arial" w:hAnsi="Arial" w:cs="Arial"/>
          <w:sz w:val="20"/>
          <w:szCs w:val="20"/>
        </w:rPr>
        <w:t>) – despite not being prohibited from doing so.</w:t>
      </w:r>
      <w:r w:rsidR="00A6441C" w:rsidRPr="0031323F">
        <w:rPr>
          <w:rFonts w:ascii="Arial" w:hAnsi="Arial" w:cs="Arial"/>
          <w:sz w:val="20"/>
          <w:szCs w:val="20"/>
        </w:rPr>
        <w:t xml:space="preserve"> However, beyond the possible perception that they might not be allowed to speak to a tutor, a further issue contributing to this lack of engagement seems to be marker anonymity: ‘</w:t>
      </w:r>
      <w:r w:rsidR="00A6441C" w:rsidRPr="0031323F">
        <w:rPr>
          <w:rFonts w:ascii="Arial" w:hAnsi="Arial" w:cs="Arial"/>
          <w:i/>
          <w:sz w:val="20"/>
          <w:szCs w:val="20"/>
        </w:rPr>
        <w:t>I’ve had my feedback but I don’t know who gave the feedback … I would first need to go to everyone</w:t>
      </w:r>
      <w:r w:rsidR="00A6441C" w:rsidRPr="0031323F">
        <w:rPr>
          <w:rFonts w:ascii="Arial" w:hAnsi="Arial" w:cs="Arial"/>
          <w:sz w:val="20"/>
          <w:szCs w:val="20"/>
        </w:rPr>
        <w:t>’ (Participant 3.3).</w:t>
      </w:r>
      <w:r w:rsidR="00AE5CD0" w:rsidRPr="0031323F">
        <w:rPr>
          <w:rFonts w:ascii="Arial" w:hAnsi="Arial" w:cs="Arial"/>
          <w:sz w:val="20"/>
          <w:szCs w:val="20"/>
        </w:rPr>
        <w:t xml:space="preserve"> This is an area where structured training is helpful since it supports the clarification of post-feedback </w:t>
      </w:r>
      <w:r w:rsidR="00AE5CD0" w:rsidRPr="0031323F">
        <w:rPr>
          <w:rFonts w:ascii="Arial" w:hAnsi="Arial" w:cs="Arial"/>
          <w:sz w:val="20"/>
          <w:szCs w:val="20"/>
        </w:rPr>
        <w:lastRenderedPageBreak/>
        <w:t xml:space="preserve">engagement. In fact, there was a </w:t>
      </w:r>
      <w:r w:rsidR="00142910" w:rsidRPr="0031323F">
        <w:rPr>
          <w:rFonts w:ascii="Arial" w:hAnsi="Arial" w:cs="Arial"/>
          <w:sz w:val="20"/>
          <w:szCs w:val="20"/>
        </w:rPr>
        <w:t xml:space="preserve">strong </w:t>
      </w:r>
      <w:r w:rsidR="00AE5CD0" w:rsidRPr="0031323F">
        <w:rPr>
          <w:rFonts w:ascii="Arial" w:hAnsi="Arial" w:cs="Arial"/>
          <w:sz w:val="20"/>
          <w:szCs w:val="20"/>
        </w:rPr>
        <w:t xml:space="preserve">positive correlation between </w:t>
      </w:r>
      <w:r w:rsidR="00795F63" w:rsidRPr="0031323F">
        <w:rPr>
          <w:rFonts w:ascii="Arial" w:hAnsi="Arial" w:cs="Arial"/>
          <w:sz w:val="20"/>
          <w:szCs w:val="20"/>
        </w:rPr>
        <w:t xml:space="preserve">the perceived </w:t>
      </w:r>
      <w:r w:rsidR="00AE5CD0" w:rsidRPr="0031323F">
        <w:rPr>
          <w:rFonts w:ascii="Arial" w:hAnsi="Arial" w:cs="Arial"/>
          <w:sz w:val="20"/>
          <w:szCs w:val="20"/>
        </w:rPr>
        <w:t xml:space="preserve">usefulness of </w:t>
      </w:r>
      <w:r w:rsidR="00795F63" w:rsidRPr="0031323F">
        <w:rPr>
          <w:rFonts w:ascii="Arial" w:hAnsi="Arial" w:cs="Arial"/>
          <w:sz w:val="20"/>
          <w:szCs w:val="20"/>
        </w:rPr>
        <w:t xml:space="preserve">the students’ </w:t>
      </w:r>
      <w:r w:rsidR="00AE5CD0" w:rsidRPr="0031323F">
        <w:rPr>
          <w:rFonts w:ascii="Arial" w:hAnsi="Arial" w:cs="Arial"/>
          <w:sz w:val="20"/>
          <w:szCs w:val="20"/>
        </w:rPr>
        <w:t xml:space="preserve">ability to identify </w:t>
      </w:r>
      <w:r w:rsidR="00795F63" w:rsidRPr="0031323F">
        <w:rPr>
          <w:rFonts w:ascii="Arial" w:hAnsi="Arial" w:cs="Arial"/>
          <w:sz w:val="20"/>
          <w:szCs w:val="20"/>
        </w:rPr>
        <w:t xml:space="preserve">the </w:t>
      </w:r>
      <w:r w:rsidR="00AE5CD0" w:rsidRPr="0031323F">
        <w:rPr>
          <w:rFonts w:ascii="Arial" w:hAnsi="Arial" w:cs="Arial"/>
          <w:sz w:val="20"/>
          <w:szCs w:val="20"/>
        </w:rPr>
        <w:t>marker</w:t>
      </w:r>
      <w:r w:rsidR="00142910" w:rsidRPr="0031323F">
        <w:rPr>
          <w:rFonts w:ascii="Arial" w:hAnsi="Arial" w:cs="Arial"/>
          <w:sz w:val="20"/>
          <w:szCs w:val="20"/>
        </w:rPr>
        <w:t xml:space="preserve"> and understanding who to speak to about the feedback</w:t>
      </w:r>
      <w:r w:rsidR="00AE5CD0" w:rsidRPr="0031323F">
        <w:rPr>
          <w:rFonts w:ascii="Arial" w:hAnsi="Arial" w:cs="Arial"/>
          <w:sz w:val="20"/>
          <w:szCs w:val="20"/>
        </w:rPr>
        <w:t xml:space="preserve">, </w:t>
      </w:r>
      <w:r w:rsidR="00AE5CD0" w:rsidRPr="0031323F">
        <w:rPr>
          <w:rFonts w:ascii="Arial" w:hAnsi="Arial" w:cs="Arial"/>
          <w:i/>
          <w:sz w:val="20"/>
          <w:szCs w:val="20"/>
        </w:rPr>
        <w:t>τ</w:t>
      </w:r>
      <w:r w:rsidR="00142910" w:rsidRPr="0031323F">
        <w:rPr>
          <w:rFonts w:ascii="Arial" w:hAnsi="Arial" w:cs="Arial"/>
          <w:sz w:val="20"/>
          <w:szCs w:val="20"/>
        </w:rPr>
        <w:t xml:space="preserve"> = 0.59</w:t>
      </w:r>
      <w:r w:rsidR="00AE5CD0" w:rsidRPr="0031323F">
        <w:rPr>
          <w:rFonts w:ascii="Arial" w:hAnsi="Arial" w:cs="Arial"/>
          <w:sz w:val="20"/>
          <w:szCs w:val="20"/>
        </w:rPr>
        <w:t xml:space="preserve">, </w:t>
      </w:r>
      <w:r w:rsidR="00AE5CD0" w:rsidRPr="0031323F">
        <w:rPr>
          <w:rFonts w:ascii="Arial" w:hAnsi="Arial" w:cs="Arial"/>
          <w:i/>
          <w:sz w:val="20"/>
          <w:szCs w:val="20"/>
        </w:rPr>
        <w:t>p</w:t>
      </w:r>
      <w:r w:rsidR="00AE5CD0" w:rsidRPr="0031323F">
        <w:rPr>
          <w:rFonts w:ascii="Arial" w:hAnsi="Arial" w:cs="Arial"/>
          <w:sz w:val="20"/>
          <w:szCs w:val="20"/>
        </w:rPr>
        <w:t xml:space="preserve"> &lt; 0.001.</w:t>
      </w:r>
      <w:r w:rsidR="00795F63" w:rsidRPr="0031323F">
        <w:rPr>
          <w:rFonts w:ascii="Arial" w:hAnsi="Arial" w:cs="Arial"/>
          <w:sz w:val="20"/>
          <w:szCs w:val="20"/>
        </w:rPr>
        <w:t xml:space="preserve"> This ability was seen as important, as exemplified by Participant 2.2’s insight: </w:t>
      </w:r>
      <w:r w:rsidR="00EC7048" w:rsidRPr="0031323F">
        <w:rPr>
          <w:rFonts w:ascii="Arial" w:hAnsi="Arial" w:cs="Arial"/>
          <w:sz w:val="20"/>
          <w:szCs w:val="20"/>
        </w:rPr>
        <w:t>‘</w:t>
      </w:r>
      <w:r w:rsidR="00420B7C" w:rsidRPr="0031323F">
        <w:rPr>
          <w:rFonts w:ascii="Arial" w:hAnsi="Arial" w:cs="Arial"/>
          <w:i/>
          <w:sz w:val="20"/>
          <w:szCs w:val="20"/>
        </w:rPr>
        <w:t>Knowing that the feedback was from her … helped me connect with the feedback</w:t>
      </w:r>
      <w:r w:rsidR="00EC7048" w:rsidRPr="0031323F">
        <w:rPr>
          <w:rFonts w:ascii="Arial" w:hAnsi="Arial" w:cs="Arial"/>
          <w:sz w:val="20"/>
          <w:szCs w:val="20"/>
        </w:rPr>
        <w:t>’</w:t>
      </w:r>
      <w:r w:rsidR="00795F63" w:rsidRPr="0031323F">
        <w:rPr>
          <w:rFonts w:ascii="Arial" w:hAnsi="Arial" w:cs="Arial"/>
          <w:sz w:val="20"/>
          <w:szCs w:val="20"/>
        </w:rPr>
        <w:t xml:space="preserve">. </w:t>
      </w:r>
    </w:p>
    <w:p w:rsidR="00795F63" w:rsidRPr="0031323F" w:rsidRDefault="00795F63" w:rsidP="00234E39">
      <w:pPr>
        <w:pStyle w:val="NoSpacing"/>
        <w:spacing w:line="480" w:lineRule="auto"/>
        <w:ind w:firstLine="567"/>
        <w:jc w:val="both"/>
        <w:rPr>
          <w:rFonts w:ascii="Arial" w:hAnsi="Arial" w:cs="Arial"/>
          <w:sz w:val="20"/>
          <w:szCs w:val="20"/>
        </w:rPr>
      </w:pPr>
      <w:r w:rsidRPr="0031323F">
        <w:rPr>
          <w:rFonts w:ascii="Arial" w:hAnsi="Arial" w:cs="Arial"/>
          <w:sz w:val="20"/>
          <w:szCs w:val="20"/>
        </w:rPr>
        <w:t>Conversely, not having this insight reduced the students’ perceived efficacy to engage: ‘</w:t>
      </w:r>
      <w:r w:rsidRPr="0031323F">
        <w:rPr>
          <w:rFonts w:ascii="Arial" w:hAnsi="Arial" w:cs="Arial"/>
          <w:i/>
          <w:sz w:val="20"/>
          <w:szCs w:val="20"/>
        </w:rPr>
        <w:t>There’s so much missing, ‘cause you just read it but you can’t really interact … you want to see emotions and all that</w:t>
      </w:r>
      <w:r w:rsidRPr="0031323F">
        <w:rPr>
          <w:rFonts w:ascii="Arial" w:hAnsi="Arial" w:cs="Arial"/>
          <w:sz w:val="20"/>
          <w:szCs w:val="20"/>
        </w:rPr>
        <w:t xml:space="preserve">’ (Participant 3.4). Critically, the training not only helps </w:t>
      </w:r>
      <w:r w:rsidR="00777AEB" w:rsidRPr="0031323F">
        <w:rPr>
          <w:rFonts w:ascii="Arial" w:hAnsi="Arial" w:cs="Arial"/>
          <w:sz w:val="20"/>
          <w:szCs w:val="20"/>
        </w:rPr>
        <w:t xml:space="preserve">students </w:t>
      </w:r>
      <w:r w:rsidRPr="0031323F">
        <w:rPr>
          <w:rFonts w:ascii="Arial" w:hAnsi="Arial" w:cs="Arial"/>
          <w:sz w:val="20"/>
          <w:szCs w:val="20"/>
        </w:rPr>
        <w:t>know who marked the</w:t>
      </w:r>
      <w:r w:rsidR="00777AEB" w:rsidRPr="0031323F">
        <w:rPr>
          <w:rFonts w:ascii="Arial" w:hAnsi="Arial" w:cs="Arial"/>
          <w:sz w:val="20"/>
          <w:szCs w:val="20"/>
        </w:rPr>
        <w:t>ir</w:t>
      </w:r>
      <w:r w:rsidRPr="0031323F">
        <w:rPr>
          <w:rFonts w:ascii="Arial" w:hAnsi="Arial" w:cs="Arial"/>
          <w:sz w:val="20"/>
          <w:szCs w:val="20"/>
        </w:rPr>
        <w:t xml:space="preserve"> work, it allows </w:t>
      </w:r>
      <w:r w:rsidR="00777AEB" w:rsidRPr="0031323F">
        <w:rPr>
          <w:rFonts w:ascii="Arial" w:hAnsi="Arial" w:cs="Arial"/>
          <w:sz w:val="20"/>
          <w:szCs w:val="20"/>
        </w:rPr>
        <w:t xml:space="preserve">them </w:t>
      </w:r>
      <w:r w:rsidRPr="0031323F">
        <w:rPr>
          <w:rFonts w:ascii="Arial" w:hAnsi="Arial" w:cs="Arial"/>
          <w:sz w:val="20"/>
          <w:szCs w:val="20"/>
        </w:rPr>
        <w:t>to connect with the feedback</w:t>
      </w:r>
      <w:r w:rsidR="00777AEB" w:rsidRPr="0031323F">
        <w:rPr>
          <w:rFonts w:ascii="Arial" w:hAnsi="Arial" w:cs="Arial"/>
          <w:sz w:val="20"/>
          <w:szCs w:val="20"/>
        </w:rPr>
        <w:t xml:space="preserve"> and the marker</w:t>
      </w:r>
      <w:r w:rsidRPr="0031323F">
        <w:rPr>
          <w:rFonts w:ascii="Arial" w:hAnsi="Arial" w:cs="Arial"/>
          <w:sz w:val="20"/>
          <w:szCs w:val="20"/>
        </w:rPr>
        <w:t xml:space="preserve"> on an emotional level, which was seen as missing by Participant 3.4: ‘</w:t>
      </w:r>
      <w:r w:rsidRPr="0031323F">
        <w:rPr>
          <w:rFonts w:ascii="Arial" w:hAnsi="Arial" w:cs="Arial"/>
          <w:i/>
          <w:sz w:val="20"/>
          <w:szCs w:val="20"/>
        </w:rPr>
        <w:t>It changes the way you read … if you didn’t know, you wouldn’t know whose sort of eyes you’re reading it through</w:t>
      </w:r>
      <w:r w:rsidRPr="0031323F">
        <w:rPr>
          <w:rFonts w:ascii="Arial" w:hAnsi="Arial" w:cs="Arial"/>
          <w:sz w:val="20"/>
          <w:szCs w:val="20"/>
        </w:rPr>
        <w:t xml:space="preserve">’ (Participant 1.2). As a whole, it is evident that </w:t>
      </w:r>
      <w:r w:rsidR="00DF25EF" w:rsidRPr="0031323F">
        <w:rPr>
          <w:rFonts w:ascii="Arial" w:hAnsi="Arial" w:cs="Arial"/>
          <w:sz w:val="20"/>
          <w:szCs w:val="20"/>
        </w:rPr>
        <w:t xml:space="preserve">structured </w:t>
      </w:r>
      <w:r w:rsidRPr="0031323F">
        <w:rPr>
          <w:rFonts w:ascii="Arial" w:hAnsi="Arial" w:cs="Arial"/>
          <w:sz w:val="20"/>
          <w:szCs w:val="20"/>
        </w:rPr>
        <w:t xml:space="preserve">training is not just seen as necessary to reduce stress; it has the potential to address concerns relating to </w:t>
      </w:r>
      <w:r w:rsidR="007B0183" w:rsidRPr="0031323F">
        <w:rPr>
          <w:rFonts w:ascii="Arial" w:hAnsi="Arial" w:cs="Arial"/>
          <w:sz w:val="20"/>
          <w:szCs w:val="20"/>
        </w:rPr>
        <w:t xml:space="preserve">interpretation (Andrade, 2010; Hast and Healy, in press; Hattie and </w:t>
      </w:r>
      <w:proofErr w:type="spellStart"/>
      <w:r w:rsidR="007B0183" w:rsidRPr="0031323F">
        <w:rPr>
          <w:rFonts w:ascii="Arial" w:hAnsi="Arial" w:cs="Arial"/>
          <w:sz w:val="20"/>
          <w:szCs w:val="20"/>
        </w:rPr>
        <w:t>Timperley</w:t>
      </w:r>
      <w:proofErr w:type="spellEnd"/>
      <w:r w:rsidR="007B0183" w:rsidRPr="0031323F">
        <w:rPr>
          <w:rFonts w:ascii="Arial" w:hAnsi="Arial" w:cs="Arial"/>
          <w:sz w:val="20"/>
          <w:szCs w:val="20"/>
        </w:rPr>
        <w:t xml:space="preserve">, 2007) and </w:t>
      </w:r>
      <w:r w:rsidRPr="0031323F">
        <w:rPr>
          <w:rFonts w:ascii="Arial" w:hAnsi="Arial" w:cs="Arial"/>
          <w:sz w:val="20"/>
          <w:szCs w:val="20"/>
        </w:rPr>
        <w:t>depersonalisation of students in their engagement with online feedback (McCabe et al., 2011; Parkin et al., 2012).</w:t>
      </w:r>
    </w:p>
    <w:p w:rsidR="0031323F" w:rsidRDefault="0031323F" w:rsidP="00234E39">
      <w:pPr>
        <w:spacing w:line="480" w:lineRule="auto"/>
        <w:rPr>
          <w:rFonts w:ascii="Arial" w:hAnsi="Arial" w:cs="Arial"/>
          <w:i/>
          <w:sz w:val="20"/>
          <w:szCs w:val="20"/>
        </w:rPr>
      </w:pPr>
    </w:p>
    <w:p w:rsidR="00B26946" w:rsidRPr="0031323F" w:rsidRDefault="00B26946" w:rsidP="00234E39">
      <w:pPr>
        <w:spacing w:line="480" w:lineRule="auto"/>
        <w:rPr>
          <w:rFonts w:ascii="Arial" w:hAnsi="Arial" w:cs="Arial"/>
          <w:b/>
          <w:i/>
          <w:sz w:val="20"/>
          <w:szCs w:val="20"/>
        </w:rPr>
      </w:pPr>
      <w:r w:rsidRPr="0031323F">
        <w:rPr>
          <w:rFonts w:ascii="Arial" w:hAnsi="Arial" w:cs="Arial"/>
          <w:i/>
          <w:sz w:val="20"/>
          <w:szCs w:val="20"/>
        </w:rPr>
        <w:t>Training and transition into higher education</w:t>
      </w:r>
    </w:p>
    <w:p w:rsidR="00B26946" w:rsidRPr="0031323F" w:rsidRDefault="00B26946" w:rsidP="00234E39">
      <w:pPr>
        <w:spacing w:line="480" w:lineRule="auto"/>
        <w:rPr>
          <w:rFonts w:ascii="Arial" w:hAnsi="Arial" w:cs="Arial"/>
          <w:sz w:val="20"/>
          <w:szCs w:val="20"/>
        </w:rPr>
      </w:pPr>
    </w:p>
    <w:p w:rsidR="00420B7C" w:rsidRPr="0031323F" w:rsidRDefault="007A0106" w:rsidP="00234E39">
      <w:pPr>
        <w:pStyle w:val="NoSpacing"/>
        <w:spacing w:line="480" w:lineRule="auto"/>
        <w:ind w:firstLine="567"/>
        <w:jc w:val="both"/>
        <w:rPr>
          <w:rFonts w:ascii="Arial" w:hAnsi="Arial" w:cs="Arial"/>
          <w:sz w:val="20"/>
          <w:szCs w:val="20"/>
        </w:rPr>
      </w:pPr>
      <w:r w:rsidRPr="0031323F">
        <w:rPr>
          <w:rFonts w:ascii="Arial" w:hAnsi="Arial" w:cs="Arial"/>
          <w:sz w:val="20"/>
          <w:szCs w:val="20"/>
        </w:rPr>
        <w:t xml:space="preserve">A final key area of interest was how structured training </w:t>
      </w:r>
      <w:r w:rsidR="00795F63" w:rsidRPr="0031323F">
        <w:rPr>
          <w:rFonts w:ascii="Arial" w:hAnsi="Arial" w:cs="Arial"/>
          <w:sz w:val="20"/>
          <w:szCs w:val="20"/>
        </w:rPr>
        <w:t>might</w:t>
      </w:r>
      <w:r w:rsidRPr="0031323F">
        <w:rPr>
          <w:rFonts w:ascii="Arial" w:hAnsi="Arial" w:cs="Arial"/>
          <w:sz w:val="20"/>
          <w:szCs w:val="20"/>
        </w:rPr>
        <w:t xml:space="preserve"> support the overall transition experience into higher education.</w:t>
      </w:r>
      <w:r w:rsidR="002035DF" w:rsidRPr="0031323F">
        <w:rPr>
          <w:rFonts w:ascii="Arial" w:hAnsi="Arial" w:cs="Arial"/>
          <w:sz w:val="20"/>
          <w:szCs w:val="20"/>
        </w:rPr>
        <w:t xml:space="preserve"> </w:t>
      </w:r>
      <w:r w:rsidR="00BC4E98" w:rsidRPr="0031323F">
        <w:rPr>
          <w:rFonts w:ascii="Arial" w:hAnsi="Arial" w:cs="Arial"/>
          <w:sz w:val="20"/>
          <w:szCs w:val="20"/>
        </w:rPr>
        <w:t xml:space="preserve">Where the training had not been experienced, students commented on the transition challenges in the particular context of online assessment and feedback: </w:t>
      </w:r>
      <w:r w:rsidR="00C72FD0" w:rsidRPr="0031323F">
        <w:rPr>
          <w:rFonts w:ascii="Arial" w:hAnsi="Arial" w:cs="Arial"/>
          <w:sz w:val="20"/>
          <w:szCs w:val="20"/>
        </w:rPr>
        <w:t>‘</w:t>
      </w:r>
      <w:r w:rsidR="00C72FD0" w:rsidRPr="0031323F">
        <w:rPr>
          <w:rFonts w:ascii="Arial" w:hAnsi="Arial" w:cs="Arial"/>
          <w:i/>
          <w:sz w:val="20"/>
          <w:szCs w:val="20"/>
        </w:rPr>
        <w:t>I spent quite a lot of time … just to get used to it … it was quite a big transition</w:t>
      </w:r>
      <w:r w:rsidR="00C72FD0" w:rsidRPr="0031323F">
        <w:rPr>
          <w:rFonts w:ascii="Arial" w:hAnsi="Arial" w:cs="Arial"/>
          <w:sz w:val="20"/>
          <w:szCs w:val="20"/>
        </w:rPr>
        <w:t>’</w:t>
      </w:r>
      <w:r w:rsidR="00A6441C" w:rsidRPr="0031323F">
        <w:rPr>
          <w:rFonts w:ascii="Arial" w:hAnsi="Arial" w:cs="Arial"/>
          <w:sz w:val="20"/>
          <w:szCs w:val="20"/>
        </w:rPr>
        <w:t xml:space="preserve"> (</w:t>
      </w:r>
      <w:r w:rsidR="00BC4E98" w:rsidRPr="0031323F">
        <w:rPr>
          <w:rFonts w:ascii="Arial" w:hAnsi="Arial" w:cs="Arial"/>
          <w:sz w:val="20"/>
          <w:szCs w:val="20"/>
        </w:rPr>
        <w:t xml:space="preserve">Participant </w:t>
      </w:r>
      <w:r w:rsidR="00A6441C" w:rsidRPr="0031323F">
        <w:rPr>
          <w:rFonts w:ascii="Arial" w:hAnsi="Arial" w:cs="Arial"/>
          <w:sz w:val="20"/>
          <w:szCs w:val="20"/>
        </w:rPr>
        <w:t>3.2)</w:t>
      </w:r>
      <w:r w:rsidR="00BC4E98" w:rsidRPr="0031323F">
        <w:rPr>
          <w:rFonts w:ascii="Arial" w:hAnsi="Arial" w:cs="Arial"/>
          <w:sz w:val="20"/>
          <w:szCs w:val="20"/>
        </w:rPr>
        <w:t xml:space="preserve">. Being aware of this perspective should help to understand how appropriate training and support can enhance motivation to engage with feedback and thus reduce potential issues surrounding retention (cf. Gale and Parker, 2014; </w:t>
      </w:r>
      <w:r w:rsidR="005957B1" w:rsidRPr="0031323F">
        <w:rPr>
          <w:rFonts w:ascii="Arial" w:hAnsi="Arial" w:cs="Arial"/>
          <w:sz w:val="20"/>
          <w:szCs w:val="20"/>
        </w:rPr>
        <w:t xml:space="preserve">Hast and Healy, in press; </w:t>
      </w:r>
      <w:proofErr w:type="spellStart"/>
      <w:r w:rsidR="00BC4E98" w:rsidRPr="0031323F">
        <w:rPr>
          <w:rFonts w:ascii="Arial" w:hAnsi="Arial" w:cs="Arial"/>
          <w:sz w:val="20"/>
          <w:szCs w:val="20"/>
        </w:rPr>
        <w:t>Kift</w:t>
      </w:r>
      <w:proofErr w:type="spellEnd"/>
      <w:r w:rsidR="00BC4E98" w:rsidRPr="0031323F">
        <w:rPr>
          <w:rFonts w:ascii="Arial" w:hAnsi="Arial" w:cs="Arial"/>
          <w:sz w:val="20"/>
          <w:szCs w:val="20"/>
        </w:rPr>
        <w:t xml:space="preserve"> et al., 2010). This becomes particularly clear when placing this in contrast to </w:t>
      </w:r>
      <w:r w:rsidR="000F0FDA" w:rsidRPr="0031323F">
        <w:rPr>
          <w:rFonts w:ascii="Arial" w:hAnsi="Arial" w:cs="Arial"/>
          <w:sz w:val="20"/>
          <w:szCs w:val="20"/>
        </w:rPr>
        <w:t>the students who went through the structured training</w:t>
      </w:r>
      <w:r w:rsidR="00BC4E98" w:rsidRPr="0031323F">
        <w:rPr>
          <w:rFonts w:ascii="Arial" w:hAnsi="Arial" w:cs="Arial"/>
          <w:sz w:val="20"/>
          <w:szCs w:val="20"/>
        </w:rPr>
        <w:t>, whose</w:t>
      </w:r>
      <w:r w:rsidR="000F0FDA" w:rsidRPr="0031323F">
        <w:rPr>
          <w:rFonts w:ascii="Arial" w:hAnsi="Arial" w:cs="Arial"/>
          <w:sz w:val="20"/>
          <w:szCs w:val="20"/>
        </w:rPr>
        <w:t xml:space="preserve"> </w:t>
      </w:r>
      <w:r w:rsidR="00BC4E98" w:rsidRPr="0031323F">
        <w:rPr>
          <w:rFonts w:ascii="Arial" w:hAnsi="Arial" w:cs="Arial"/>
          <w:sz w:val="20"/>
          <w:szCs w:val="20"/>
        </w:rPr>
        <w:t xml:space="preserve">views </w:t>
      </w:r>
      <w:r w:rsidR="000F0FDA" w:rsidRPr="0031323F">
        <w:rPr>
          <w:rFonts w:ascii="Arial" w:hAnsi="Arial" w:cs="Arial"/>
          <w:sz w:val="20"/>
          <w:szCs w:val="20"/>
        </w:rPr>
        <w:t>were far more positive in relation to their transition experience. The training ‘</w:t>
      </w:r>
      <w:r w:rsidR="000F0FDA" w:rsidRPr="0031323F">
        <w:rPr>
          <w:rFonts w:ascii="Arial" w:hAnsi="Arial" w:cs="Arial"/>
          <w:i/>
          <w:sz w:val="20"/>
          <w:szCs w:val="20"/>
        </w:rPr>
        <w:t>allowed the transition to be a lot smoother</w:t>
      </w:r>
      <w:r w:rsidR="000F0FDA" w:rsidRPr="0031323F">
        <w:rPr>
          <w:rFonts w:ascii="Arial" w:hAnsi="Arial" w:cs="Arial"/>
          <w:sz w:val="20"/>
          <w:szCs w:val="20"/>
        </w:rPr>
        <w:t>’ (Survey), and as a result</w:t>
      </w:r>
      <w:r w:rsidR="00D3494A" w:rsidRPr="0031323F">
        <w:rPr>
          <w:rFonts w:ascii="Arial" w:hAnsi="Arial" w:cs="Arial"/>
          <w:sz w:val="20"/>
          <w:szCs w:val="20"/>
        </w:rPr>
        <w:t>,</w:t>
      </w:r>
      <w:r w:rsidR="000F0FDA" w:rsidRPr="0031323F">
        <w:rPr>
          <w:rFonts w:ascii="Arial" w:hAnsi="Arial" w:cs="Arial"/>
          <w:sz w:val="20"/>
          <w:szCs w:val="20"/>
        </w:rPr>
        <w:t xml:space="preserve"> Participant 2.4 was able to comment that the training ‘</w:t>
      </w:r>
      <w:r w:rsidR="000F0FDA" w:rsidRPr="0031323F">
        <w:rPr>
          <w:rFonts w:ascii="Arial" w:hAnsi="Arial" w:cs="Arial"/>
          <w:i/>
          <w:sz w:val="20"/>
          <w:szCs w:val="20"/>
        </w:rPr>
        <w:t>h</w:t>
      </w:r>
      <w:r w:rsidR="00420B7C" w:rsidRPr="0031323F">
        <w:rPr>
          <w:rFonts w:ascii="Arial" w:hAnsi="Arial" w:cs="Arial"/>
          <w:i/>
          <w:sz w:val="20"/>
          <w:szCs w:val="20"/>
        </w:rPr>
        <w:t>as made higher education better</w:t>
      </w:r>
      <w:r w:rsidR="00EC7048" w:rsidRPr="0031323F">
        <w:rPr>
          <w:rFonts w:ascii="Arial" w:hAnsi="Arial" w:cs="Arial"/>
          <w:sz w:val="20"/>
          <w:szCs w:val="20"/>
        </w:rPr>
        <w:t>’</w:t>
      </w:r>
      <w:r w:rsidR="000F0FDA" w:rsidRPr="0031323F">
        <w:rPr>
          <w:rFonts w:ascii="Arial" w:hAnsi="Arial" w:cs="Arial"/>
          <w:sz w:val="20"/>
          <w:szCs w:val="20"/>
        </w:rPr>
        <w:t>.</w:t>
      </w:r>
      <w:r w:rsidR="00647566" w:rsidRPr="0031323F">
        <w:rPr>
          <w:rFonts w:ascii="Arial" w:hAnsi="Arial" w:cs="Arial"/>
          <w:sz w:val="20"/>
          <w:szCs w:val="20"/>
        </w:rPr>
        <w:t xml:space="preserve"> It is thus evident that appropriate training impacts the overall student transition experience, making it easier and more efficient.</w:t>
      </w:r>
    </w:p>
    <w:p w:rsidR="007B0183" w:rsidRPr="0031323F" w:rsidRDefault="007B0183" w:rsidP="00234E39">
      <w:pPr>
        <w:spacing w:line="480" w:lineRule="auto"/>
        <w:rPr>
          <w:rFonts w:ascii="Arial" w:hAnsi="Arial" w:cs="Arial"/>
          <w:b/>
          <w:sz w:val="20"/>
          <w:szCs w:val="20"/>
        </w:rPr>
      </w:pPr>
    </w:p>
    <w:p w:rsidR="0057417A" w:rsidRPr="0031323F" w:rsidRDefault="0057417A" w:rsidP="00234E39">
      <w:pPr>
        <w:spacing w:line="480" w:lineRule="auto"/>
        <w:rPr>
          <w:rFonts w:ascii="Arial" w:hAnsi="Arial" w:cs="Arial"/>
          <w:b/>
          <w:sz w:val="20"/>
          <w:szCs w:val="20"/>
        </w:rPr>
      </w:pPr>
      <w:r w:rsidRPr="0031323F">
        <w:rPr>
          <w:rFonts w:ascii="Arial" w:hAnsi="Arial" w:cs="Arial"/>
          <w:b/>
          <w:sz w:val="20"/>
          <w:szCs w:val="20"/>
        </w:rPr>
        <w:lastRenderedPageBreak/>
        <w:t>Conclusion</w:t>
      </w:r>
    </w:p>
    <w:p w:rsidR="00ED5407" w:rsidRPr="0031323F" w:rsidRDefault="00ED5407" w:rsidP="00234E39">
      <w:pPr>
        <w:spacing w:line="480" w:lineRule="auto"/>
        <w:rPr>
          <w:rFonts w:ascii="Arial" w:hAnsi="Arial" w:cs="Arial"/>
          <w:b/>
          <w:sz w:val="20"/>
          <w:szCs w:val="20"/>
        </w:rPr>
      </w:pPr>
    </w:p>
    <w:p w:rsidR="0031323F" w:rsidRPr="001A4166" w:rsidRDefault="00467C71" w:rsidP="001A4166">
      <w:pPr>
        <w:pStyle w:val="NoSpacing"/>
        <w:spacing w:line="480" w:lineRule="auto"/>
        <w:ind w:firstLine="567"/>
        <w:jc w:val="both"/>
        <w:rPr>
          <w:rFonts w:ascii="Arial" w:hAnsi="Arial" w:cs="Arial"/>
          <w:sz w:val="20"/>
          <w:szCs w:val="20"/>
          <w:vertAlign w:val="subscript"/>
        </w:rPr>
      </w:pPr>
      <w:r w:rsidRPr="0031323F">
        <w:rPr>
          <w:rFonts w:ascii="Arial" w:hAnsi="Arial" w:cs="Arial"/>
          <w:sz w:val="20"/>
          <w:szCs w:val="20"/>
        </w:rPr>
        <w:t>Despite an ever increasing digitally competent and confident student body, which means higher education institutions must realign and reform their digital approaches</w:t>
      </w:r>
      <w:r w:rsidR="00F5034A" w:rsidRPr="0031323F">
        <w:rPr>
          <w:rFonts w:ascii="Arial" w:hAnsi="Arial" w:cs="Arial"/>
          <w:sz w:val="20"/>
          <w:szCs w:val="20"/>
        </w:rPr>
        <w:t xml:space="preserve"> to teaching and learning</w:t>
      </w:r>
      <w:r w:rsidRPr="0031323F">
        <w:rPr>
          <w:rFonts w:ascii="Arial" w:hAnsi="Arial" w:cs="Arial"/>
          <w:sz w:val="20"/>
          <w:szCs w:val="20"/>
        </w:rPr>
        <w:t xml:space="preserve">, </w:t>
      </w:r>
      <w:r w:rsidR="00F5034A" w:rsidRPr="0031323F">
        <w:rPr>
          <w:rFonts w:ascii="Arial" w:hAnsi="Arial" w:cs="Arial"/>
          <w:sz w:val="20"/>
          <w:szCs w:val="20"/>
        </w:rPr>
        <w:t>this student body still requires support to make the transition into higher education – even on a technological level. The data presented here have shown that structured training can support students in an effective manner. It reduces the stress of the overall transition experience, builds confidence in their experiences with submission and feedback access processes, and has the potential to foster their engagement by reducing depersonalisation.</w:t>
      </w:r>
    </w:p>
    <w:p w:rsidR="00750FDF" w:rsidRPr="0031323F" w:rsidRDefault="00750FDF" w:rsidP="00234E39">
      <w:pPr>
        <w:spacing w:line="480" w:lineRule="auto"/>
        <w:rPr>
          <w:rFonts w:ascii="Arial" w:hAnsi="Arial" w:cs="Arial"/>
          <w:b/>
          <w:sz w:val="20"/>
          <w:szCs w:val="20"/>
        </w:rPr>
      </w:pPr>
    </w:p>
    <w:p w:rsidR="001979B9" w:rsidRPr="0031323F" w:rsidRDefault="001979B9" w:rsidP="00234E39">
      <w:pPr>
        <w:spacing w:line="480" w:lineRule="auto"/>
        <w:rPr>
          <w:rFonts w:ascii="Arial" w:hAnsi="Arial" w:cs="Arial"/>
          <w:b/>
          <w:sz w:val="20"/>
          <w:szCs w:val="20"/>
        </w:rPr>
      </w:pPr>
      <w:r w:rsidRPr="0031323F">
        <w:rPr>
          <w:rFonts w:ascii="Arial" w:hAnsi="Arial" w:cs="Arial"/>
          <w:b/>
          <w:sz w:val="20"/>
          <w:szCs w:val="20"/>
        </w:rPr>
        <w:t>References</w:t>
      </w:r>
    </w:p>
    <w:p w:rsidR="0031046C" w:rsidRPr="0031323F" w:rsidRDefault="0031046C" w:rsidP="00234E39">
      <w:pPr>
        <w:spacing w:line="480" w:lineRule="auto"/>
        <w:rPr>
          <w:rFonts w:ascii="Arial" w:hAnsi="Arial" w:cs="Arial"/>
          <w:b/>
          <w:sz w:val="20"/>
          <w:szCs w:val="20"/>
        </w:rPr>
      </w:pPr>
    </w:p>
    <w:p w:rsidR="00DF25EF" w:rsidRPr="0031323F" w:rsidRDefault="00DF25EF" w:rsidP="00234E39">
      <w:pPr>
        <w:pStyle w:val="NoSpacing"/>
        <w:spacing w:line="480" w:lineRule="auto"/>
        <w:ind w:left="567" w:hanging="567"/>
        <w:jc w:val="both"/>
        <w:rPr>
          <w:rFonts w:ascii="Arial" w:hAnsi="Arial" w:cs="Arial"/>
          <w:sz w:val="20"/>
          <w:szCs w:val="20"/>
        </w:rPr>
      </w:pPr>
      <w:r w:rsidRPr="0031323F">
        <w:rPr>
          <w:rFonts w:ascii="Arial" w:hAnsi="Arial" w:cs="Arial"/>
          <w:sz w:val="20"/>
          <w:szCs w:val="20"/>
        </w:rPr>
        <w:t>Abrahams</w:t>
      </w:r>
      <w:r w:rsidR="0031046C">
        <w:rPr>
          <w:rFonts w:ascii="Arial" w:hAnsi="Arial" w:cs="Arial"/>
          <w:sz w:val="20"/>
          <w:szCs w:val="20"/>
        </w:rPr>
        <w:t>,</w:t>
      </w:r>
      <w:r w:rsidRPr="0031323F">
        <w:rPr>
          <w:rFonts w:ascii="Arial" w:hAnsi="Arial" w:cs="Arial"/>
          <w:sz w:val="20"/>
          <w:szCs w:val="20"/>
        </w:rPr>
        <w:t xml:space="preserve"> D</w:t>
      </w:r>
      <w:r w:rsidR="0031046C">
        <w:rPr>
          <w:rFonts w:ascii="Arial" w:hAnsi="Arial" w:cs="Arial"/>
          <w:sz w:val="20"/>
          <w:szCs w:val="20"/>
        </w:rPr>
        <w:t xml:space="preserve">. </w:t>
      </w:r>
      <w:r w:rsidRPr="0031323F">
        <w:rPr>
          <w:rFonts w:ascii="Arial" w:hAnsi="Arial" w:cs="Arial"/>
          <w:sz w:val="20"/>
          <w:szCs w:val="20"/>
        </w:rPr>
        <w:t>A</w:t>
      </w:r>
      <w:r w:rsidR="0031046C">
        <w:rPr>
          <w:rFonts w:ascii="Arial" w:hAnsi="Arial" w:cs="Arial"/>
          <w:sz w:val="20"/>
          <w:szCs w:val="20"/>
        </w:rPr>
        <w:t>.</w:t>
      </w:r>
      <w:r w:rsidRPr="0031323F">
        <w:rPr>
          <w:rFonts w:ascii="Arial" w:hAnsi="Arial" w:cs="Arial"/>
          <w:sz w:val="20"/>
          <w:szCs w:val="20"/>
        </w:rPr>
        <w:t xml:space="preserve"> (2010) </w:t>
      </w:r>
      <w:r w:rsidR="0031046C">
        <w:rPr>
          <w:rFonts w:ascii="Arial" w:hAnsi="Arial" w:cs="Arial"/>
          <w:sz w:val="20"/>
          <w:szCs w:val="20"/>
        </w:rPr>
        <w:t>‘</w:t>
      </w:r>
      <w:r w:rsidRPr="0031323F">
        <w:rPr>
          <w:rFonts w:ascii="Arial" w:hAnsi="Arial" w:cs="Arial"/>
          <w:sz w:val="20"/>
          <w:szCs w:val="20"/>
        </w:rPr>
        <w:t>Technology adoption in higher education: A framework for identifying and prioritising issues and barriers to adoption of instructional technology</w:t>
      </w:r>
      <w:r w:rsidR="0031046C">
        <w:rPr>
          <w:rFonts w:ascii="Arial" w:hAnsi="Arial" w:cs="Arial"/>
          <w:sz w:val="20"/>
          <w:szCs w:val="20"/>
        </w:rPr>
        <w:t>’</w:t>
      </w:r>
      <w:r w:rsidRPr="0031323F">
        <w:rPr>
          <w:rFonts w:ascii="Arial" w:hAnsi="Arial" w:cs="Arial"/>
          <w:sz w:val="20"/>
          <w:szCs w:val="20"/>
        </w:rPr>
        <w:t xml:space="preserve">. </w:t>
      </w:r>
      <w:r w:rsidRPr="0031323F">
        <w:rPr>
          <w:rFonts w:ascii="Arial" w:hAnsi="Arial" w:cs="Arial"/>
          <w:i/>
          <w:sz w:val="20"/>
          <w:szCs w:val="20"/>
        </w:rPr>
        <w:t>Journal of Applied Research in Higher Education</w:t>
      </w:r>
      <w:r w:rsidRPr="0031323F">
        <w:rPr>
          <w:rFonts w:ascii="Arial" w:hAnsi="Arial" w:cs="Arial"/>
          <w:sz w:val="20"/>
          <w:szCs w:val="20"/>
        </w:rPr>
        <w:t>, 2</w:t>
      </w:r>
      <w:r w:rsidR="0031046C">
        <w:rPr>
          <w:rFonts w:ascii="Arial" w:hAnsi="Arial" w:cs="Arial"/>
          <w:sz w:val="20"/>
          <w:szCs w:val="20"/>
        </w:rPr>
        <w:t xml:space="preserve">(2), pp. </w:t>
      </w:r>
      <w:r w:rsidRPr="0031323F">
        <w:rPr>
          <w:rFonts w:ascii="Arial" w:hAnsi="Arial" w:cs="Arial"/>
          <w:sz w:val="20"/>
          <w:szCs w:val="20"/>
        </w:rPr>
        <w:t>34-49.</w:t>
      </w:r>
    </w:p>
    <w:p w:rsidR="00DF25EF" w:rsidRPr="0031046C" w:rsidRDefault="00DF25EF" w:rsidP="00234E39">
      <w:pPr>
        <w:pStyle w:val="NoSpacing"/>
        <w:spacing w:line="480" w:lineRule="auto"/>
        <w:ind w:left="567" w:hanging="567"/>
        <w:jc w:val="both"/>
        <w:rPr>
          <w:rFonts w:ascii="Arial" w:hAnsi="Arial" w:cs="Arial"/>
          <w:sz w:val="20"/>
          <w:szCs w:val="20"/>
        </w:rPr>
      </w:pPr>
      <w:proofErr w:type="spellStart"/>
      <w:proofErr w:type="gramStart"/>
      <w:r w:rsidRPr="0031046C">
        <w:rPr>
          <w:rFonts w:ascii="Arial" w:hAnsi="Arial" w:cs="Arial"/>
          <w:sz w:val="20"/>
          <w:szCs w:val="20"/>
        </w:rPr>
        <w:t>Altbach</w:t>
      </w:r>
      <w:proofErr w:type="spellEnd"/>
      <w:r w:rsidR="0031046C" w:rsidRPr="0031046C">
        <w:rPr>
          <w:rFonts w:ascii="Arial" w:hAnsi="Arial" w:cs="Arial"/>
          <w:sz w:val="20"/>
          <w:szCs w:val="20"/>
        </w:rPr>
        <w:t>,</w:t>
      </w:r>
      <w:r w:rsidRPr="0031046C">
        <w:rPr>
          <w:rFonts w:ascii="Arial" w:hAnsi="Arial" w:cs="Arial"/>
          <w:sz w:val="20"/>
          <w:szCs w:val="20"/>
        </w:rPr>
        <w:t xml:space="preserve"> P</w:t>
      </w:r>
      <w:r w:rsidR="0031046C" w:rsidRPr="0031046C">
        <w:rPr>
          <w:rFonts w:ascii="Arial" w:hAnsi="Arial" w:cs="Arial"/>
          <w:sz w:val="20"/>
          <w:szCs w:val="20"/>
        </w:rPr>
        <w:t xml:space="preserve">. </w:t>
      </w:r>
      <w:r w:rsidRPr="0031046C">
        <w:rPr>
          <w:rFonts w:ascii="Arial" w:hAnsi="Arial" w:cs="Arial"/>
          <w:sz w:val="20"/>
          <w:szCs w:val="20"/>
        </w:rPr>
        <w:t>G</w:t>
      </w:r>
      <w:r w:rsidR="0031046C" w:rsidRPr="0031046C">
        <w:rPr>
          <w:rFonts w:ascii="Arial" w:hAnsi="Arial" w:cs="Arial"/>
          <w:sz w:val="20"/>
          <w:szCs w:val="20"/>
        </w:rPr>
        <w:t>.</w:t>
      </w:r>
      <w:r w:rsidRPr="0031046C">
        <w:rPr>
          <w:rFonts w:ascii="Arial" w:hAnsi="Arial" w:cs="Arial"/>
          <w:sz w:val="20"/>
          <w:szCs w:val="20"/>
        </w:rPr>
        <w:t xml:space="preserve">, </w:t>
      </w:r>
      <w:proofErr w:type="spellStart"/>
      <w:r w:rsidRPr="0031046C">
        <w:rPr>
          <w:rFonts w:ascii="Arial" w:hAnsi="Arial" w:cs="Arial"/>
          <w:sz w:val="20"/>
          <w:szCs w:val="20"/>
        </w:rPr>
        <w:t>Reisberg</w:t>
      </w:r>
      <w:proofErr w:type="spellEnd"/>
      <w:r w:rsidR="0031046C" w:rsidRPr="0031046C">
        <w:rPr>
          <w:rFonts w:ascii="Arial" w:hAnsi="Arial" w:cs="Arial"/>
          <w:sz w:val="20"/>
          <w:szCs w:val="20"/>
        </w:rPr>
        <w:t>,</w:t>
      </w:r>
      <w:r w:rsidRPr="0031046C">
        <w:rPr>
          <w:rFonts w:ascii="Arial" w:hAnsi="Arial" w:cs="Arial"/>
          <w:sz w:val="20"/>
          <w:szCs w:val="20"/>
        </w:rPr>
        <w:t xml:space="preserve"> L</w:t>
      </w:r>
      <w:r w:rsidR="0031046C" w:rsidRPr="0031046C">
        <w:rPr>
          <w:rFonts w:ascii="Arial" w:hAnsi="Arial" w:cs="Arial"/>
          <w:sz w:val="20"/>
          <w:szCs w:val="20"/>
        </w:rPr>
        <w:t>.</w:t>
      </w:r>
      <w:r w:rsidRPr="0031046C">
        <w:rPr>
          <w:rFonts w:ascii="Arial" w:hAnsi="Arial" w:cs="Arial"/>
          <w:sz w:val="20"/>
          <w:szCs w:val="20"/>
        </w:rPr>
        <w:t xml:space="preserve"> and </w:t>
      </w:r>
      <w:proofErr w:type="spellStart"/>
      <w:r w:rsidRPr="0031046C">
        <w:rPr>
          <w:rFonts w:ascii="Arial" w:hAnsi="Arial" w:cs="Arial"/>
          <w:sz w:val="20"/>
          <w:szCs w:val="20"/>
        </w:rPr>
        <w:t>Rumbley</w:t>
      </w:r>
      <w:proofErr w:type="spellEnd"/>
      <w:r w:rsidR="0031046C" w:rsidRPr="0031046C">
        <w:rPr>
          <w:rFonts w:ascii="Arial" w:hAnsi="Arial" w:cs="Arial"/>
          <w:sz w:val="20"/>
          <w:szCs w:val="20"/>
        </w:rPr>
        <w:t>,</w:t>
      </w:r>
      <w:r w:rsidRPr="0031046C">
        <w:rPr>
          <w:rFonts w:ascii="Arial" w:hAnsi="Arial" w:cs="Arial"/>
          <w:sz w:val="20"/>
          <w:szCs w:val="20"/>
        </w:rPr>
        <w:t xml:space="preserve"> L</w:t>
      </w:r>
      <w:r w:rsidR="0031046C" w:rsidRPr="0031046C">
        <w:rPr>
          <w:rFonts w:ascii="Arial" w:hAnsi="Arial" w:cs="Arial"/>
          <w:sz w:val="20"/>
          <w:szCs w:val="20"/>
        </w:rPr>
        <w:t xml:space="preserve">. </w:t>
      </w:r>
      <w:r w:rsidRPr="0031046C">
        <w:rPr>
          <w:rFonts w:ascii="Arial" w:hAnsi="Arial" w:cs="Arial"/>
          <w:sz w:val="20"/>
          <w:szCs w:val="20"/>
        </w:rPr>
        <w:t>E</w:t>
      </w:r>
      <w:r w:rsidR="0031046C" w:rsidRPr="0031046C">
        <w:rPr>
          <w:rFonts w:ascii="Arial" w:hAnsi="Arial" w:cs="Arial"/>
          <w:sz w:val="20"/>
          <w:szCs w:val="20"/>
        </w:rPr>
        <w:t>.</w:t>
      </w:r>
      <w:r w:rsidRPr="0031046C">
        <w:rPr>
          <w:rFonts w:ascii="Arial" w:hAnsi="Arial" w:cs="Arial"/>
          <w:sz w:val="20"/>
          <w:szCs w:val="20"/>
        </w:rPr>
        <w:t xml:space="preserve"> (2009) </w:t>
      </w:r>
      <w:r w:rsidRPr="0031046C">
        <w:rPr>
          <w:rFonts w:ascii="Arial" w:hAnsi="Arial" w:cs="Arial"/>
          <w:i/>
          <w:sz w:val="20"/>
          <w:szCs w:val="20"/>
        </w:rPr>
        <w:t>Trends in Global Higher Education: Tracking an Academic Revolution</w:t>
      </w:r>
      <w:r w:rsidRPr="0031046C">
        <w:rPr>
          <w:rFonts w:ascii="Arial" w:hAnsi="Arial" w:cs="Arial"/>
          <w:sz w:val="20"/>
          <w:szCs w:val="20"/>
        </w:rPr>
        <w:t>.</w:t>
      </w:r>
      <w:proofErr w:type="gramEnd"/>
      <w:r w:rsidRPr="0031046C">
        <w:rPr>
          <w:rFonts w:ascii="Arial" w:hAnsi="Arial" w:cs="Arial"/>
          <w:sz w:val="20"/>
          <w:szCs w:val="20"/>
        </w:rPr>
        <w:t xml:space="preserve"> Paris: UNESCO.</w:t>
      </w:r>
    </w:p>
    <w:p w:rsidR="000407CE" w:rsidRPr="0031046C" w:rsidRDefault="00EE7548" w:rsidP="00234E39">
      <w:pPr>
        <w:pStyle w:val="NoSpacing"/>
        <w:spacing w:line="480" w:lineRule="auto"/>
        <w:ind w:left="567" w:hanging="567"/>
        <w:jc w:val="both"/>
        <w:rPr>
          <w:rFonts w:ascii="Arial" w:hAnsi="Arial" w:cs="Arial"/>
          <w:sz w:val="20"/>
          <w:szCs w:val="20"/>
        </w:rPr>
      </w:pPr>
      <w:r w:rsidRPr="0031046C">
        <w:rPr>
          <w:rFonts w:ascii="Arial" w:hAnsi="Arial" w:cs="Arial"/>
          <w:sz w:val="20"/>
          <w:szCs w:val="20"/>
        </w:rPr>
        <w:t>Ambler</w:t>
      </w:r>
      <w:r w:rsidR="0031046C" w:rsidRPr="0031046C">
        <w:rPr>
          <w:rFonts w:ascii="Arial" w:hAnsi="Arial" w:cs="Arial"/>
          <w:sz w:val="20"/>
          <w:szCs w:val="20"/>
        </w:rPr>
        <w:t>,</w:t>
      </w:r>
      <w:r w:rsidRPr="0031046C">
        <w:rPr>
          <w:rFonts w:ascii="Arial" w:hAnsi="Arial" w:cs="Arial"/>
          <w:sz w:val="20"/>
          <w:szCs w:val="20"/>
        </w:rPr>
        <w:t xml:space="preserve"> T</w:t>
      </w:r>
      <w:r w:rsidR="0031046C" w:rsidRPr="0031046C">
        <w:rPr>
          <w:rFonts w:ascii="Arial" w:hAnsi="Arial" w:cs="Arial"/>
          <w:sz w:val="20"/>
          <w:szCs w:val="20"/>
        </w:rPr>
        <w:t>.</w:t>
      </w:r>
      <w:r w:rsidRPr="0031046C">
        <w:rPr>
          <w:rFonts w:ascii="Arial" w:hAnsi="Arial" w:cs="Arial"/>
          <w:sz w:val="20"/>
          <w:szCs w:val="20"/>
        </w:rPr>
        <w:t xml:space="preserve">, </w:t>
      </w:r>
      <w:proofErr w:type="spellStart"/>
      <w:r w:rsidRPr="0031046C">
        <w:rPr>
          <w:rFonts w:ascii="Arial" w:hAnsi="Arial" w:cs="Arial"/>
          <w:sz w:val="20"/>
          <w:szCs w:val="20"/>
        </w:rPr>
        <w:t>Breyer</w:t>
      </w:r>
      <w:proofErr w:type="spellEnd"/>
      <w:r w:rsidR="0031046C" w:rsidRPr="0031046C">
        <w:rPr>
          <w:rFonts w:ascii="Arial" w:hAnsi="Arial" w:cs="Arial"/>
          <w:sz w:val="20"/>
          <w:szCs w:val="20"/>
        </w:rPr>
        <w:t>,</w:t>
      </w:r>
      <w:r w:rsidRPr="0031046C">
        <w:rPr>
          <w:rFonts w:ascii="Arial" w:hAnsi="Arial" w:cs="Arial"/>
          <w:sz w:val="20"/>
          <w:szCs w:val="20"/>
        </w:rPr>
        <w:t xml:space="preserve"> Y</w:t>
      </w:r>
      <w:r w:rsidR="0031046C" w:rsidRPr="0031046C">
        <w:rPr>
          <w:rFonts w:ascii="Arial" w:hAnsi="Arial" w:cs="Arial"/>
          <w:sz w:val="20"/>
          <w:szCs w:val="20"/>
        </w:rPr>
        <w:t>.</w:t>
      </w:r>
      <w:r w:rsidRPr="0031046C">
        <w:rPr>
          <w:rFonts w:ascii="Arial" w:hAnsi="Arial" w:cs="Arial"/>
          <w:sz w:val="20"/>
          <w:szCs w:val="20"/>
        </w:rPr>
        <w:t xml:space="preserve"> and Young</w:t>
      </w:r>
      <w:r w:rsidR="0031046C" w:rsidRPr="0031046C">
        <w:rPr>
          <w:rFonts w:ascii="Arial" w:hAnsi="Arial" w:cs="Arial"/>
          <w:sz w:val="20"/>
          <w:szCs w:val="20"/>
        </w:rPr>
        <w:t>,</w:t>
      </w:r>
      <w:r w:rsidRPr="0031046C">
        <w:rPr>
          <w:rFonts w:ascii="Arial" w:hAnsi="Arial" w:cs="Arial"/>
          <w:sz w:val="20"/>
          <w:szCs w:val="20"/>
        </w:rPr>
        <w:t xml:space="preserve"> S</w:t>
      </w:r>
      <w:r w:rsidR="0031046C" w:rsidRPr="0031046C">
        <w:rPr>
          <w:rFonts w:ascii="Arial" w:hAnsi="Arial" w:cs="Arial"/>
          <w:sz w:val="20"/>
          <w:szCs w:val="20"/>
        </w:rPr>
        <w:t>.</w:t>
      </w:r>
      <w:r w:rsidRPr="0031046C">
        <w:rPr>
          <w:rFonts w:ascii="Arial" w:hAnsi="Arial" w:cs="Arial"/>
          <w:sz w:val="20"/>
          <w:szCs w:val="20"/>
        </w:rPr>
        <w:t xml:space="preserve"> (2014) </w:t>
      </w:r>
      <w:r w:rsidR="0031046C" w:rsidRPr="0031046C">
        <w:rPr>
          <w:rFonts w:ascii="Arial" w:hAnsi="Arial" w:cs="Arial"/>
          <w:sz w:val="20"/>
          <w:szCs w:val="20"/>
        </w:rPr>
        <w:t>‘</w:t>
      </w:r>
      <w:r w:rsidRPr="0031046C">
        <w:rPr>
          <w:rFonts w:ascii="Arial" w:hAnsi="Arial" w:cs="Arial"/>
          <w:sz w:val="20"/>
          <w:szCs w:val="20"/>
        </w:rPr>
        <w:t xml:space="preserve">Piloting online submission and online assessment with </w:t>
      </w:r>
      <w:proofErr w:type="spellStart"/>
      <w:r w:rsidRPr="0031046C">
        <w:rPr>
          <w:rFonts w:ascii="Arial" w:hAnsi="Arial" w:cs="Arial"/>
          <w:sz w:val="20"/>
          <w:szCs w:val="20"/>
        </w:rPr>
        <w:t>Grademark</w:t>
      </w:r>
      <w:proofErr w:type="spellEnd"/>
      <w:r w:rsidR="0031046C" w:rsidRPr="0031046C">
        <w:rPr>
          <w:rFonts w:ascii="Arial" w:hAnsi="Arial" w:cs="Arial"/>
          <w:sz w:val="20"/>
          <w:szCs w:val="20"/>
        </w:rPr>
        <w:t>’,</w:t>
      </w:r>
      <w:r w:rsidRPr="0031046C">
        <w:rPr>
          <w:rFonts w:ascii="Arial" w:hAnsi="Arial" w:cs="Arial"/>
          <w:sz w:val="20"/>
          <w:szCs w:val="20"/>
        </w:rPr>
        <w:t xml:space="preserve"> </w:t>
      </w:r>
      <w:r w:rsidR="0031046C" w:rsidRPr="0031046C">
        <w:rPr>
          <w:rFonts w:ascii="Arial" w:hAnsi="Arial" w:cs="Arial"/>
          <w:sz w:val="20"/>
          <w:szCs w:val="20"/>
        </w:rPr>
        <w:t>pp. 125-151, in Kennedy-Clark, S.</w:t>
      </w:r>
      <w:r w:rsidRPr="0031046C">
        <w:rPr>
          <w:rFonts w:ascii="Arial" w:hAnsi="Arial" w:cs="Arial"/>
          <w:sz w:val="20"/>
          <w:szCs w:val="20"/>
        </w:rPr>
        <w:t>, Everett</w:t>
      </w:r>
      <w:r w:rsidR="0031046C" w:rsidRPr="0031046C">
        <w:rPr>
          <w:rFonts w:ascii="Arial" w:hAnsi="Arial" w:cs="Arial"/>
          <w:sz w:val="20"/>
          <w:szCs w:val="20"/>
        </w:rPr>
        <w:t>,</w:t>
      </w:r>
      <w:r w:rsidRPr="0031046C">
        <w:rPr>
          <w:rFonts w:ascii="Arial" w:hAnsi="Arial" w:cs="Arial"/>
          <w:sz w:val="20"/>
          <w:szCs w:val="20"/>
        </w:rPr>
        <w:t xml:space="preserve"> K</w:t>
      </w:r>
      <w:r w:rsidR="0031046C" w:rsidRPr="0031046C">
        <w:rPr>
          <w:rFonts w:ascii="Arial" w:hAnsi="Arial" w:cs="Arial"/>
          <w:sz w:val="20"/>
          <w:szCs w:val="20"/>
        </w:rPr>
        <w:t>.</w:t>
      </w:r>
      <w:r w:rsidRPr="0031046C">
        <w:rPr>
          <w:rFonts w:ascii="Arial" w:hAnsi="Arial" w:cs="Arial"/>
          <w:sz w:val="20"/>
          <w:szCs w:val="20"/>
        </w:rPr>
        <w:t xml:space="preserve"> and Wheeler</w:t>
      </w:r>
      <w:r w:rsidR="0031046C" w:rsidRPr="0031046C">
        <w:rPr>
          <w:rFonts w:ascii="Arial" w:hAnsi="Arial" w:cs="Arial"/>
          <w:sz w:val="20"/>
          <w:szCs w:val="20"/>
        </w:rPr>
        <w:t>,</w:t>
      </w:r>
      <w:r w:rsidRPr="0031046C">
        <w:rPr>
          <w:rFonts w:ascii="Arial" w:hAnsi="Arial" w:cs="Arial"/>
          <w:sz w:val="20"/>
          <w:szCs w:val="20"/>
        </w:rPr>
        <w:t xml:space="preserve"> P</w:t>
      </w:r>
      <w:r w:rsidR="0031046C" w:rsidRPr="0031046C">
        <w:rPr>
          <w:rFonts w:ascii="Arial" w:hAnsi="Arial" w:cs="Arial"/>
          <w:sz w:val="20"/>
          <w:szCs w:val="20"/>
        </w:rPr>
        <w:t>.</w:t>
      </w:r>
      <w:r w:rsidRPr="0031046C">
        <w:rPr>
          <w:rFonts w:ascii="Arial" w:hAnsi="Arial" w:cs="Arial"/>
          <w:sz w:val="20"/>
          <w:szCs w:val="20"/>
        </w:rPr>
        <w:t xml:space="preserve"> (</w:t>
      </w:r>
      <w:proofErr w:type="spellStart"/>
      <w:proofErr w:type="gramStart"/>
      <w:r w:rsidRPr="0031046C">
        <w:rPr>
          <w:rFonts w:ascii="Arial" w:hAnsi="Arial" w:cs="Arial"/>
          <w:sz w:val="20"/>
          <w:szCs w:val="20"/>
        </w:rPr>
        <w:t>eds</w:t>
      </w:r>
      <w:proofErr w:type="spellEnd"/>
      <w:proofErr w:type="gramEnd"/>
      <w:r w:rsidRPr="0031046C">
        <w:rPr>
          <w:rFonts w:ascii="Arial" w:hAnsi="Arial" w:cs="Arial"/>
          <w:sz w:val="20"/>
          <w:szCs w:val="20"/>
        </w:rPr>
        <w:t xml:space="preserve">) </w:t>
      </w:r>
      <w:r w:rsidRPr="0031046C">
        <w:rPr>
          <w:rFonts w:ascii="Arial" w:hAnsi="Arial" w:cs="Arial"/>
          <w:i/>
          <w:sz w:val="20"/>
          <w:szCs w:val="20"/>
        </w:rPr>
        <w:t>Cases on the Assessment of Scenario and Game-Based Virtual Worlds in Higher Education</w:t>
      </w:r>
      <w:r w:rsidRPr="0031046C">
        <w:rPr>
          <w:rFonts w:ascii="Arial" w:hAnsi="Arial" w:cs="Arial"/>
          <w:sz w:val="20"/>
          <w:szCs w:val="20"/>
        </w:rPr>
        <w:t>. Hershey: Inform</w:t>
      </w:r>
      <w:r w:rsidR="0031046C">
        <w:rPr>
          <w:rFonts w:ascii="Arial" w:hAnsi="Arial" w:cs="Arial"/>
          <w:sz w:val="20"/>
          <w:szCs w:val="20"/>
        </w:rPr>
        <w:t>ation Science Reference</w:t>
      </w:r>
      <w:r w:rsidRPr="0031046C">
        <w:rPr>
          <w:rFonts w:ascii="Arial" w:hAnsi="Arial" w:cs="Arial"/>
          <w:sz w:val="20"/>
          <w:szCs w:val="20"/>
        </w:rPr>
        <w:t>.</w:t>
      </w:r>
    </w:p>
    <w:p w:rsidR="000407CE" w:rsidRPr="0031046C" w:rsidRDefault="000407CE" w:rsidP="00234E39">
      <w:pPr>
        <w:pStyle w:val="NoSpacing"/>
        <w:spacing w:line="480" w:lineRule="auto"/>
        <w:ind w:left="567" w:hanging="567"/>
        <w:jc w:val="both"/>
        <w:rPr>
          <w:rFonts w:ascii="Arial" w:hAnsi="Arial" w:cs="Arial"/>
          <w:sz w:val="20"/>
          <w:szCs w:val="20"/>
        </w:rPr>
      </w:pPr>
      <w:r w:rsidRPr="0031046C">
        <w:rPr>
          <w:rFonts w:ascii="Arial" w:hAnsi="Arial" w:cs="Arial"/>
          <w:sz w:val="20"/>
          <w:szCs w:val="20"/>
        </w:rPr>
        <w:t>Andrade</w:t>
      </w:r>
      <w:r w:rsidR="0031046C" w:rsidRPr="0031046C">
        <w:rPr>
          <w:rFonts w:ascii="Arial" w:hAnsi="Arial" w:cs="Arial"/>
          <w:sz w:val="20"/>
          <w:szCs w:val="20"/>
        </w:rPr>
        <w:t>,</w:t>
      </w:r>
      <w:r w:rsidRPr="0031046C">
        <w:rPr>
          <w:rFonts w:ascii="Arial" w:hAnsi="Arial" w:cs="Arial"/>
          <w:sz w:val="20"/>
          <w:szCs w:val="20"/>
        </w:rPr>
        <w:t xml:space="preserve"> H</w:t>
      </w:r>
      <w:r w:rsidR="0031046C" w:rsidRPr="0031046C">
        <w:rPr>
          <w:rFonts w:ascii="Arial" w:hAnsi="Arial" w:cs="Arial"/>
          <w:sz w:val="20"/>
          <w:szCs w:val="20"/>
        </w:rPr>
        <w:t xml:space="preserve">. </w:t>
      </w:r>
      <w:r w:rsidRPr="0031046C">
        <w:rPr>
          <w:rFonts w:ascii="Arial" w:hAnsi="Arial" w:cs="Arial"/>
          <w:sz w:val="20"/>
          <w:szCs w:val="20"/>
        </w:rPr>
        <w:t>L</w:t>
      </w:r>
      <w:r w:rsidR="0031046C" w:rsidRPr="0031046C">
        <w:rPr>
          <w:rFonts w:ascii="Arial" w:hAnsi="Arial" w:cs="Arial"/>
          <w:sz w:val="20"/>
          <w:szCs w:val="20"/>
        </w:rPr>
        <w:t>.</w:t>
      </w:r>
      <w:r w:rsidRPr="0031046C">
        <w:rPr>
          <w:rFonts w:ascii="Arial" w:hAnsi="Arial" w:cs="Arial"/>
          <w:sz w:val="20"/>
          <w:szCs w:val="20"/>
        </w:rPr>
        <w:t xml:space="preserve"> (2010) </w:t>
      </w:r>
      <w:r w:rsidR="0031046C" w:rsidRPr="0031046C">
        <w:rPr>
          <w:rFonts w:ascii="Arial" w:hAnsi="Arial" w:cs="Arial"/>
          <w:sz w:val="20"/>
          <w:szCs w:val="20"/>
        </w:rPr>
        <w:t>‘</w:t>
      </w:r>
      <w:r w:rsidRPr="0031046C">
        <w:rPr>
          <w:rFonts w:ascii="Arial" w:hAnsi="Arial" w:cs="Arial"/>
          <w:sz w:val="20"/>
          <w:szCs w:val="20"/>
        </w:rPr>
        <w:t>Students as the definitive source of formative assessment</w:t>
      </w:r>
      <w:r w:rsidR="0031046C" w:rsidRPr="0031046C">
        <w:rPr>
          <w:rFonts w:ascii="Arial" w:hAnsi="Arial" w:cs="Arial"/>
          <w:sz w:val="20"/>
          <w:szCs w:val="20"/>
        </w:rPr>
        <w:t>’, pp. 90-105, in</w:t>
      </w:r>
      <w:r w:rsidRPr="0031046C">
        <w:rPr>
          <w:rFonts w:ascii="Arial" w:hAnsi="Arial" w:cs="Arial"/>
          <w:sz w:val="20"/>
          <w:szCs w:val="20"/>
        </w:rPr>
        <w:t xml:space="preserve"> Andrade</w:t>
      </w:r>
      <w:r w:rsidR="0031046C" w:rsidRPr="0031046C">
        <w:rPr>
          <w:rFonts w:ascii="Arial" w:hAnsi="Arial" w:cs="Arial"/>
          <w:sz w:val="20"/>
          <w:szCs w:val="20"/>
        </w:rPr>
        <w:t>,</w:t>
      </w:r>
      <w:r w:rsidRPr="0031046C">
        <w:rPr>
          <w:rFonts w:ascii="Arial" w:hAnsi="Arial" w:cs="Arial"/>
          <w:sz w:val="20"/>
          <w:szCs w:val="20"/>
        </w:rPr>
        <w:t xml:space="preserve"> H</w:t>
      </w:r>
      <w:r w:rsidR="0031046C" w:rsidRPr="0031046C">
        <w:rPr>
          <w:rFonts w:ascii="Arial" w:hAnsi="Arial" w:cs="Arial"/>
          <w:sz w:val="20"/>
          <w:szCs w:val="20"/>
        </w:rPr>
        <w:t xml:space="preserve">. </w:t>
      </w:r>
      <w:r w:rsidRPr="0031046C">
        <w:rPr>
          <w:rFonts w:ascii="Arial" w:hAnsi="Arial" w:cs="Arial"/>
          <w:sz w:val="20"/>
          <w:szCs w:val="20"/>
        </w:rPr>
        <w:t>L</w:t>
      </w:r>
      <w:r w:rsidR="0031046C" w:rsidRPr="0031046C">
        <w:rPr>
          <w:rFonts w:ascii="Arial" w:hAnsi="Arial" w:cs="Arial"/>
          <w:sz w:val="20"/>
          <w:szCs w:val="20"/>
        </w:rPr>
        <w:t>.</w:t>
      </w:r>
      <w:r w:rsidRPr="0031046C">
        <w:rPr>
          <w:rFonts w:ascii="Arial" w:hAnsi="Arial" w:cs="Arial"/>
          <w:sz w:val="20"/>
          <w:szCs w:val="20"/>
        </w:rPr>
        <w:t xml:space="preserve"> and </w:t>
      </w:r>
      <w:proofErr w:type="spellStart"/>
      <w:r w:rsidRPr="0031046C">
        <w:rPr>
          <w:rFonts w:ascii="Arial" w:hAnsi="Arial" w:cs="Arial"/>
          <w:sz w:val="20"/>
          <w:szCs w:val="20"/>
        </w:rPr>
        <w:t>Cizek</w:t>
      </w:r>
      <w:proofErr w:type="spellEnd"/>
      <w:r w:rsidR="0031046C" w:rsidRPr="0031046C">
        <w:rPr>
          <w:rFonts w:ascii="Arial" w:hAnsi="Arial" w:cs="Arial"/>
          <w:sz w:val="20"/>
          <w:szCs w:val="20"/>
        </w:rPr>
        <w:t>,</w:t>
      </w:r>
      <w:r w:rsidRPr="0031046C">
        <w:rPr>
          <w:rFonts w:ascii="Arial" w:hAnsi="Arial" w:cs="Arial"/>
          <w:sz w:val="20"/>
          <w:szCs w:val="20"/>
        </w:rPr>
        <w:t xml:space="preserve"> G</w:t>
      </w:r>
      <w:r w:rsidR="0031046C" w:rsidRPr="0031046C">
        <w:rPr>
          <w:rFonts w:ascii="Arial" w:hAnsi="Arial" w:cs="Arial"/>
          <w:sz w:val="20"/>
          <w:szCs w:val="20"/>
        </w:rPr>
        <w:t xml:space="preserve">. </w:t>
      </w:r>
      <w:r w:rsidRPr="0031046C">
        <w:rPr>
          <w:rFonts w:ascii="Arial" w:hAnsi="Arial" w:cs="Arial"/>
          <w:sz w:val="20"/>
          <w:szCs w:val="20"/>
        </w:rPr>
        <w:t>J</w:t>
      </w:r>
      <w:r w:rsidR="0031046C" w:rsidRPr="0031046C">
        <w:rPr>
          <w:rFonts w:ascii="Arial" w:hAnsi="Arial" w:cs="Arial"/>
          <w:sz w:val="20"/>
          <w:szCs w:val="20"/>
        </w:rPr>
        <w:t>.</w:t>
      </w:r>
      <w:r w:rsidRPr="0031046C">
        <w:rPr>
          <w:rFonts w:ascii="Arial" w:hAnsi="Arial" w:cs="Arial"/>
          <w:sz w:val="20"/>
          <w:szCs w:val="20"/>
        </w:rPr>
        <w:t xml:space="preserve"> (</w:t>
      </w:r>
      <w:proofErr w:type="spellStart"/>
      <w:proofErr w:type="gramStart"/>
      <w:r w:rsidRPr="0031046C">
        <w:rPr>
          <w:rFonts w:ascii="Arial" w:hAnsi="Arial" w:cs="Arial"/>
          <w:sz w:val="20"/>
          <w:szCs w:val="20"/>
        </w:rPr>
        <w:t>eds</w:t>
      </w:r>
      <w:proofErr w:type="spellEnd"/>
      <w:proofErr w:type="gramEnd"/>
      <w:r w:rsidRPr="0031046C">
        <w:rPr>
          <w:rFonts w:ascii="Arial" w:hAnsi="Arial" w:cs="Arial"/>
          <w:sz w:val="20"/>
          <w:szCs w:val="20"/>
        </w:rPr>
        <w:t xml:space="preserve">) </w:t>
      </w:r>
      <w:r w:rsidRPr="0031046C">
        <w:rPr>
          <w:rFonts w:ascii="Arial" w:hAnsi="Arial" w:cs="Arial"/>
          <w:i/>
          <w:sz w:val="20"/>
          <w:szCs w:val="20"/>
        </w:rPr>
        <w:t>Handbook of Formative Assessment</w:t>
      </w:r>
      <w:r w:rsidR="008C386A">
        <w:rPr>
          <w:rFonts w:ascii="Arial" w:hAnsi="Arial" w:cs="Arial"/>
          <w:sz w:val="20"/>
          <w:szCs w:val="20"/>
        </w:rPr>
        <w:t xml:space="preserve">. New York: </w:t>
      </w:r>
      <w:proofErr w:type="spellStart"/>
      <w:r w:rsidR="008C386A">
        <w:rPr>
          <w:rFonts w:ascii="Arial" w:hAnsi="Arial" w:cs="Arial"/>
          <w:sz w:val="20"/>
          <w:szCs w:val="20"/>
        </w:rPr>
        <w:t>Routledge</w:t>
      </w:r>
      <w:proofErr w:type="spellEnd"/>
      <w:r w:rsidR="008C386A">
        <w:rPr>
          <w:rFonts w:ascii="Arial" w:hAnsi="Arial" w:cs="Arial"/>
          <w:sz w:val="20"/>
          <w:szCs w:val="20"/>
        </w:rPr>
        <w:t>.</w:t>
      </w:r>
    </w:p>
    <w:p w:rsidR="00561A04" w:rsidRPr="008C386A" w:rsidRDefault="00BD7A5D" w:rsidP="00234E39">
      <w:pPr>
        <w:pStyle w:val="NoSpacing"/>
        <w:spacing w:line="480" w:lineRule="auto"/>
        <w:ind w:left="567" w:hanging="567"/>
        <w:jc w:val="both"/>
        <w:rPr>
          <w:rFonts w:ascii="Arial" w:hAnsi="Arial" w:cs="Arial"/>
          <w:sz w:val="20"/>
          <w:szCs w:val="20"/>
        </w:rPr>
      </w:pPr>
      <w:r w:rsidRPr="008C386A">
        <w:rPr>
          <w:rFonts w:ascii="Arial" w:hAnsi="Arial" w:cs="Arial"/>
          <w:sz w:val="20"/>
          <w:szCs w:val="20"/>
        </w:rPr>
        <w:t>Baker</w:t>
      </w:r>
      <w:r w:rsidR="0031046C" w:rsidRPr="008C386A">
        <w:rPr>
          <w:rFonts w:ascii="Arial" w:hAnsi="Arial" w:cs="Arial"/>
          <w:sz w:val="20"/>
          <w:szCs w:val="20"/>
        </w:rPr>
        <w:t>,</w:t>
      </w:r>
      <w:r w:rsidRPr="008C386A">
        <w:rPr>
          <w:rFonts w:ascii="Arial" w:hAnsi="Arial" w:cs="Arial"/>
          <w:sz w:val="20"/>
          <w:szCs w:val="20"/>
        </w:rPr>
        <w:t xml:space="preserve"> R</w:t>
      </w:r>
      <w:r w:rsidR="0031046C" w:rsidRPr="008C386A">
        <w:rPr>
          <w:rFonts w:ascii="Arial" w:hAnsi="Arial" w:cs="Arial"/>
          <w:sz w:val="20"/>
          <w:szCs w:val="20"/>
        </w:rPr>
        <w:t xml:space="preserve">. </w:t>
      </w:r>
      <w:r w:rsidRPr="008C386A">
        <w:rPr>
          <w:rFonts w:ascii="Arial" w:hAnsi="Arial" w:cs="Arial"/>
          <w:sz w:val="20"/>
          <w:szCs w:val="20"/>
        </w:rPr>
        <w:t>K</w:t>
      </w:r>
      <w:r w:rsidR="0031046C" w:rsidRPr="008C386A">
        <w:rPr>
          <w:rFonts w:ascii="Arial" w:hAnsi="Arial" w:cs="Arial"/>
          <w:sz w:val="20"/>
          <w:szCs w:val="20"/>
        </w:rPr>
        <w:t>.</w:t>
      </w:r>
      <w:r w:rsidRPr="008C386A">
        <w:rPr>
          <w:rFonts w:ascii="Arial" w:hAnsi="Arial" w:cs="Arial"/>
          <w:sz w:val="20"/>
          <w:szCs w:val="20"/>
        </w:rPr>
        <w:t>, Thornton</w:t>
      </w:r>
      <w:r w:rsidR="0031046C" w:rsidRPr="008C386A">
        <w:rPr>
          <w:rFonts w:ascii="Arial" w:hAnsi="Arial" w:cs="Arial"/>
          <w:sz w:val="20"/>
          <w:szCs w:val="20"/>
        </w:rPr>
        <w:t>,</w:t>
      </w:r>
      <w:r w:rsidRPr="008C386A">
        <w:rPr>
          <w:rFonts w:ascii="Arial" w:hAnsi="Arial" w:cs="Arial"/>
          <w:sz w:val="20"/>
          <w:szCs w:val="20"/>
        </w:rPr>
        <w:t xml:space="preserve"> B</w:t>
      </w:r>
      <w:r w:rsidR="0031046C" w:rsidRPr="008C386A">
        <w:rPr>
          <w:rFonts w:ascii="Arial" w:hAnsi="Arial" w:cs="Arial"/>
          <w:sz w:val="20"/>
          <w:szCs w:val="20"/>
        </w:rPr>
        <w:t>.</w:t>
      </w:r>
      <w:r w:rsidRPr="008C386A">
        <w:rPr>
          <w:rFonts w:ascii="Arial" w:hAnsi="Arial" w:cs="Arial"/>
          <w:sz w:val="20"/>
          <w:szCs w:val="20"/>
        </w:rPr>
        <w:t xml:space="preserve"> and Adams</w:t>
      </w:r>
      <w:r w:rsidR="0031046C" w:rsidRPr="008C386A">
        <w:rPr>
          <w:rFonts w:ascii="Arial" w:hAnsi="Arial" w:cs="Arial"/>
          <w:sz w:val="20"/>
          <w:szCs w:val="20"/>
        </w:rPr>
        <w:t>,</w:t>
      </w:r>
      <w:r w:rsidRPr="008C386A">
        <w:rPr>
          <w:rFonts w:ascii="Arial" w:hAnsi="Arial" w:cs="Arial"/>
          <w:sz w:val="20"/>
          <w:szCs w:val="20"/>
        </w:rPr>
        <w:t xml:space="preserve"> M</w:t>
      </w:r>
      <w:r w:rsidR="0031046C" w:rsidRPr="008C386A">
        <w:rPr>
          <w:rFonts w:ascii="Arial" w:hAnsi="Arial" w:cs="Arial"/>
          <w:sz w:val="20"/>
          <w:szCs w:val="20"/>
        </w:rPr>
        <w:t>.</w:t>
      </w:r>
      <w:r w:rsidRPr="008C386A">
        <w:rPr>
          <w:rFonts w:ascii="Arial" w:hAnsi="Arial" w:cs="Arial"/>
          <w:sz w:val="20"/>
          <w:szCs w:val="20"/>
        </w:rPr>
        <w:t xml:space="preserve"> (2011) </w:t>
      </w:r>
      <w:r w:rsidR="008C386A" w:rsidRPr="008C386A">
        <w:rPr>
          <w:rFonts w:ascii="Arial" w:hAnsi="Arial" w:cs="Arial"/>
          <w:sz w:val="20"/>
          <w:szCs w:val="20"/>
        </w:rPr>
        <w:t>‘</w:t>
      </w:r>
      <w:r w:rsidRPr="008C386A">
        <w:rPr>
          <w:rFonts w:ascii="Arial" w:hAnsi="Arial" w:cs="Arial"/>
          <w:sz w:val="20"/>
          <w:szCs w:val="20"/>
        </w:rPr>
        <w:t>An evaluation of the effectiveness of Turnitin.com as a tool for reducing plagiarism in graduate student term papers</w:t>
      </w:r>
      <w:r w:rsidR="008C386A" w:rsidRPr="008C386A">
        <w:rPr>
          <w:rFonts w:ascii="Arial" w:hAnsi="Arial" w:cs="Arial"/>
          <w:sz w:val="20"/>
          <w:szCs w:val="20"/>
        </w:rPr>
        <w:t>’</w:t>
      </w:r>
      <w:r w:rsidRPr="008C386A">
        <w:rPr>
          <w:rFonts w:ascii="Arial" w:hAnsi="Arial" w:cs="Arial"/>
          <w:sz w:val="20"/>
          <w:szCs w:val="20"/>
        </w:rPr>
        <w:t xml:space="preserve">. </w:t>
      </w:r>
      <w:proofErr w:type="gramStart"/>
      <w:r w:rsidRPr="008C386A">
        <w:rPr>
          <w:rFonts w:ascii="Arial" w:hAnsi="Arial" w:cs="Arial"/>
          <w:i/>
          <w:sz w:val="20"/>
          <w:szCs w:val="20"/>
        </w:rPr>
        <w:t>College Teaching Methods &amp; Styles Journal</w:t>
      </w:r>
      <w:r w:rsidR="008C386A" w:rsidRPr="008C386A">
        <w:rPr>
          <w:rFonts w:ascii="Arial" w:hAnsi="Arial" w:cs="Arial"/>
          <w:sz w:val="20"/>
          <w:szCs w:val="20"/>
        </w:rPr>
        <w:t>, 4(9), pp.</w:t>
      </w:r>
      <w:r w:rsidRPr="008C386A">
        <w:rPr>
          <w:rFonts w:ascii="Arial" w:hAnsi="Arial" w:cs="Arial"/>
          <w:sz w:val="20"/>
          <w:szCs w:val="20"/>
        </w:rPr>
        <w:t xml:space="preserve"> 1-4.</w:t>
      </w:r>
      <w:proofErr w:type="gramEnd"/>
    </w:p>
    <w:p w:rsidR="00561A04" w:rsidRPr="001C2C24" w:rsidRDefault="00BD7A5D" w:rsidP="00234E39">
      <w:pPr>
        <w:pStyle w:val="NoSpacing"/>
        <w:spacing w:line="480" w:lineRule="auto"/>
        <w:ind w:left="567" w:hanging="567"/>
        <w:jc w:val="both"/>
        <w:rPr>
          <w:rFonts w:ascii="Arial" w:hAnsi="Arial" w:cs="Arial"/>
          <w:sz w:val="20"/>
          <w:szCs w:val="20"/>
        </w:rPr>
      </w:pPr>
      <w:proofErr w:type="spellStart"/>
      <w:r w:rsidRPr="001C2C24">
        <w:rPr>
          <w:rFonts w:ascii="Arial" w:hAnsi="Arial" w:cs="Arial"/>
          <w:sz w:val="20"/>
          <w:szCs w:val="20"/>
        </w:rPr>
        <w:t>Batane</w:t>
      </w:r>
      <w:proofErr w:type="spellEnd"/>
      <w:r w:rsidR="001C2C24" w:rsidRPr="001C2C24">
        <w:rPr>
          <w:rFonts w:ascii="Arial" w:hAnsi="Arial" w:cs="Arial"/>
          <w:sz w:val="20"/>
          <w:szCs w:val="20"/>
        </w:rPr>
        <w:t>,</w:t>
      </w:r>
      <w:r w:rsidRPr="001C2C24">
        <w:rPr>
          <w:rFonts w:ascii="Arial" w:hAnsi="Arial" w:cs="Arial"/>
          <w:sz w:val="20"/>
          <w:szCs w:val="20"/>
        </w:rPr>
        <w:t xml:space="preserve"> T</w:t>
      </w:r>
      <w:r w:rsidR="001C2C24" w:rsidRPr="001C2C24">
        <w:rPr>
          <w:rFonts w:ascii="Arial" w:hAnsi="Arial" w:cs="Arial"/>
          <w:sz w:val="20"/>
          <w:szCs w:val="20"/>
        </w:rPr>
        <w:t>.</w:t>
      </w:r>
      <w:r w:rsidRPr="001C2C24">
        <w:rPr>
          <w:rFonts w:ascii="Arial" w:hAnsi="Arial" w:cs="Arial"/>
          <w:sz w:val="20"/>
          <w:szCs w:val="20"/>
        </w:rPr>
        <w:t xml:space="preserve"> (2010) </w:t>
      </w:r>
      <w:r w:rsidR="001C2C24" w:rsidRPr="001C2C24">
        <w:rPr>
          <w:rFonts w:ascii="Arial" w:hAnsi="Arial" w:cs="Arial"/>
          <w:sz w:val="20"/>
          <w:szCs w:val="20"/>
        </w:rPr>
        <w:t>‘</w:t>
      </w:r>
      <w:r w:rsidRPr="001C2C24">
        <w:rPr>
          <w:rFonts w:ascii="Arial" w:hAnsi="Arial" w:cs="Arial"/>
          <w:sz w:val="20"/>
          <w:szCs w:val="20"/>
        </w:rPr>
        <w:t xml:space="preserve">Turning to </w:t>
      </w:r>
      <w:proofErr w:type="spellStart"/>
      <w:r w:rsidRPr="001C2C24">
        <w:rPr>
          <w:rFonts w:ascii="Arial" w:hAnsi="Arial" w:cs="Arial"/>
          <w:sz w:val="20"/>
          <w:szCs w:val="20"/>
        </w:rPr>
        <w:t>Turnitin</w:t>
      </w:r>
      <w:proofErr w:type="spellEnd"/>
      <w:r w:rsidRPr="001C2C24">
        <w:rPr>
          <w:rFonts w:ascii="Arial" w:hAnsi="Arial" w:cs="Arial"/>
          <w:sz w:val="20"/>
          <w:szCs w:val="20"/>
        </w:rPr>
        <w:t xml:space="preserve"> to fight plagiarism among university students</w:t>
      </w:r>
      <w:r w:rsidR="001C2C24" w:rsidRPr="001C2C24">
        <w:rPr>
          <w:rFonts w:ascii="Arial" w:hAnsi="Arial" w:cs="Arial"/>
          <w:sz w:val="20"/>
          <w:szCs w:val="20"/>
        </w:rPr>
        <w:t>’</w:t>
      </w:r>
      <w:r w:rsidRPr="001C2C24">
        <w:rPr>
          <w:rFonts w:ascii="Arial" w:hAnsi="Arial" w:cs="Arial"/>
          <w:sz w:val="20"/>
          <w:szCs w:val="20"/>
        </w:rPr>
        <w:t xml:space="preserve">. </w:t>
      </w:r>
      <w:r w:rsidRPr="001C2C24">
        <w:rPr>
          <w:rFonts w:ascii="Arial" w:hAnsi="Arial" w:cs="Arial"/>
          <w:i/>
          <w:sz w:val="20"/>
          <w:szCs w:val="20"/>
        </w:rPr>
        <w:t>Journal of Educational Technology &amp; Society</w:t>
      </w:r>
      <w:r w:rsidRPr="001C2C24">
        <w:rPr>
          <w:rFonts w:ascii="Arial" w:hAnsi="Arial" w:cs="Arial"/>
          <w:sz w:val="20"/>
          <w:szCs w:val="20"/>
        </w:rPr>
        <w:t>, 13</w:t>
      </w:r>
      <w:r w:rsidR="001C2C24" w:rsidRPr="001C2C24">
        <w:rPr>
          <w:rFonts w:ascii="Arial" w:hAnsi="Arial" w:cs="Arial"/>
          <w:sz w:val="20"/>
          <w:szCs w:val="20"/>
        </w:rPr>
        <w:t>(2), pp.</w:t>
      </w:r>
      <w:r w:rsidRPr="001C2C24">
        <w:rPr>
          <w:rFonts w:ascii="Arial" w:hAnsi="Arial" w:cs="Arial"/>
          <w:sz w:val="20"/>
          <w:szCs w:val="20"/>
        </w:rPr>
        <w:t xml:space="preserve"> 1-12.</w:t>
      </w:r>
    </w:p>
    <w:p w:rsidR="00750FDF" w:rsidRPr="001C2C24" w:rsidRDefault="00750FDF" w:rsidP="00234E39">
      <w:pPr>
        <w:pStyle w:val="NoSpacing"/>
        <w:spacing w:line="480" w:lineRule="auto"/>
        <w:ind w:left="567" w:hanging="567"/>
        <w:jc w:val="both"/>
        <w:rPr>
          <w:rFonts w:ascii="Arial" w:hAnsi="Arial" w:cs="Arial"/>
          <w:sz w:val="20"/>
          <w:szCs w:val="20"/>
        </w:rPr>
      </w:pPr>
      <w:proofErr w:type="spellStart"/>
      <w:r w:rsidRPr="001C2C24">
        <w:rPr>
          <w:rFonts w:ascii="Arial" w:hAnsi="Arial" w:cs="Arial"/>
          <w:sz w:val="20"/>
          <w:szCs w:val="20"/>
        </w:rPr>
        <w:lastRenderedPageBreak/>
        <w:t>Bradwell</w:t>
      </w:r>
      <w:proofErr w:type="spellEnd"/>
      <w:r w:rsidR="001C2C24" w:rsidRPr="001C2C24">
        <w:rPr>
          <w:rFonts w:ascii="Arial" w:hAnsi="Arial" w:cs="Arial"/>
          <w:sz w:val="20"/>
          <w:szCs w:val="20"/>
        </w:rPr>
        <w:t>,</w:t>
      </w:r>
      <w:r w:rsidRPr="001C2C24">
        <w:rPr>
          <w:rFonts w:ascii="Arial" w:hAnsi="Arial" w:cs="Arial"/>
          <w:sz w:val="20"/>
          <w:szCs w:val="20"/>
        </w:rPr>
        <w:t xml:space="preserve"> P</w:t>
      </w:r>
      <w:r w:rsidR="001C2C24" w:rsidRPr="001C2C24">
        <w:rPr>
          <w:rFonts w:ascii="Arial" w:hAnsi="Arial" w:cs="Arial"/>
          <w:sz w:val="20"/>
          <w:szCs w:val="20"/>
        </w:rPr>
        <w:t>.</w:t>
      </w:r>
      <w:r w:rsidRPr="001C2C24">
        <w:rPr>
          <w:rFonts w:ascii="Arial" w:hAnsi="Arial" w:cs="Arial"/>
          <w:sz w:val="20"/>
          <w:szCs w:val="20"/>
        </w:rPr>
        <w:t xml:space="preserve"> (2009) </w:t>
      </w:r>
      <w:r w:rsidRPr="001C2C24">
        <w:rPr>
          <w:rFonts w:ascii="Arial" w:hAnsi="Arial" w:cs="Arial"/>
          <w:i/>
          <w:sz w:val="20"/>
          <w:szCs w:val="20"/>
        </w:rPr>
        <w:t>The Edgeless University: Why Higher Education Must Embrace Technology</w:t>
      </w:r>
      <w:r w:rsidRPr="001C2C24">
        <w:rPr>
          <w:rFonts w:ascii="Arial" w:hAnsi="Arial" w:cs="Arial"/>
          <w:sz w:val="20"/>
          <w:szCs w:val="20"/>
        </w:rPr>
        <w:t>. London: Demos.</w:t>
      </w:r>
    </w:p>
    <w:p w:rsidR="00561A04" w:rsidRPr="001C2C24" w:rsidRDefault="00EE7548" w:rsidP="00234E39">
      <w:pPr>
        <w:pStyle w:val="NoSpacing"/>
        <w:spacing w:line="480" w:lineRule="auto"/>
        <w:ind w:left="567" w:hanging="567"/>
        <w:jc w:val="both"/>
        <w:rPr>
          <w:rFonts w:ascii="Arial" w:hAnsi="Arial" w:cs="Arial"/>
          <w:sz w:val="20"/>
          <w:szCs w:val="20"/>
        </w:rPr>
      </w:pPr>
      <w:r w:rsidRPr="001C2C24">
        <w:rPr>
          <w:rFonts w:ascii="Arial" w:hAnsi="Arial" w:cs="Arial"/>
          <w:sz w:val="20"/>
          <w:szCs w:val="20"/>
        </w:rPr>
        <w:t>Bridge</w:t>
      </w:r>
      <w:r w:rsidR="001C2C24" w:rsidRPr="001C2C24">
        <w:rPr>
          <w:rFonts w:ascii="Arial" w:hAnsi="Arial" w:cs="Arial"/>
          <w:sz w:val="20"/>
          <w:szCs w:val="20"/>
        </w:rPr>
        <w:t>,</w:t>
      </w:r>
      <w:r w:rsidRPr="001C2C24">
        <w:rPr>
          <w:rFonts w:ascii="Arial" w:hAnsi="Arial" w:cs="Arial"/>
          <w:sz w:val="20"/>
          <w:szCs w:val="20"/>
        </w:rPr>
        <w:t xml:space="preserve"> P</w:t>
      </w:r>
      <w:r w:rsidR="001C2C24" w:rsidRPr="001C2C24">
        <w:rPr>
          <w:rFonts w:ascii="Arial" w:hAnsi="Arial" w:cs="Arial"/>
          <w:sz w:val="20"/>
          <w:szCs w:val="20"/>
        </w:rPr>
        <w:t>.</w:t>
      </w:r>
      <w:r w:rsidRPr="001C2C24">
        <w:rPr>
          <w:rFonts w:ascii="Arial" w:hAnsi="Arial" w:cs="Arial"/>
          <w:sz w:val="20"/>
          <w:szCs w:val="20"/>
        </w:rPr>
        <w:t xml:space="preserve"> and </w:t>
      </w:r>
      <w:proofErr w:type="spellStart"/>
      <w:r w:rsidRPr="001C2C24">
        <w:rPr>
          <w:rFonts w:ascii="Arial" w:hAnsi="Arial" w:cs="Arial"/>
          <w:sz w:val="20"/>
          <w:szCs w:val="20"/>
        </w:rPr>
        <w:t>Appleyard</w:t>
      </w:r>
      <w:proofErr w:type="spellEnd"/>
      <w:r w:rsidR="001C2C24" w:rsidRPr="001C2C24">
        <w:rPr>
          <w:rFonts w:ascii="Arial" w:hAnsi="Arial" w:cs="Arial"/>
          <w:sz w:val="20"/>
          <w:szCs w:val="20"/>
        </w:rPr>
        <w:t>, R.</w:t>
      </w:r>
      <w:r w:rsidRPr="001C2C24">
        <w:rPr>
          <w:rFonts w:ascii="Arial" w:hAnsi="Arial" w:cs="Arial"/>
          <w:sz w:val="20"/>
          <w:szCs w:val="20"/>
        </w:rPr>
        <w:t xml:space="preserve"> (2005) </w:t>
      </w:r>
      <w:r w:rsidR="001C2C24" w:rsidRPr="001C2C24">
        <w:rPr>
          <w:rFonts w:ascii="Arial" w:hAnsi="Arial" w:cs="Arial"/>
          <w:sz w:val="20"/>
          <w:szCs w:val="20"/>
        </w:rPr>
        <w:t>‘</w:t>
      </w:r>
      <w:r w:rsidRPr="001C2C24">
        <w:rPr>
          <w:rFonts w:ascii="Arial" w:hAnsi="Arial" w:cs="Arial"/>
          <w:sz w:val="20"/>
          <w:szCs w:val="20"/>
        </w:rPr>
        <w:t>System failure: A comparison of electronic and paper-based assignment submission, marking, and feedback</w:t>
      </w:r>
      <w:r w:rsidR="001C2C24" w:rsidRPr="001C2C24">
        <w:rPr>
          <w:rFonts w:ascii="Arial" w:hAnsi="Arial" w:cs="Arial"/>
          <w:sz w:val="20"/>
          <w:szCs w:val="20"/>
        </w:rPr>
        <w:t>’</w:t>
      </w:r>
      <w:r w:rsidRPr="001C2C24">
        <w:rPr>
          <w:rFonts w:ascii="Arial" w:hAnsi="Arial" w:cs="Arial"/>
          <w:sz w:val="20"/>
          <w:szCs w:val="20"/>
        </w:rPr>
        <w:t xml:space="preserve">. </w:t>
      </w:r>
      <w:r w:rsidRPr="001C2C24">
        <w:rPr>
          <w:rFonts w:ascii="Arial" w:hAnsi="Arial" w:cs="Arial"/>
          <w:i/>
          <w:sz w:val="20"/>
          <w:szCs w:val="20"/>
        </w:rPr>
        <w:t>British Journal of Educational Technology</w:t>
      </w:r>
      <w:r w:rsidRPr="001C2C24">
        <w:rPr>
          <w:rFonts w:ascii="Arial" w:hAnsi="Arial" w:cs="Arial"/>
          <w:sz w:val="20"/>
          <w:szCs w:val="20"/>
        </w:rPr>
        <w:t>, 36</w:t>
      </w:r>
      <w:r w:rsidR="001C2C24" w:rsidRPr="001C2C24">
        <w:rPr>
          <w:rFonts w:ascii="Arial" w:hAnsi="Arial" w:cs="Arial"/>
          <w:sz w:val="20"/>
          <w:szCs w:val="20"/>
        </w:rPr>
        <w:t>(4), pp.</w:t>
      </w:r>
      <w:r w:rsidRPr="001C2C24">
        <w:rPr>
          <w:rFonts w:ascii="Arial" w:hAnsi="Arial" w:cs="Arial"/>
          <w:sz w:val="20"/>
          <w:szCs w:val="20"/>
        </w:rPr>
        <w:t xml:space="preserve"> 669-671.</w:t>
      </w:r>
    </w:p>
    <w:p w:rsidR="00BB386A" w:rsidRPr="005808DE" w:rsidRDefault="00EE7548" w:rsidP="00234E39">
      <w:pPr>
        <w:pStyle w:val="NoSpacing"/>
        <w:spacing w:line="480" w:lineRule="auto"/>
        <w:ind w:left="567" w:hanging="567"/>
        <w:jc w:val="both"/>
        <w:rPr>
          <w:rFonts w:ascii="Arial" w:hAnsi="Arial" w:cs="Arial"/>
          <w:sz w:val="20"/>
          <w:szCs w:val="20"/>
        </w:rPr>
      </w:pPr>
      <w:bookmarkStart w:id="0" w:name="_GoBack"/>
      <w:bookmarkEnd w:id="0"/>
      <w:proofErr w:type="gramStart"/>
      <w:r w:rsidRPr="005808DE">
        <w:rPr>
          <w:rFonts w:ascii="Arial" w:hAnsi="Arial" w:cs="Arial"/>
          <w:sz w:val="20"/>
          <w:szCs w:val="20"/>
        </w:rPr>
        <w:t>Bridge</w:t>
      </w:r>
      <w:r w:rsidR="005808DE" w:rsidRPr="005808DE">
        <w:rPr>
          <w:rFonts w:ascii="Arial" w:hAnsi="Arial" w:cs="Arial"/>
          <w:sz w:val="20"/>
          <w:szCs w:val="20"/>
        </w:rPr>
        <w:t>,</w:t>
      </w:r>
      <w:r w:rsidRPr="005808DE">
        <w:rPr>
          <w:rFonts w:ascii="Arial" w:hAnsi="Arial" w:cs="Arial"/>
          <w:sz w:val="20"/>
          <w:szCs w:val="20"/>
        </w:rPr>
        <w:t xml:space="preserve"> P</w:t>
      </w:r>
      <w:r w:rsidR="005808DE" w:rsidRPr="005808DE">
        <w:rPr>
          <w:rFonts w:ascii="Arial" w:hAnsi="Arial" w:cs="Arial"/>
          <w:sz w:val="20"/>
          <w:szCs w:val="20"/>
        </w:rPr>
        <w:t>.</w:t>
      </w:r>
      <w:r w:rsidRPr="005808DE">
        <w:rPr>
          <w:rFonts w:ascii="Arial" w:hAnsi="Arial" w:cs="Arial"/>
          <w:sz w:val="20"/>
          <w:szCs w:val="20"/>
        </w:rPr>
        <w:t xml:space="preserve"> and </w:t>
      </w:r>
      <w:proofErr w:type="spellStart"/>
      <w:r w:rsidRPr="005808DE">
        <w:rPr>
          <w:rFonts w:ascii="Arial" w:hAnsi="Arial" w:cs="Arial"/>
          <w:sz w:val="20"/>
          <w:szCs w:val="20"/>
        </w:rPr>
        <w:t>Appleyard</w:t>
      </w:r>
      <w:proofErr w:type="spellEnd"/>
      <w:r w:rsidR="005808DE" w:rsidRPr="005808DE">
        <w:rPr>
          <w:rFonts w:ascii="Arial" w:hAnsi="Arial" w:cs="Arial"/>
          <w:sz w:val="20"/>
          <w:szCs w:val="20"/>
        </w:rPr>
        <w:t>,</w:t>
      </w:r>
      <w:r w:rsidRPr="005808DE">
        <w:rPr>
          <w:rFonts w:ascii="Arial" w:hAnsi="Arial" w:cs="Arial"/>
          <w:sz w:val="20"/>
          <w:szCs w:val="20"/>
        </w:rPr>
        <w:t xml:space="preserve"> R</w:t>
      </w:r>
      <w:r w:rsidR="005808DE" w:rsidRPr="005808DE">
        <w:rPr>
          <w:rFonts w:ascii="Arial" w:hAnsi="Arial" w:cs="Arial"/>
          <w:sz w:val="20"/>
          <w:szCs w:val="20"/>
        </w:rPr>
        <w:t>.</w:t>
      </w:r>
      <w:r w:rsidRPr="005808DE">
        <w:rPr>
          <w:rFonts w:ascii="Arial" w:hAnsi="Arial" w:cs="Arial"/>
          <w:sz w:val="20"/>
          <w:szCs w:val="20"/>
        </w:rPr>
        <w:t xml:space="preserve"> (2008) </w:t>
      </w:r>
      <w:r w:rsidR="005808DE" w:rsidRPr="005808DE">
        <w:rPr>
          <w:rFonts w:ascii="Arial" w:hAnsi="Arial" w:cs="Arial"/>
          <w:sz w:val="20"/>
          <w:szCs w:val="20"/>
        </w:rPr>
        <w:t>‘</w:t>
      </w:r>
      <w:r w:rsidRPr="005808DE">
        <w:rPr>
          <w:rFonts w:ascii="Arial" w:hAnsi="Arial" w:cs="Arial"/>
          <w:sz w:val="20"/>
          <w:szCs w:val="20"/>
        </w:rPr>
        <w:t>A comparison of electronic and paper-based assignment submission and feedback</w:t>
      </w:r>
      <w:r w:rsidR="005808DE" w:rsidRPr="005808DE">
        <w:rPr>
          <w:rFonts w:ascii="Arial" w:hAnsi="Arial" w:cs="Arial"/>
          <w:sz w:val="20"/>
          <w:szCs w:val="20"/>
        </w:rPr>
        <w:t>’</w:t>
      </w:r>
      <w:r w:rsidRPr="005808DE">
        <w:rPr>
          <w:rFonts w:ascii="Arial" w:hAnsi="Arial" w:cs="Arial"/>
          <w:sz w:val="20"/>
          <w:szCs w:val="20"/>
        </w:rPr>
        <w:t>.</w:t>
      </w:r>
      <w:proofErr w:type="gramEnd"/>
      <w:r w:rsidRPr="005808DE">
        <w:rPr>
          <w:rFonts w:ascii="Arial" w:hAnsi="Arial" w:cs="Arial"/>
          <w:sz w:val="20"/>
          <w:szCs w:val="20"/>
        </w:rPr>
        <w:t xml:space="preserve"> </w:t>
      </w:r>
      <w:r w:rsidRPr="005808DE">
        <w:rPr>
          <w:rFonts w:ascii="Arial" w:hAnsi="Arial" w:cs="Arial"/>
          <w:i/>
          <w:sz w:val="20"/>
          <w:szCs w:val="20"/>
        </w:rPr>
        <w:t>British Journal of Educational Technology</w:t>
      </w:r>
      <w:r w:rsidRPr="005808DE">
        <w:rPr>
          <w:rFonts w:ascii="Arial" w:hAnsi="Arial" w:cs="Arial"/>
          <w:sz w:val="20"/>
          <w:szCs w:val="20"/>
        </w:rPr>
        <w:t>, 39</w:t>
      </w:r>
      <w:r w:rsidR="005808DE" w:rsidRPr="005808DE">
        <w:rPr>
          <w:rFonts w:ascii="Arial" w:hAnsi="Arial" w:cs="Arial"/>
          <w:sz w:val="20"/>
          <w:szCs w:val="20"/>
        </w:rPr>
        <w:t>(4), pp.</w:t>
      </w:r>
      <w:r w:rsidRPr="005808DE">
        <w:rPr>
          <w:rFonts w:ascii="Arial" w:hAnsi="Arial" w:cs="Arial"/>
          <w:sz w:val="20"/>
          <w:szCs w:val="20"/>
        </w:rPr>
        <w:t xml:space="preserve"> 644-650.</w:t>
      </w:r>
    </w:p>
    <w:p w:rsidR="00DF25EF" w:rsidRPr="005808DE" w:rsidRDefault="00DF25EF" w:rsidP="00234E39">
      <w:pPr>
        <w:pStyle w:val="NoSpacing"/>
        <w:spacing w:line="480" w:lineRule="auto"/>
        <w:ind w:left="567" w:hanging="567"/>
        <w:jc w:val="both"/>
        <w:rPr>
          <w:rFonts w:ascii="Arial" w:hAnsi="Arial" w:cs="Arial"/>
          <w:sz w:val="20"/>
          <w:szCs w:val="20"/>
        </w:rPr>
      </w:pPr>
      <w:r w:rsidRPr="005808DE">
        <w:rPr>
          <w:rFonts w:ascii="Arial" w:hAnsi="Arial" w:cs="Arial"/>
          <w:sz w:val="20"/>
          <w:szCs w:val="20"/>
        </w:rPr>
        <w:t>Brown</w:t>
      </w:r>
      <w:r w:rsidR="005808DE" w:rsidRPr="005808DE">
        <w:rPr>
          <w:rFonts w:ascii="Arial" w:hAnsi="Arial" w:cs="Arial"/>
          <w:sz w:val="20"/>
          <w:szCs w:val="20"/>
        </w:rPr>
        <w:t>,</w:t>
      </w:r>
      <w:r w:rsidRPr="005808DE">
        <w:rPr>
          <w:rFonts w:ascii="Arial" w:hAnsi="Arial" w:cs="Arial"/>
          <w:sz w:val="20"/>
          <w:szCs w:val="20"/>
        </w:rPr>
        <w:t xml:space="preserve"> G</w:t>
      </w:r>
      <w:r w:rsidR="005808DE" w:rsidRPr="005808DE">
        <w:rPr>
          <w:rFonts w:ascii="Arial" w:hAnsi="Arial" w:cs="Arial"/>
          <w:sz w:val="20"/>
          <w:szCs w:val="20"/>
        </w:rPr>
        <w:t xml:space="preserve">. </w:t>
      </w:r>
      <w:r w:rsidRPr="005808DE">
        <w:rPr>
          <w:rFonts w:ascii="Arial" w:hAnsi="Arial" w:cs="Arial"/>
          <w:sz w:val="20"/>
          <w:szCs w:val="20"/>
        </w:rPr>
        <w:t>T</w:t>
      </w:r>
      <w:r w:rsidR="005808DE" w:rsidRPr="005808DE">
        <w:rPr>
          <w:rFonts w:ascii="Arial" w:hAnsi="Arial" w:cs="Arial"/>
          <w:sz w:val="20"/>
          <w:szCs w:val="20"/>
        </w:rPr>
        <w:t xml:space="preserve">. </w:t>
      </w:r>
      <w:r w:rsidRPr="005808DE">
        <w:rPr>
          <w:rFonts w:ascii="Arial" w:hAnsi="Arial" w:cs="Arial"/>
          <w:sz w:val="20"/>
          <w:szCs w:val="20"/>
        </w:rPr>
        <w:t>L</w:t>
      </w:r>
      <w:r w:rsidR="005808DE" w:rsidRPr="005808DE">
        <w:rPr>
          <w:rFonts w:ascii="Arial" w:hAnsi="Arial" w:cs="Arial"/>
          <w:sz w:val="20"/>
          <w:szCs w:val="20"/>
        </w:rPr>
        <w:t>.</w:t>
      </w:r>
      <w:r w:rsidRPr="005808DE">
        <w:rPr>
          <w:rFonts w:ascii="Arial" w:hAnsi="Arial" w:cs="Arial"/>
          <w:sz w:val="20"/>
          <w:szCs w:val="20"/>
        </w:rPr>
        <w:t>, Peterson, E</w:t>
      </w:r>
      <w:r w:rsidR="005808DE" w:rsidRPr="005808DE">
        <w:rPr>
          <w:rFonts w:ascii="Arial" w:hAnsi="Arial" w:cs="Arial"/>
          <w:sz w:val="20"/>
          <w:szCs w:val="20"/>
        </w:rPr>
        <w:t xml:space="preserve">. </w:t>
      </w:r>
      <w:r w:rsidRPr="005808DE">
        <w:rPr>
          <w:rFonts w:ascii="Arial" w:hAnsi="Arial" w:cs="Arial"/>
          <w:sz w:val="20"/>
          <w:szCs w:val="20"/>
        </w:rPr>
        <w:t>R</w:t>
      </w:r>
      <w:r w:rsidR="005808DE" w:rsidRPr="005808DE">
        <w:rPr>
          <w:rFonts w:ascii="Arial" w:hAnsi="Arial" w:cs="Arial"/>
          <w:sz w:val="20"/>
          <w:szCs w:val="20"/>
        </w:rPr>
        <w:t>.</w:t>
      </w:r>
      <w:r w:rsidRPr="005808DE">
        <w:rPr>
          <w:rFonts w:ascii="Arial" w:hAnsi="Arial" w:cs="Arial"/>
          <w:sz w:val="20"/>
          <w:szCs w:val="20"/>
        </w:rPr>
        <w:t xml:space="preserve"> and Irving</w:t>
      </w:r>
      <w:r w:rsidR="005808DE" w:rsidRPr="005808DE">
        <w:rPr>
          <w:rFonts w:ascii="Arial" w:hAnsi="Arial" w:cs="Arial"/>
          <w:sz w:val="20"/>
          <w:szCs w:val="20"/>
        </w:rPr>
        <w:t>,</w:t>
      </w:r>
      <w:r w:rsidRPr="005808DE">
        <w:rPr>
          <w:rFonts w:ascii="Arial" w:hAnsi="Arial" w:cs="Arial"/>
          <w:sz w:val="20"/>
          <w:szCs w:val="20"/>
        </w:rPr>
        <w:t xml:space="preserve"> S</w:t>
      </w:r>
      <w:r w:rsidR="005808DE" w:rsidRPr="005808DE">
        <w:rPr>
          <w:rFonts w:ascii="Arial" w:hAnsi="Arial" w:cs="Arial"/>
          <w:sz w:val="20"/>
          <w:szCs w:val="20"/>
        </w:rPr>
        <w:t xml:space="preserve">. </w:t>
      </w:r>
      <w:r w:rsidRPr="005808DE">
        <w:rPr>
          <w:rFonts w:ascii="Arial" w:hAnsi="Arial" w:cs="Arial"/>
          <w:sz w:val="20"/>
          <w:szCs w:val="20"/>
        </w:rPr>
        <w:t>E</w:t>
      </w:r>
      <w:r w:rsidR="005808DE" w:rsidRPr="005808DE">
        <w:rPr>
          <w:rFonts w:ascii="Arial" w:hAnsi="Arial" w:cs="Arial"/>
          <w:sz w:val="20"/>
          <w:szCs w:val="20"/>
        </w:rPr>
        <w:t>.</w:t>
      </w:r>
      <w:r w:rsidRPr="005808DE">
        <w:rPr>
          <w:rFonts w:ascii="Arial" w:hAnsi="Arial" w:cs="Arial"/>
          <w:sz w:val="20"/>
          <w:szCs w:val="20"/>
        </w:rPr>
        <w:t xml:space="preserve"> (2009) </w:t>
      </w:r>
      <w:r w:rsidR="005808DE" w:rsidRPr="005808DE">
        <w:rPr>
          <w:rFonts w:ascii="Arial" w:hAnsi="Arial" w:cs="Arial"/>
          <w:sz w:val="20"/>
          <w:szCs w:val="20"/>
        </w:rPr>
        <w:t>‘</w:t>
      </w:r>
      <w:r w:rsidRPr="005808DE">
        <w:rPr>
          <w:rFonts w:ascii="Arial" w:hAnsi="Arial" w:cs="Arial"/>
          <w:sz w:val="20"/>
          <w:szCs w:val="20"/>
        </w:rPr>
        <w:t>Beliefs that make a difference: Adaptive and maladaptive self-regulation in students’ conceptions of assessment</w:t>
      </w:r>
      <w:r w:rsidR="005808DE" w:rsidRPr="005808DE">
        <w:rPr>
          <w:rFonts w:ascii="Arial" w:hAnsi="Arial" w:cs="Arial"/>
          <w:sz w:val="20"/>
          <w:szCs w:val="20"/>
        </w:rPr>
        <w:t>’,</w:t>
      </w:r>
      <w:r w:rsidRPr="005808DE">
        <w:rPr>
          <w:rFonts w:ascii="Arial" w:hAnsi="Arial" w:cs="Arial"/>
          <w:sz w:val="20"/>
          <w:szCs w:val="20"/>
        </w:rPr>
        <w:t xml:space="preserve"> </w:t>
      </w:r>
      <w:r w:rsidR="005808DE" w:rsidRPr="005808DE">
        <w:rPr>
          <w:rFonts w:ascii="Arial" w:hAnsi="Arial" w:cs="Arial"/>
          <w:sz w:val="20"/>
          <w:szCs w:val="20"/>
        </w:rPr>
        <w:t xml:space="preserve">pp. 159-186, in </w:t>
      </w:r>
      <w:proofErr w:type="spellStart"/>
      <w:r w:rsidRPr="005808DE">
        <w:rPr>
          <w:rFonts w:ascii="Arial" w:hAnsi="Arial" w:cs="Arial"/>
          <w:sz w:val="20"/>
          <w:szCs w:val="20"/>
        </w:rPr>
        <w:t>McInerney</w:t>
      </w:r>
      <w:proofErr w:type="spellEnd"/>
      <w:r w:rsidR="005808DE" w:rsidRPr="005808DE">
        <w:rPr>
          <w:rFonts w:ascii="Arial" w:hAnsi="Arial" w:cs="Arial"/>
          <w:sz w:val="20"/>
          <w:szCs w:val="20"/>
        </w:rPr>
        <w:t>,</w:t>
      </w:r>
      <w:r w:rsidRPr="005808DE">
        <w:rPr>
          <w:rFonts w:ascii="Arial" w:hAnsi="Arial" w:cs="Arial"/>
          <w:sz w:val="20"/>
          <w:szCs w:val="20"/>
        </w:rPr>
        <w:t xml:space="preserve"> D</w:t>
      </w:r>
      <w:r w:rsidR="005808DE" w:rsidRPr="005808DE">
        <w:rPr>
          <w:rFonts w:ascii="Arial" w:hAnsi="Arial" w:cs="Arial"/>
          <w:sz w:val="20"/>
          <w:szCs w:val="20"/>
        </w:rPr>
        <w:t xml:space="preserve">. </w:t>
      </w:r>
      <w:r w:rsidRPr="005808DE">
        <w:rPr>
          <w:rFonts w:ascii="Arial" w:hAnsi="Arial" w:cs="Arial"/>
          <w:sz w:val="20"/>
          <w:szCs w:val="20"/>
        </w:rPr>
        <w:t>M</w:t>
      </w:r>
      <w:r w:rsidR="005808DE" w:rsidRPr="005808DE">
        <w:rPr>
          <w:rFonts w:ascii="Arial" w:hAnsi="Arial" w:cs="Arial"/>
          <w:sz w:val="20"/>
          <w:szCs w:val="20"/>
        </w:rPr>
        <w:t>.</w:t>
      </w:r>
      <w:r w:rsidRPr="005808DE">
        <w:rPr>
          <w:rFonts w:ascii="Arial" w:hAnsi="Arial" w:cs="Arial"/>
          <w:sz w:val="20"/>
          <w:szCs w:val="20"/>
        </w:rPr>
        <w:t>, Brown</w:t>
      </w:r>
      <w:r w:rsidR="005808DE" w:rsidRPr="005808DE">
        <w:rPr>
          <w:rFonts w:ascii="Arial" w:hAnsi="Arial" w:cs="Arial"/>
          <w:sz w:val="20"/>
          <w:szCs w:val="20"/>
        </w:rPr>
        <w:t>,</w:t>
      </w:r>
      <w:r w:rsidRPr="005808DE">
        <w:rPr>
          <w:rFonts w:ascii="Arial" w:hAnsi="Arial" w:cs="Arial"/>
          <w:sz w:val="20"/>
          <w:szCs w:val="20"/>
        </w:rPr>
        <w:t xml:space="preserve"> G</w:t>
      </w:r>
      <w:r w:rsidR="005808DE" w:rsidRPr="005808DE">
        <w:rPr>
          <w:rFonts w:ascii="Arial" w:hAnsi="Arial" w:cs="Arial"/>
          <w:sz w:val="20"/>
          <w:szCs w:val="20"/>
        </w:rPr>
        <w:t xml:space="preserve">. </w:t>
      </w:r>
      <w:r w:rsidRPr="005808DE">
        <w:rPr>
          <w:rFonts w:ascii="Arial" w:hAnsi="Arial" w:cs="Arial"/>
          <w:sz w:val="20"/>
          <w:szCs w:val="20"/>
        </w:rPr>
        <w:t>T</w:t>
      </w:r>
      <w:r w:rsidR="005808DE" w:rsidRPr="005808DE">
        <w:rPr>
          <w:rFonts w:ascii="Arial" w:hAnsi="Arial" w:cs="Arial"/>
          <w:sz w:val="20"/>
          <w:szCs w:val="20"/>
        </w:rPr>
        <w:t xml:space="preserve">. </w:t>
      </w:r>
      <w:r w:rsidRPr="005808DE">
        <w:rPr>
          <w:rFonts w:ascii="Arial" w:hAnsi="Arial" w:cs="Arial"/>
          <w:sz w:val="20"/>
          <w:szCs w:val="20"/>
        </w:rPr>
        <w:t>L</w:t>
      </w:r>
      <w:r w:rsidR="005808DE" w:rsidRPr="005808DE">
        <w:rPr>
          <w:rFonts w:ascii="Arial" w:hAnsi="Arial" w:cs="Arial"/>
          <w:sz w:val="20"/>
          <w:szCs w:val="20"/>
        </w:rPr>
        <w:t>.</w:t>
      </w:r>
      <w:r w:rsidRPr="005808DE">
        <w:rPr>
          <w:rFonts w:ascii="Arial" w:hAnsi="Arial" w:cs="Arial"/>
          <w:sz w:val="20"/>
          <w:szCs w:val="20"/>
        </w:rPr>
        <w:t xml:space="preserve"> and </w:t>
      </w:r>
      <w:proofErr w:type="spellStart"/>
      <w:r w:rsidRPr="005808DE">
        <w:rPr>
          <w:rFonts w:ascii="Arial" w:hAnsi="Arial" w:cs="Arial"/>
          <w:sz w:val="20"/>
          <w:szCs w:val="20"/>
        </w:rPr>
        <w:t>Liem</w:t>
      </w:r>
      <w:proofErr w:type="spellEnd"/>
      <w:r w:rsidR="005808DE" w:rsidRPr="005808DE">
        <w:rPr>
          <w:rFonts w:ascii="Arial" w:hAnsi="Arial" w:cs="Arial"/>
          <w:sz w:val="20"/>
          <w:szCs w:val="20"/>
        </w:rPr>
        <w:t>,</w:t>
      </w:r>
      <w:r w:rsidRPr="005808DE">
        <w:rPr>
          <w:rFonts w:ascii="Arial" w:hAnsi="Arial" w:cs="Arial"/>
          <w:sz w:val="20"/>
          <w:szCs w:val="20"/>
        </w:rPr>
        <w:t xml:space="preserve"> G</w:t>
      </w:r>
      <w:r w:rsidR="005808DE" w:rsidRPr="005808DE">
        <w:rPr>
          <w:rFonts w:ascii="Arial" w:hAnsi="Arial" w:cs="Arial"/>
          <w:sz w:val="20"/>
          <w:szCs w:val="20"/>
        </w:rPr>
        <w:t xml:space="preserve">. </w:t>
      </w:r>
      <w:r w:rsidRPr="005808DE">
        <w:rPr>
          <w:rFonts w:ascii="Arial" w:hAnsi="Arial" w:cs="Arial"/>
          <w:sz w:val="20"/>
          <w:szCs w:val="20"/>
        </w:rPr>
        <w:t>A</w:t>
      </w:r>
      <w:r w:rsidR="005808DE" w:rsidRPr="005808DE">
        <w:rPr>
          <w:rFonts w:ascii="Arial" w:hAnsi="Arial" w:cs="Arial"/>
          <w:sz w:val="20"/>
          <w:szCs w:val="20"/>
        </w:rPr>
        <w:t xml:space="preserve">. </w:t>
      </w:r>
      <w:r w:rsidRPr="005808DE">
        <w:rPr>
          <w:rFonts w:ascii="Arial" w:hAnsi="Arial" w:cs="Arial"/>
          <w:sz w:val="20"/>
          <w:szCs w:val="20"/>
        </w:rPr>
        <w:t>D</w:t>
      </w:r>
      <w:r w:rsidR="005808DE" w:rsidRPr="005808DE">
        <w:rPr>
          <w:rFonts w:ascii="Arial" w:hAnsi="Arial" w:cs="Arial"/>
          <w:sz w:val="20"/>
          <w:szCs w:val="20"/>
        </w:rPr>
        <w:t>.</w:t>
      </w:r>
      <w:r w:rsidRPr="005808DE">
        <w:rPr>
          <w:rFonts w:ascii="Arial" w:hAnsi="Arial" w:cs="Arial"/>
          <w:sz w:val="20"/>
          <w:szCs w:val="20"/>
        </w:rPr>
        <w:t xml:space="preserve"> (</w:t>
      </w:r>
      <w:proofErr w:type="spellStart"/>
      <w:r w:rsidRPr="005808DE">
        <w:rPr>
          <w:rFonts w:ascii="Arial" w:hAnsi="Arial" w:cs="Arial"/>
          <w:sz w:val="20"/>
          <w:szCs w:val="20"/>
        </w:rPr>
        <w:t>eds</w:t>
      </w:r>
      <w:proofErr w:type="spellEnd"/>
      <w:r w:rsidRPr="005808DE">
        <w:rPr>
          <w:rFonts w:ascii="Arial" w:hAnsi="Arial" w:cs="Arial"/>
          <w:sz w:val="20"/>
          <w:szCs w:val="20"/>
        </w:rPr>
        <w:t xml:space="preserve">) </w:t>
      </w:r>
      <w:r w:rsidRPr="005808DE">
        <w:rPr>
          <w:rFonts w:ascii="Arial" w:hAnsi="Arial" w:cs="Arial"/>
          <w:i/>
          <w:sz w:val="20"/>
          <w:szCs w:val="20"/>
        </w:rPr>
        <w:t>Student Perspectives on Assessment: What Students Can Tell Us About Assessment for Learning</w:t>
      </w:r>
      <w:r w:rsidR="005808DE" w:rsidRPr="005808DE">
        <w:rPr>
          <w:rFonts w:ascii="Arial" w:hAnsi="Arial" w:cs="Arial"/>
          <w:sz w:val="20"/>
          <w:szCs w:val="20"/>
        </w:rPr>
        <w:t>. Charlotte: Information Age</w:t>
      </w:r>
      <w:r w:rsidRPr="005808DE">
        <w:rPr>
          <w:rFonts w:ascii="Arial" w:hAnsi="Arial" w:cs="Arial"/>
          <w:sz w:val="20"/>
          <w:szCs w:val="20"/>
        </w:rPr>
        <w:t>.</w:t>
      </w:r>
    </w:p>
    <w:p w:rsidR="00BB386A" w:rsidRPr="00505B71" w:rsidRDefault="00BB386A" w:rsidP="00234E39">
      <w:pPr>
        <w:pStyle w:val="NoSpacing"/>
        <w:spacing w:line="480" w:lineRule="auto"/>
        <w:ind w:left="567" w:hanging="567"/>
        <w:jc w:val="both"/>
        <w:rPr>
          <w:rFonts w:ascii="Arial" w:hAnsi="Arial" w:cs="Arial"/>
          <w:sz w:val="20"/>
          <w:szCs w:val="20"/>
        </w:rPr>
      </w:pPr>
      <w:r w:rsidRPr="00505B71">
        <w:rPr>
          <w:rFonts w:ascii="Arial" w:hAnsi="Arial" w:cs="Arial"/>
          <w:sz w:val="20"/>
          <w:szCs w:val="20"/>
        </w:rPr>
        <w:t>Brown</w:t>
      </w:r>
      <w:r w:rsidR="00505B71" w:rsidRPr="00505B71">
        <w:rPr>
          <w:rFonts w:ascii="Arial" w:hAnsi="Arial" w:cs="Arial"/>
          <w:sz w:val="20"/>
          <w:szCs w:val="20"/>
        </w:rPr>
        <w:t>,</w:t>
      </w:r>
      <w:r w:rsidRPr="00505B71">
        <w:rPr>
          <w:rFonts w:ascii="Arial" w:hAnsi="Arial" w:cs="Arial"/>
          <w:sz w:val="20"/>
          <w:szCs w:val="20"/>
        </w:rPr>
        <w:t xml:space="preserve"> G</w:t>
      </w:r>
      <w:r w:rsidR="00505B71" w:rsidRPr="00505B71">
        <w:rPr>
          <w:rFonts w:ascii="Arial" w:hAnsi="Arial" w:cs="Arial"/>
          <w:sz w:val="20"/>
          <w:szCs w:val="20"/>
        </w:rPr>
        <w:t xml:space="preserve">. </w:t>
      </w:r>
      <w:r w:rsidRPr="00505B71">
        <w:rPr>
          <w:rFonts w:ascii="Arial" w:hAnsi="Arial" w:cs="Arial"/>
          <w:sz w:val="20"/>
          <w:szCs w:val="20"/>
        </w:rPr>
        <w:t>T</w:t>
      </w:r>
      <w:r w:rsidR="00505B71" w:rsidRPr="00505B71">
        <w:rPr>
          <w:rFonts w:ascii="Arial" w:hAnsi="Arial" w:cs="Arial"/>
          <w:sz w:val="20"/>
          <w:szCs w:val="20"/>
        </w:rPr>
        <w:t>.</w:t>
      </w:r>
      <w:r w:rsidRPr="00505B71">
        <w:rPr>
          <w:rFonts w:ascii="Arial" w:hAnsi="Arial" w:cs="Arial"/>
          <w:sz w:val="20"/>
          <w:szCs w:val="20"/>
        </w:rPr>
        <w:t>, Peterson</w:t>
      </w:r>
      <w:r w:rsidR="00505B71" w:rsidRPr="00505B71">
        <w:rPr>
          <w:rFonts w:ascii="Arial" w:hAnsi="Arial" w:cs="Arial"/>
          <w:sz w:val="20"/>
          <w:szCs w:val="20"/>
        </w:rPr>
        <w:t>,</w:t>
      </w:r>
      <w:r w:rsidRPr="00505B71">
        <w:rPr>
          <w:rFonts w:ascii="Arial" w:hAnsi="Arial" w:cs="Arial"/>
          <w:sz w:val="20"/>
          <w:szCs w:val="20"/>
        </w:rPr>
        <w:t xml:space="preserve"> E</w:t>
      </w:r>
      <w:r w:rsidR="00505B71" w:rsidRPr="00505B71">
        <w:rPr>
          <w:rFonts w:ascii="Arial" w:hAnsi="Arial" w:cs="Arial"/>
          <w:sz w:val="20"/>
          <w:szCs w:val="20"/>
        </w:rPr>
        <w:t xml:space="preserve">. </w:t>
      </w:r>
      <w:r w:rsidRPr="00505B71">
        <w:rPr>
          <w:rFonts w:ascii="Arial" w:hAnsi="Arial" w:cs="Arial"/>
          <w:sz w:val="20"/>
          <w:szCs w:val="20"/>
        </w:rPr>
        <w:t>R</w:t>
      </w:r>
      <w:r w:rsidR="00505B71" w:rsidRPr="00505B71">
        <w:rPr>
          <w:rFonts w:ascii="Arial" w:hAnsi="Arial" w:cs="Arial"/>
          <w:sz w:val="20"/>
          <w:szCs w:val="20"/>
        </w:rPr>
        <w:t>.</w:t>
      </w:r>
      <w:r w:rsidRPr="00505B71">
        <w:rPr>
          <w:rFonts w:ascii="Arial" w:hAnsi="Arial" w:cs="Arial"/>
          <w:sz w:val="20"/>
          <w:szCs w:val="20"/>
        </w:rPr>
        <w:t xml:space="preserve"> and Yao</w:t>
      </w:r>
      <w:r w:rsidR="00505B71" w:rsidRPr="00505B71">
        <w:rPr>
          <w:rFonts w:ascii="Arial" w:hAnsi="Arial" w:cs="Arial"/>
          <w:sz w:val="20"/>
          <w:szCs w:val="20"/>
        </w:rPr>
        <w:t>,</w:t>
      </w:r>
      <w:r w:rsidRPr="00505B71">
        <w:rPr>
          <w:rFonts w:ascii="Arial" w:hAnsi="Arial" w:cs="Arial"/>
          <w:sz w:val="20"/>
          <w:szCs w:val="20"/>
        </w:rPr>
        <w:t xml:space="preserve"> E</w:t>
      </w:r>
      <w:r w:rsidR="00505B71" w:rsidRPr="00505B71">
        <w:rPr>
          <w:rFonts w:ascii="Arial" w:hAnsi="Arial" w:cs="Arial"/>
          <w:sz w:val="20"/>
          <w:szCs w:val="20"/>
        </w:rPr>
        <w:t xml:space="preserve">. </w:t>
      </w:r>
      <w:r w:rsidRPr="00505B71">
        <w:rPr>
          <w:rFonts w:ascii="Arial" w:hAnsi="Arial" w:cs="Arial"/>
          <w:sz w:val="20"/>
          <w:szCs w:val="20"/>
        </w:rPr>
        <w:t>S</w:t>
      </w:r>
      <w:r w:rsidR="00505B71" w:rsidRPr="00505B71">
        <w:rPr>
          <w:rFonts w:ascii="Arial" w:hAnsi="Arial" w:cs="Arial"/>
          <w:sz w:val="20"/>
          <w:szCs w:val="20"/>
        </w:rPr>
        <w:t>.</w:t>
      </w:r>
      <w:r w:rsidRPr="00505B71">
        <w:rPr>
          <w:rFonts w:ascii="Arial" w:hAnsi="Arial" w:cs="Arial"/>
          <w:sz w:val="20"/>
          <w:szCs w:val="20"/>
        </w:rPr>
        <w:t xml:space="preserve"> (2016) </w:t>
      </w:r>
      <w:r w:rsidR="00505B71" w:rsidRPr="00505B71">
        <w:rPr>
          <w:rFonts w:ascii="Arial" w:hAnsi="Arial" w:cs="Arial"/>
          <w:sz w:val="20"/>
          <w:szCs w:val="20"/>
        </w:rPr>
        <w:t>‘</w:t>
      </w:r>
      <w:r w:rsidRPr="00505B71">
        <w:rPr>
          <w:rFonts w:ascii="Arial" w:hAnsi="Arial" w:cs="Arial"/>
          <w:sz w:val="20"/>
          <w:szCs w:val="20"/>
        </w:rPr>
        <w:t>Student conceptions of feedback: Impact on self-regulation, self-efficacy, and academic achievement</w:t>
      </w:r>
      <w:r w:rsidR="00505B71" w:rsidRPr="00505B71">
        <w:rPr>
          <w:rFonts w:ascii="Arial" w:hAnsi="Arial" w:cs="Arial"/>
          <w:sz w:val="20"/>
          <w:szCs w:val="20"/>
        </w:rPr>
        <w:t>’</w:t>
      </w:r>
      <w:r w:rsidRPr="00505B71">
        <w:rPr>
          <w:rFonts w:ascii="Arial" w:hAnsi="Arial" w:cs="Arial"/>
          <w:sz w:val="20"/>
          <w:szCs w:val="20"/>
        </w:rPr>
        <w:t xml:space="preserve">. </w:t>
      </w:r>
      <w:r w:rsidRPr="00505B71">
        <w:rPr>
          <w:rFonts w:ascii="Arial" w:hAnsi="Arial" w:cs="Arial"/>
          <w:i/>
          <w:sz w:val="20"/>
          <w:szCs w:val="20"/>
        </w:rPr>
        <w:t>British Journal of Educational Psychology</w:t>
      </w:r>
      <w:r w:rsidRPr="00505B71">
        <w:rPr>
          <w:rFonts w:ascii="Arial" w:hAnsi="Arial" w:cs="Arial"/>
          <w:sz w:val="20"/>
          <w:szCs w:val="20"/>
        </w:rPr>
        <w:t>, 86</w:t>
      </w:r>
      <w:r w:rsidR="00505B71" w:rsidRPr="00505B71">
        <w:rPr>
          <w:rFonts w:ascii="Arial" w:hAnsi="Arial" w:cs="Arial"/>
          <w:sz w:val="20"/>
          <w:szCs w:val="20"/>
        </w:rPr>
        <w:t>(4), pp.</w:t>
      </w:r>
      <w:r w:rsidRPr="00505B71">
        <w:rPr>
          <w:rFonts w:ascii="Arial" w:hAnsi="Arial" w:cs="Arial"/>
          <w:sz w:val="20"/>
          <w:szCs w:val="20"/>
        </w:rPr>
        <w:t xml:space="preserve"> 606-629.</w:t>
      </w:r>
    </w:p>
    <w:p w:rsidR="00561A04" w:rsidRPr="00A07DDE" w:rsidRDefault="00DF084F" w:rsidP="00234E39">
      <w:pPr>
        <w:pStyle w:val="NoSpacing"/>
        <w:spacing w:line="480" w:lineRule="auto"/>
        <w:ind w:left="567" w:hanging="567"/>
        <w:jc w:val="both"/>
        <w:rPr>
          <w:rFonts w:ascii="Arial" w:hAnsi="Arial" w:cs="Arial"/>
          <w:sz w:val="20"/>
          <w:szCs w:val="20"/>
        </w:rPr>
      </w:pPr>
      <w:r w:rsidRPr="00A07DDE">
        <w:rPr>
          <w:rFonts w:ascii="Arial" w:hAnsi="Arial" w:cs="Arial"/>
          <w:sz w:val="20"/>
          <w:szCs w:val="20"/>
        </w:rPr>
        <w:t>Buckley</w:t>
      </w:r>
      <w:r w:rsidR="00A07DDE" w:rsidRPr="00A07DDE">
        <w:rPr>
          <w:rFonts w:ascii="Arial" w:hAnsi="Arial" w:cs="Arial"/>
          <w:sz w:val="20"/>
          <w:szCs w:val="20"/>
        </w:rPr>
        <w:t>,</w:t>
      </w:r>
      <w:r w:rsidRPr="00A07DDE">
        <w:rPr>
          <w:rFonts w:ascii="Arial" w:hAnsi="Arial" w:cs="Arial"/>
          <w:sz w:val="20"/>
          <w:szCs w:val="20"/>
        </w:rPr>
        <w:t xml:space="preserve"> E</w:t>
      </w:r>
      <w:r w:rsidR="00A07DDE" w:rsidRPr="00A07DDE">
        <w:rPr>
          <w:rFonts w:ascii="Arial" w:hAnsi="Arial" w:cs="Arial"/>
          <w:sz w:val="20"/>
          <w:szCs w:val="20"/>
        </w:rPr>
        <w:t>.</w:t>
      </w:r>
      <w:r w:rsidRPr="00A07DDE">
        <w:rPr>
          <w:rFonts w:ascii="Arial" w:hAnsi="Arial" w:cs="Arial"/>
          <w:sz w:val="20"/>
          <w:szCs w:val="20"/>
        </w:rPr>
        <w:t xml:space="preserve"> and </w:t>
      </w:r>
      <w:proofErr w:type="spellStart"/>
      <w:r w:rsidRPr="00A07DDE">
        <w:rPr>
          <w:rFonts w:ascii="Arial" w:hAnsi="Arial" w:cs="Arial"/>
          <w:sz w:val="20"/>
          <w:szCs w:val="20"/>
        </w:rPr>
        <w:t>Cowap</w:t>
      </w:r>
      <w:proofErr w:type="spellEnd"/>
      <w:r w:rsidR="00A07DDE" w:rsidRPr="00A07DDE">
        <w:rPr>
          <w:rFonts w:ascii="Arial" w:hAnsi="Arial" w:cs="Arial"/>
          <w:sz w:val="20"/>
          <w:szCs w:val="20"/>
        </w:rPr>
        <w:t>,</w:t>
      </w:r>
      <w:r w:rsidRPr="00A07DDE">
        <w:rPr>
          <w:rFonts w:ascii="Arial" w:hAnsi="Arial" w:cs="Arial"/>
          <w:sz w:val="20"/>
          <w:szCs w:val="20"/>
        </w:rPr>
        <w:t xml:space="preserve"> L</w:t>
      </w:r>
      <w:r w:rsidR="00A07DDE" w:rsidRPr="00A07DDE">
        <w:rPr>
          <w:rFonts w:ascii="Arial" w:hAnsi="Arial" w:cs="Arial"/>
          <w:sz w:val="20"/>
          <w:szCs w:val="20"/>
        </w:rPr>
        <w:t>.</w:t>
      </w:r>
      <w:r w:rsidRPr="00A07DDE">
        <w:rPr>
          <w:rFonts w:ascii="Arial" w:hAnsi="Arial" w:cs="Arial"/>
          <w:sz w:val="20"/>
          <w:szCs w:val="20"/>
        </w:rPr>
        <w:t xml:space="preserve"> (2013) </w:t>
      </w:r>
      <w:r w:rsidR="00A07DDE" w:rsidRPr="00A07DDE">
        <w:rPr>
          <w:rFonts w:ascii="Arial" w:hAnsi="Arial" w:cs="Arial"/>
          <w:sz w:val="20"/>
          <w:szCs w:val="20"/>
        </w:rPr>
        <w:t>‘</w:t>
      </w:r>
      <w:r w:rsidRPr="00A07DDE">
        <w:rPr>
          <w:rFonts w:ascii="Arial" w:hAnsi="Arial" w:cs="Arial"/>
          <w:sz w:val="20"/>
          <w:szCs w:val="20"/>
        </w:rPr>
        <w:t xml:space="preserve">An evaluation of the use of </w:t>
      </w:r>
      <w:proofErr w:type="spellStart"/>
      <w:r w:rsidRPr="00A07DDE">
        <w:rPr>
          <w:rFonts w:ascii="Arial" w:hAnsi="Arial" w:cs="Arial"/>
          <w:sz w:val="20"/>
          <w:szCs w:val="20"/>
        </w:rPr>
        <w:t>Turnitin</w:t>
      </w:r>
      <w:proofErr w:type="spellEnd"/>
      <w:r w:rsidRPr="00A07DDE">
        <w:rPr>
          <w:rFonts w:ascii="Arial" w:hAnsi="Arial" w:cs="Arial"/>
          <w:sz w:val="20"/>
          <w:szCs w:val="20"/>
        </w:rPr>
        <w:t xml:space="preserve"> for electronic submission and marking and as a formative feedback tool from an educator’s perspective</w:t>
      </w:r>
      <w:r w:rsidR="00A07DDE" w:rsidRPr="00A07DDE">
        <w:rPr>
          <w:rFonts w:ascii="Arial" w:hAnsi="Arial" w:cs="Arial"/>
          <w:sz w:val="20"/>
          <w:szCs w:val="20"/>
        </w:rPr>
        <w:t>’</w:t>
      </w:r>
      <w:r w:rsidRPr="00A07DDE">
        <w:rPr>
          <w:rFonts w:ascii="Arial" w:hAnsi="Arial" w:cs="Arial"/>
          <w:sz w:val="20"/>
          <w:szCs w:val="20"/>
        </w:rPr>
        <w:t xml:space="preserve">. </w:t>
      </w:r>
      <w:r w:rsidRPr="00A07DDE">
        <w:rPr>
          <w:rFonts w:ascii="Arial" w:hAnsi="Arial" w:cs="Arial"/>
          <w:i/>
          <w:sz w:val="20"/>
          <w:szCs w:val="20"/>
        </w:rPr>
        <w:t>British Journal of Educational Technology</w:t>
      </w:r>
      <w:r w:rsidRPr="00A07DDE">
        <w:rPr>
          <w:rFonts w:ascii="Arial" w:hAnsi="Arial" w:cs="Arial"/>
          <w:sz w:val="20"/>
          <w:szCs w:val="20"/>
        </w:rPr>
        <w:t>, 44</w:t>
      </w:r>
      <w:r w:rsidR="00A07DDE" w:rsidRPr="00A07DDE">
        <w:rPr>
          <w:rFonts w:ascii="Arial" w:hAnsi="Arial" w:cs="Arial"/>
          <w:sz w:val="20"/>
          <w:szCs w:val="20"/>
        </w:rPr>
        <w:t xml:space="preserve"> (4), pp.</w:t>
      </w:r>
      <w:r w:rsidRPr="00A07DDE">
        <w:rPr>
          <w:rFonts w:ascii="Arial" w:hAnsi="Arial" w:cs="Arial"/>
          <w:sz w:val="20"/>
          <w:szCs w:val="20"/>
        </w:rPr>
        <w:t xml:space="preserve"> 562-570.</w:t>
      </w:r>
    </w:p>
    <w:p w:rsidR="00561A04" w:rsidRPr="00DF5396" w:rsidRDefault="00D520C8" w:rsidP="00234E39">
      <w:pPr>
        <w:pStyle w:val="NoSpacing"/>
        <w:spacing w:line="480" w:lineRule="auto"/>
        <w:ind w:left="567" w:hanging="567"/>
        <w:jc w:val="both"/>
        <w:rPr>
          <w:rFonts w:ascii="Arial" w:hAnsi="Arial" w:cs="Arial"/>
          <w:sz w:val="20"/>
          <w:szCs w:val="20"/>
        </w:rPr>
      </w:pPr>
      <w:proofErr w:type="spellStart"/>
      <w:r w:rsidRPr="00DF5396">
        <w:rPr>
          <w:rFonts w:ascii="Arial" w:hAnsi="Arial" w:cs="Arial"/>
          <w:sz w:val="20"/>
          <w:szCs w:val="20"/>
        </w:rPr>
        <w:t>Charmaz</w:t>
      </w:r>
      <w:proofErr w:type="spellEnd"/>
      <w:r w:rsidR="00DF5396" w:rsidRPr="00DF5396">
        <w:rPr>
          <w:rFonts w:ascii="Arial" w:hAnsi="Arial" w:cs="Arial"/>
          <w:sz w:val="20"/>
          <w:szCs w:val="20"/>
        </w:rPr>
        <w:t>,</w:t>
      </w:r>
      <w:r w:rsidR="00C56FE3" w:rsidRPr="00DF5396">
        <w:rPr>
          <w:rFonts w:ascii="Arial" w:hAnsi="Arial" w:cs="Arial"/>
          <w:sz w:val="20"/>
          <w:szCs w:val="20"/>
        </w:rPr>
        <w:t xml:space="preserve"> K</w:t>
      </w:r>
      <w:r w:rsidR="00DF5396" w:rsidRPr="00DF5396">
        <w:rPr>
          <w:rFonts w:ascii="Arial" w:hAnsi="Arial" w:cs="Arial"/>
          <w:sz w:val="20"/>
          <w:szCs w:val="20"/>
        </w:rPr>
        <w:t>.</w:t>
      </w:r>
      <w:r w:rsidR="006734E8" w:rsidRPr="00DF5396">
        <w:rPr>
          <w:rFonts w:ascii="Arial" w:hAnsi="Arial" w:cs="Arial"/>
          <w:sz w:val="20"/>
          <w:szCs w:val="20"/>
        </w:rPr>
        <w:t xml:space="preserve"> (2014)</w:t>
      </w:r>
      <w:r w:rsidR="00C11590" w:rsidRPr="00DF5396">
        <w:rPr>
          <w:rFonts w:ascii="Arial" w:hAnsi="Arial" w:cs="Arial"/>
          <w:sz w:val="20"/>
          <w:szCs w:val="20"/>
        </w:rPr>
        <w:t xml:space="preserve"> </w:t>
      </w:r>
      <w:r w:rsidR="00B8592A" w:rsidRPr="00DF5396">
        <w:rPr>
          <w:rFonts w:ascii="Arial" w:hAnsi="Arial" w:cs="Arial"/>
          <w:i/>
          <w:sz w:val="20"/>
          <w:szCs w:val="20"/>
        </w:rPr>
        <w:t>Constructing Grounded T</w:t>
      </w:r>
      <w:r w:rsidR="00C11590" w:rsidRPr="00DF5396">
        <w:rPr>
          <w:rFonts w:ascii="Arial" w:hAnsi="Arial" w:cs="Arial"/>
          <w:i/>
          <w:sz w:val="20"/>
          <w:szCs w:val="20"/>
        </w:rPr>
        <w:t>heory</w:t>
      </w:r>
      <w:r w:rsidR="00C11590" w:rsidRPr="00DF5396">
        <w:rPr>
          <w:rFonts w:ascii="Arial" w:hAnsi="Arial" w:cs="Arial"/>
          <w:sz w:val="20"/>
          <w:szCs w:val="20"/>
        </w:rPr>
        <w:t>. London: SAGE.</w:t>
      </w:r>
    </w:p>
    <w:p w:rsidR="00561A04" w:rsidRPr="00DF5396" w:rsidRDefault="00D520C8" w:rsidP="00234E39">
      <w:pPr>
        <w:pStyle w:val="NoSpacing"/>
        <w:spacing w:line="480" w:lineRule="auto"/>
        <w:ind w:left="567" w:hanging="567"/>
        <w:jc w:val="both"/>
        <w:rPr>
          <w:rFonts w:ascii="Arial" w:hAnsi="Arial" w:cs="Arial"/>
          <w:sz w:val="20"/>
          <w:szCs w:val="20"/>
        </w:rPr>
      </w:pPr>
      <w:r w:rsidRPr="00DF5396">
        <w:rPr>
          <w:rFonts w:ascii="Arial" w:hAnsi="Arial" w:cs="Arial"/>
          <w:sz w:val="20"/>
          <w:szCs w:val="20"/>
        </w:rPr>
        <w:t>Corbin</w:t>
      </w:r>
      <w:r w:rsidR="00DF5396" w:rsidRPr="00DF5396">
        <w:rPr>
          <w:rFonts w:ascii="Arial" w:hAnsi="Arial" w:cs="Arial"/>
          <w:sz w:val="20"/>
          <w:szCs w:val="20"/>
        </w:rPr>
        <w:t>,</w:t>
      </w:r>
      <w:r w:rsidRPr="00DF5396">
        <w:rPr>
          <w:rFonts w:ascii="Arial" w:hAnsi="Arial" w:cs="Arial"/>
          <w:sz w:val="20"/>
          <w:szCs w:val="20"/>
        </w:rPr>
        <w:t xml:space="preserve"> J</w:t>
      </w:r>
      <w:r w:rsidR="00DF5396" w:rsidRPr="00DF5396">
        <w:rPr>
          <w:rFonts w:ascii="Arial" w:hAnsi="Arial" w:cs="Arial"/>
          <w:sz w:val="20"/>
          <w:szCs w:val="20"/>
        </w:rPr>
        <w:t>.</w:t>
      </w:r>
      <w:r w:rsidR="002F6EA4" w:rsidRPr="00DF5396">
        <w:rPr>
          <w:rFonts w:ascii="Arial" w:hAnsi="Arial" w:cs="Arial"/>
          <w:sz w:val="20"/>
          <w:szCs w:val="20"/>
        </w:rPr>
        <w:t xml:space="preserve"> and</w:t>
      </w:r>
      <w:r w:rsidRPr="00DF5396">
        <w:rPr>
          <w:rFonts w:ascii="Arial" w:hAnsi="Arial" w:cs="Arial"/>
          <w:sz w:val="20"/>
          <w:szCs w:val="20"/>
        </w:rPr>
        <w:t xml:space="preserve"> Strauss</w:t>
      </w:r>
      <w:r w:rsidR="00DF5396" w:rsidRPr="00DF5396">
        <w:rPr>
          <w:rFonts w:ascii="Arial" w:hAnsi="Arial" w:cs="Arial"/>
          <w:sz w:val="20"/>
          <w:szCs w:val="20"/>
        </w:rPr>
        <w:t>,</w:t>
      </w:r>
      <w:r w:rsidRPr="00DF5396">
        <w:rPr>
          <w:rFonts w:ascii="Arial" w:hAnsi="Arial" w:cs="Arial"/>
          <w:sz w:val="20"/>
          <w:szCs w:val="20"/>
        </w:rPr>
        <w:t xml:space="preserve"> A</w:t>
      </w:r>
      <w:r w:rsidR="00DF5396" w:rsidRPr="00DF5396">
        <w:rPr>
          <w:rFonts w:ascii="Arial" w:hAnsi="Arial" w:cs="Arial"/>
          <w:sz w:val="20"/>
          <w:szCs w:val="20"/>
        </w:rPr>
        <w:t>.</w:t>
      </w:r>
      <w:r w:rsidR="006734E8" w:rsidRPr="00DF5396">
        <w:rPr>
          <w:rFonts w:ascii="Arial" w:hAnsi="Arial" w:cs="Arial"/>
          <w:sz w:val="20"/>
          <w:szCs w:val="20"/>
        </w:rPr>
        <w:t xml:space="preserve"> (2014)</w:t>
      </w:r>
      <w:r w:rsidR="002F6EA4" w:rsidRPr="00DF5396">
        <w:rPr>
          <w:rFonts w:ascii="Arial" w:hAnsi="Arial" w:cs="Arial"/>
          <w:sz w:val="20"/>
          <w:szCs w:val="20"/>
        </w:rPr>
        <w:t xml:space="preserve"> </w:t>
      </w:r>
      <w:r w:rsidR="00B8592A" w:rsidRPr="00DF5396">
        <w:rPr>
          <w:rFonts w:ascii="Arial" w:hAnsi="Arial" w:cs="Arial"/>
          <w:i/>
          <w:sz w:val="20"/>
          <w:szCs w:val="20"/>
        </w:rPr>
        <w:t>Basics of Qualitative Research: Techniques and Procedures for Developing Grounded T</w:t>
      </w:r>
      <w:r w:rsidR="002F6EA4" w:rsidRPr="00DF5396">
        <w:rPr>
          <w:rFonts w:ascii="Arial" w:hAnsi="Arial" w:cs="Arial"/>
          <w:i/>
          <w:sz w:val="20"/>
          <w:szCs w:val="20"/>
        </w:rPr>
        <w:t>heory</w:t>
      </w:r>
      <w:r w:rsidR="006734E8" w:rsidRPr="00DF5396">
        <w:rPr>
          <w:rFonts w:ascii="Arial" w:hAnsi="Arial" w:cs="Arial"/>
          <w:sz w:val="20"/>
          <w:szCs w:val="20"/>
        </w:rPr>
        <w:t>,</w:t>
      </w:r>
      <w:r w:rsidR="002F6EA4" w:rsidRPr="00DF5396">
        <w:rPr>
          <w:rFonts w:ascii="Arial" w:hAnsi="Arial" w:cs="Arial"/>
          <w:sz w:val="20"/>
          <w:szCs w:val="20"/>
        </w:rPr>
        <w:t xml:space="preserve"> 4th </w:t>
      </w:r>
      <w:proofErr w:type="spellStart"/>
      <w:r w:rsidR="002F6EA4" w:rsidRPr="00DF5396">
        <w:rPr>
          <w:rFonts w:ascii="Arial" w:hAnsi="Arial" w:cs="Arial"/>
          <w:sz w:val="20"/>
          <w:szCs w:val="20"/>
        </w:rPr>
        <w:t>ed</w:t>
      </w:r>
      <w:r w:rsidR="006734E8" w:rsidRPr="00DF5396">
        <w:rPr>
          <w:rFonts w:ascii="Arial" w:hAnsi="Arial" w:cs="Arial"/>
          <w:sz w:val="20"/>
          <w:szCs w:val="20"/>
        </w:rPr>
        <w:t>n</w:t>
      </w:r>
      <w:proofErr w:type="spellEnd"/>
      <w:r w:rsidR="002F6EA4" w:rsidRPr="00DF5396">
        <w:rPr>
          <w:rFonts w:ascii="Arial" w:hAnsi="Arial" w:cs="Arial"/>
          <w:sz w:val="20"/>
          <w:szCs w:val="20"/>
        </w:rPr>
        <w:t>. London: SAGE.</w:t>
      </w:r>
    </w:p>
    <w:p w:rsidR="00B71C57" w:rsidRPr="00DF5396" w:rsidRDefault="00D520C8" w:rsidP="00234E39">
      <w:pPr>
        <w:pStyle w:val="NoSpacing"/>
        <w:spacing w:line="480" w:lineRule="auto"/>
        <w:ind w:left="567" w:hanging="567"/>
        <w:jc w:val="both"/>
        <w:rPr>
          <w:rFonts w:ascii="Arial" w:hAnsi="Arial" w:cs="Arial"/>
          <w:sz w:val="20"/>
          <w:szCs w:val="20"/>
        </w:rPr>
      </w:pPr>
      <w:proofErr w:type="gramStart"/>
      <w:r w:rsidRPr="00DF5396">
        <w:rPr>
          <w:rFonts w:ascii="Arial" w:hAnsi="Arial" w:cs="Arial"/>
          <w:sz w:val="20"/>
          <w:szCs w:val="20"/>
        </w:rPr>
        <w:t>Creswell</w:t>
      </w:r>
      <w:r w:rsidR="00DF5396" w:rsidRPr="00DF5396">
        <w:rPr>
          <w:rFonts w:ascii="Arial" w:hAnsi="Arial" w:cs="Arial"/>
          <w:sz w:val="20"/>
          <w:szCs w:val="20"/>
        </w:rPr>
        <w:t>,</w:t>
      </w:r>
      <w:r w:rsidRPr="00DF5396">
        <w:rPr>
          <w:rFonts w:ascii="Arial" w:hAnsi="Arial" w:cs="Arial"/>
          <w:sz w:val="20"/>
          <w:szCs w:val="20"/>
        </w:rPr>
        <w:t xml:space="preserve"> J</w:t>
      </w:r>
      <w:r w:rsidR="00DF5396" w:rsidRPr="00DF5396">
        <w:rPr>
          <w:rFonts w:ascii="Arial" w:hAnsi="Arial" w:cs="Arial"/>
          <w:sz w:val="20"/>
          <w:szCs w:val="20"/>
        </w:rPr>
        <w:t xml:space="preserve">. </w:t>
      </w:r>
      <w:r w:rsidRPr="00DF5396">
        <w:rPr>
          <w:rFonts w:ascii="Arial" w:hAnsi="Arial" w:cs="Arial"/>
          <w:sz w:val="20"/>
          <w:szCs w:val="20"/>
        </w:rPr>
        <w:t>W</w:t>
      </w:r>
      <w:r w:rsidR="00DF5396" w:rsidRPr="00DF5396">
        <w:rPr>
          <w:rFonts w:ascii="Arial" w:hAnsi="Arial" w:cs="Arial"/>
          <w:sz w:val="20"/>
          <w:szCs w:val="20"/>
        </w:rPr>
        <w:t>.</w:t>
      </w:r>
      <w:r w:rsidR="006734E8" w:rsidRPr="00DF5396">
        <w:rPr>
          <w:rFonts w:ascii="Arial" w:hAnsi="Arial" w:cs="Arial"/>
          <w:sz w:val="20"/>
          <w:szCs w:val="20"/>
        </w:rPr>
        <w:t xml:space="preserve"> (2015)</w:t>
      </w:r>
      <w:r w:rsidR="002F6EA4" w:rsidRPr="00DF5396">
        <w:rPr>
          <w:rFonts w:ascii="Arial" w:hAnsi="Arial" w:cs="Arial"/>
          <w:sz w:val="20"/>
          <w:szCs w:val="20"/>
        </w:rPr>
        <w:t xml:space="preserve"> </w:t>
      </w:r>
      <w:r w:rsidR="00B8592A" w:rsidRPr="00DF5396">
        <w:rPr>
          <w:rFonts w:ascii="Arial" w:hAnsi="Arial" w:cs="Arial"/>
          <w:i/>
          <w:sz w:val="20"/>
          <w:szCs w:val="20"/>
        </w:rPr>
        <w:t>A Concise Introduction to Mixed Methods R</w:t>
      </w:r>
      <w:r w:rsidR="002F6EA4" w:rsidRPr="00DF5396">
        <w:rPr>
          <w:rFonts w:ascii="Arial" w:hAnsi="Arial" w:cs="Arial"/>
          <w:i/>
          <w:sz w:val="20"/>
          <w:szCs w:val="20"/>
        </w:rPr>
        <w:t>esearch</w:t>
      </w:r>
      <w:r w:rsidR="002F6EA4" w:rsidRPr="00DF5396">
        <w:rPr>
          <w:rFonts w:ascii="Arial" w:hAnsi="Arial" w:cs="Arial"/>
          <w:sz w:val="20"/>
          <w:szCs w:val="20"/>
        </w:rPr>
        <w:t>.</w:t>
      </w:r>
      <w:proofErr w:type="gramEnd"/>
      <w:r w:rsidR="002F6EA4" w:rsidRPr="00DF5396">
        <w:rPr>
          <w:rFonts w:ascii="Arial" w:hAnsi="Arial" w:cs="Arial"/>
          <w:sz w:val="20"/>
          <w:szCs w:val="20"/>
        </w:rPr>
        <w:t xml:space="preserve"> London: SAGE.</w:t>
      </w:r>
    </w:p>
    <w:p w:rsidR="00B71C57" w:rsidRPr="003A3A1A" w:rsidRDefault="00B71C57" w:rsidP="00234E39">
      <w:pPr>
        <w:pStyle w:val="NoSpacing"/>
        <w:spacing w:line="480" w:lineRule="auto"/>
        <w:ind w:left="567" w:hanging="567"/>
        <w:jc w:val="both"/>
        <w:rPr>
          <w:rFonts w:ascii="Arial" w:hAnsi="Arial" w:cs="Arial"/>
          <w:sz w:val="20"/>
          <w:szCs w:val="20"/>
        </w:rPr>
      </w:pPr>
      <w:r w:rsidRPr="003A3A1A">
        <w:rPr>
          <w:rFonts w:ascii="Arial" w:hAnsi="Arial" w:cs="Arial"/>
          <w:sz w:val="20"/>
          <w:szCs w:val="20"/>
        </w:rPr>
        <w:t>Gale</w:t>
      </w:r>
      <w:r w:rsidR="003A3A1A" w:rsidRPr="003A3A1A">
        <w:rPr>
          <w:rFonts w:ascii="Arial" w:hAnsi="Arial" w:cs="Arial"/>
          <w:sz w:val="20"/>
          <w:szCs w:val="20"/>
        </w:rPr>
        <w:t>,</w:t>
      </w:r>
      <w:r w:rsidRPr="003A3A1A">
        <w:rPr>
          <w:rFonts w:ascii="Arial" w:hAnsi="Arial" w:cs="Arial"/>
          <w:sz w:val="20"/>
          <w:szCs w:val="20"/>
        </w:rPr>
        <w:t xml:space="preserve"> T</w:t>
      </w:r>
      <w:r w:rsidR="003A3A1A" w:rsidRPr="003A3A1A">
        <w:rPr>
          <w:rFonts w:ascii="Arial" w:hAnsi="Arial" w:cs="Arial"/>
          <w:sz w:val="20"/>
          <w:szCs w:val="20"/>
        </w:rPr>
        <w:t>.</w:t>
      </w:r>
      <w:r w:rsidRPr="003A3A1A">
        <w:rPr>
          <w:rFonts w:ascii="Arial" w:hAnsi="Arial" w:cs="Arial"/>
          <w:sz w:val="20"/>
          <w:szCs w:val="20"/>
        </w:rPr>
        <w:t xml:space="preserve"> and Parker</w:t>
      </w:r>
      <w:r w:rsidR="003A3A1A" w:rsidRPr="003A3A1A">
        <w:rPr>
          <w:rFonts w:ascii="Arial" w:hAnsi="Arial" w:cs="Arial"/>
          <w:sz w:val="20"/>
          <w:szCs w:val="20"/>
        </w:rPr>
        <w:t>,</w:t>
      </w:r>
      <w:r w:rsidRPr="003A3A1A">
        <w:rPr>
          <w:rFonts w:ascii="Arial" w:hAnsi="Arial" w:cs="Arial"/>
          <w:sz w:val="20"/>
          <w:szCs w:val="20"/>
        </w:rPr>
        <w:t xml:space="preserve"> S</w:t>
      </w:r>
      <w:r w:rsidR="003A3A1A" w:rsidRPr="003A3A1A">
        <w:rPr>
          <w:rFonts w:ascii="Arial" w:hAnsi="Arial" w:cs="Arial"/>
          <w:sz w:val="20"/>
          <w:szCs w:val="20"/>
        </w:rPr>
        <w:t>.</w:t>
      </w:r>
      <w:r w:rsidRPr="003A3A1A">
        <w:rPr>
          <w:rFonts w:ascii="Arial" w:hAnsi="Arial" w:cs="Arial"/>
          <w:sz w:val="20"/>
          <w:szCs w:val="20"/>
        </w:rPr>
        <w:t xml:space="preserve"> (2014) </w:t>
      </w:r>
      <w:r w:rsidR="003A3A1A" w:rsidRPr="003A3A1A">
        <w:rPr>
          <w:rFonts w:ascii="Arial" w:hAnsi="Arial" w:cs="Arial"/>
          <w:sz w:val="20"/>
          <w:szCs w:val="20"/>
        </w:rPr>
        <w:t>‘</w:t>
      </w:r>
      <w:proofErr w:type="gramStart"/>
      <w:r w:rsidRPr="003A3A1A">
        <w:rPr>
          <w:rFonts w:ascii="Arial" w:hAnsi="Arial" w:cs="Arial"/>
          <w:sz w:val="20"/>
          <w:szCs w:val="20"/>
        </w:rPr>
        <w:t>Navigating</w:t>
      </w:r>
      <w:proofErr w:type="gramEnd"/>
      <w:r w:rsidRPr="003A3A1A">
        <w:rPr>
          <w:rFonts w:ascii="Arial" w:hAnsi="Arial" w:cs="Arial"/>
          <w:sz w:val="20"/>
          <w:szCs w:val="20"/>
        </w:rPr>
        <w:t xml:space="preserve"> change: A typology of student transition in higher education</w:t>
      </w:r>
      <w:r w:rsidR="003A3A1A" w:rsidRPr="003A3A1A">
        <w:rPr>
          <w:rFonts w:ascii="Arial" w:hAnsi="Arial" w:cs="Arial"/>
          <w:sz w:val="20"/>
          <w:szCs w:val="20"/>
        </w:rPr>
        <w:t>’</w:t>
      </w:r>
      <w:r w:rsidRPr="003A3A1A">
        <w:rPr>
          <w:rFonts w:ascii="Arial" w:hAnsi="Arial" w:cs="Arial"/>
          <w:sz w:val="20"/>
          <w:szCs w:val="20"/>
        </w:rPr>
        <w:t xml:space="preserve">. </w:t>
      </w:r>
      <w:r w:rsidRPr="003A3A1A">
        <w:rPr>
          <w:rFonts w:ascii="Arial" w:hAnsi="Arial" w:cs="Arial"/>
          <w:i/>
          <w:sz w:val="20"/>
          <w:szCs w:val="20"/>
        </w:rPr>
        <w:t>Studies in Higher Education</w:t>
      </w:r>
      <w:r w:rsidR="003A3A1A" w:rsidRPr="003A3A1A">
        <w:rPr>
          <w:rFonts w:ascii="Arial" w:hAnsi="Arial" w:cs="Arial"/>
          <w:sz w:val="20"/>
          <w:szCs w:val="20"/>
        </w:rPr>
        <w:t>, 39(5), pp.</w:t>
      </w:r>
      <w:r w:rsidRPr="003A3A1A">
        <w:rPr>
          <w:rFonts w:ascii="Arial" w:hAnsi="Arial" w:cs="Arial"/>
          <w:sz w:val="20"/>
          <w:szCs w:val="20"/>
        </w:rPr>
        <w:t xml:space="preserve"> 734-753.</w:t>
      </w:r>
    </w:p>
    <w:p w:rsidR="00BB386A" w:rsidRPr="003A3A1A" w:rsidRDefault="00B42C44" w:rsidP="00234E39">
      <w:pPr>
        <w:pStyle w:val="NoSpacing"/>
        <w:spacing w:line="480" w:lineRule="auto"/>
        <w:ind w:left="567" w:hanging="567"/>
        <w:jc w:val="both"/>
        <w:rPr>
          <w:rFonts w:ascii="Arial" w:hAnsi="Arial" w:cs="Arial"/>
          <w:sz w:val="20"/>
          <w:szCs w:val="20"/>
        </w:rPr>
      </w:pPr>
      <w:proofErr w:type="spellStart"/>
      <w:r w:rsidRPr="003A3A1A">
        <w:rPr>
          <w:rFonts w:ascii="Arial" w:hAnsi="Arial" w:cs="Arial"/>
          <w:sz w:val="20"/>
          <w:szCs w:val="20"/>
        </w:rPr>
        <w:t>Gosper</w:t>
      </w:r>
      <w:proofErr w:type="spellEnd"/>
      <w:r w:rsidR="003A3A1A" w:rsidRPr="003A3A1A">
        <w:rPr>
          <w:rFonts w:ascii="Arial" w:hAnsi="Arial" w:cs="Arial"/>
          <w:sz w:val="20"/>
          <w:szCs w:val="20"/>
        </w:rPr>
        <w:t>,</w:t>
      </w:r>
      <w:r w:rsidRPr="003A3A1A">
        <w:rPr>
          <w:rFonts w:ascii="Arial" w:hAnsi="Arial" w:cs="Arial"/>
          <w:sz w:val="20"/>
          <w:szCs w:val="20"/>
        </w:rPr>
        <w:t xml:space="preserve"> M</w:t>
      </w:r>
      <w:r w:rsidR="003A3A1A" w:rsidRPr="003A3A1A">
        <w:rPr>
          <w:rFonts w:ascii="Arial" w:hAnsi="Arial" w:cs="Arial"/>
          <w:sz w:val="20"/>
          <w:szCs w:val="20"/>
        </w:rPr>
        <w:t>.</w:t>
      </w:r>
      <w:r w:rsidRPr="003A3A1A">
        <w:rPr>
          <w:rFonts w:ascii="Arial" w:hAnsi="Arial" w:cs="Arial"/>
          <w:sz w:val="20"/>
          <w:szCs w:val="20"/>
        </w:rPr>
        <w:t xml:space="preserve">, </w:t>
      </w:r>
      <w:proofErr w:type="spellStart"/>
      <w:r w:rsidRPr="003A3A1A">
        <w:rPr>
          <w:rFonts w:ascii="Arial" w:hAnsi="Arial" w:cs="Arial"/>
          <w:sz w:val="20"/>
          <w:szCs w:val="20"/>
        </w:rPr>
        <w:t>Malfroy</w:t>
      </w:r>
      <w:proofErr w:type="spellEnd"/>
      <w:r w:rsidR="003A3A1A" w:rsidRPr="003A3A1A">
        <w:rPr>
          <w:rFonts w:ascii="Arial" w:hAnsi="Arial" w:cs="Arial"/>
          <w:sz w:val="20"/>
          <w:szCs w:val="20"/>
        </w:rPr>
        <w:t>,</w:t>
      </w:r>
      <w:r w:rsidRPr="003A3A1A">
        <w:rPr>
          <w:rFonts w:ascii="Arial" w:hAnsi="Arial" w:cs="Arial"/>
          <w:sz w:val="20"/>
          <w:szCs w:val="20"/>
        </w:rPr>
        <w:t xml:space="preserve"> J</w:t>
      </w:r>
      <w:r w:rsidR="003A3A1A" w:rsidRPr="003A3A1A">
        <w:rPr>
          <w:rFonts w:ascii="Arial" w:hAnsi="Arial" w:cs="Arial"/>
          <w:sz w:val="20"/>
          <w:szCs w:val="20"/>
        </w:rPr>
        <w:t>.</w:t>
      </w:r>
      <w:r w:rsidRPr="003A3A1A">
        <w:rPr>
          <w:rFonts w:ascii="Arial" w:hAnsi="Arial" w:cs="Arial"/>
          <w:sz w:val="20"/>
          <w:szCs w:val="20"/>
        </w:rPr>
        <w:t xml:space="preserve"> and McKenzie</w:t>
      </w:r>
      <w:r w:rsidR="003A3A1A" w:rsidRPr="003A3A1A">
        <w:rPr>
          <w:rFonts w:ascii="Arial" w:hAnsi="Arial" w:cs="Arial"/>
          <w:sz w:val="20"/>
          <w:szCs w:val="20"/>
        </w:rPr>
        <w:t>,</w:t>
      </w:r>
      <w:r w:rsidRPr="003A3A1A">
        <w:rPr>
          <w:rFonts w:ascii="Arial" w:hAnsi="Arial" w:cs="Arial"/>
          <w:sz w:val="20"/>
          <w:szCs w:val="20"/>
        </w:rPr>
        <w:t xml:space="preserve"> J</w:t>
      </w:r>
      <w:r w:rsidR="003A3A1A" w:rsidRPr="003A3A1A">
        <w:rPr>
          <w:rFonts w:ascii="Arial" w:hAnsi="Arial" w:cs="Arial"/>
          <w:sz w:val="20"/>
          <w:szCs w:val="20"/>
        </w:rPr>
        <w:t>.</w:t>
      </w:r>
      <w:r w:rsidRPr="003A3A1A">
        <w:rPr>
          <w:rFonts w:ascii="Arial" w:hAnsi="Arial" w:cs="Arial"/>
          <w:sz w:val="20"/>
          <w:szCs w:val="20"/>
        </w:rPr>
        <w:t xml:space="preserve"> (2013) </w:t>
      </w:r>
      <w:r w:rsidR="003A3A1A" w:rsidRPr="003A3A1A">
        <w:rPr>
          <w:rFonts w:ascii="Arial" w:hAnsi="Arial" w:cs="Arial"/>
          <w:sz w:val="20"/>
          <w:szCs w:val="20"/>
        </w:rPr>
        <w:t>‘</w:t>
      </w:r>
      <w:r w:rsidRPr="003A3A1A">
        <w:rPr>
          <w:rFonts w:ascii="Arial" w:hAnsi="Arial" w:cs="Arial"/>
          <w:sz w:val="20"/>
          <w:szCs w:val="20"/>
        </w:rPr>
        <w:t>Students’ experiences and expectations of technologies: An Australian study designed to inform planning and development decisions</w:t>
      </w:r>
      <w:r w:rsidR="003A3A1A" w:rsidRPr="003A3A1A">
        <w:rPr>
          <w:rFonts w:ascii="Arial" w:hAnsi="Arial" w:cs="Arial"/>
          <w:sz w:val="20"/>
          <w:szCs w:val="20"/>
        </w:rPr>
        <w:t>’</w:t>
      </w:r>
      <w:r w:rsidRPr="003A3A1A">
        <w:rPr>
          <w:rFonts w:ascii="Arial" w:hAnsi="Arial" w:cs="Arial"/>
          <w:sz w:val="20"/>
          <w:szCs w:val="20"/>
        </w:rPr>
        <w:t xml:space="preserve">. </w:t>
      </w:r>
      <w:r w:rsidRPr="003A3A1A">
        <w:rPr>
          <w:rFonts w:ascii="Arial" w:hAnsi="Arial" w:cs="Arial"/>
          <w:i/>
          <w:sz w:val="20"/>
          <w:szCs w:val="20"/>
        </w:rPr>
        <w:t>Australasian Journal of Educational Technology</w:t>
      </w:r>
      <w:r w:rsidR="003A3A1A" w:rsidRPr="003A3A1A">
        <w:rPr>
          <w:rFonts w:ascii="Arial" w:hAnsi="Arial" w:cs="Arial"/>
          <w:sz w:val="20"/>
          <w:szCs w:val="20"/>
        </w:rPr>
        <w:t>, 29(2), pp.</w:t>
      </w:r>
      <w:r w:rsidRPr="003A3A1A">
        <w:rPr>
          <w:rFonts w:ascii="Arial" w:hAnsi="Arial" w:cs="Arial"/>
          <w:sz w:val="20"/>
          <w:szCs w:val="20"/>
        </w:rPr>
        <w:t xml:space="preserve"> 268-282.</w:t>
      </w:r>
    </w:p>
    <w:p w:rsidR="00BB386A" w:rsidRPr="003A3A1A" w:rsidRDefault="00BB386A" w:rsidP="00234E39">
      <w:pPr>
        <w:pStyle w:val="NoSpacing"/>
        <w:spacing w:line="480" w:lineRule="auto"/>
        <w:ind w:left="567" w:hanging="567"/>
        <w:jc w:val="both"/>
        <w:rPr>
          <w:rFonts w:ascii="Arial" w:hAnsi="Arial" w:cs="Arial"/>
          <w:sz w:val="20"/>
          <w:szCs w:val="20"/>
        </w:rPr>
      </w:pPr>
      <w:r w:rsidRPr="003A3A1A">
        <w:rPr>
          <w:rFonts w:ascii="Arial" w:hAnsi="Arial" w:cs="Arial"/>
          <w:sz w:val="20"/>
          <w:szCs w:val="20"/>
        </w:rPr>
        <w:t>Grieve</w:t>
      </w:r>
      <w:r w:rsidR="003A3A1A" w:rsidRPr="003A3A1A">
        <w:rPr>
          <w:rFonts w:ascii="Arial" w:hAnsi="Arial" w:cs="Arial"/>
          <w:sz w:val="20"/>
          <w:szCs w:val="20"/>
        </w:rPr>
        <w:t>,</w:t>
      </w:r>
      <w:r w:rsidRPr="003A3A1A">
        <w:rPr>
          <w:rFonts w:ascii="Arial" w:hAnsi="Arial" w:cs="Arial"/>
          <w:sz w:val="20"/>
          <w:szCs w:val="20"/>
        </w:rPr>
        <w:t xml:space="preserve"> R</w:t>
      </w:r>
      <w:r w:rsidR="003A3A1A" w:rsidRPr="003A3A1A">
        <w:rPr>
          <w:rFonts w:ascii="Arial" w:hAnsi="Arial" w:cs="Arial"/>
          <w:sz w:val="20"/>
          <w:szCs w:val="20"/>
        </w:rPr>
        <w:t>.</w:t>
      </w:r>
      <w:r w:rsidRPr="003A3A1A">
        <w:rPr>
          <w:rFonts w:ascii="Arial" w:hAnsi="Arial" w:cs="Arial"/>
          <w:sz w:val="20"/>
          <w:szCs w:val="20"/>
        </w:rPr>
        <w:t>, Padgett</w:t>
      </w:r>
      <w:r w:rsidR="003A3A1A" w:rsidRPr="003A3A1A">
        <w:rPr>
          <w:rFonts w:ascii="Arial" w:hAnsi="Arial" w:cs="Arial"/>
          <w:sz w:val="20"/>
          <w:szCs w:val="20"/>
        </w:rPr>
        <w:t>,</w:t>
      </w:r>
      <w:r w:rsidRPr="003A3A1A">
        <w:rPr>
          <w:rFonts w:ascii="Arial" w:hAnsi="Arial" w:cs="Arial"/>
          <w:sz w:val="20"/>
          <w:szCs w:val="20"/>
        </w:rPr>
        <w:t xml:space="preserve"> C</w:t>
      </w:r>
      <w:r w:rsidR="003A3A1A" w:rsidRPr="003A3A1A">
        <w:rPr>
          <w:rFonts w:ascii="Arial" w:hAnsi="Arial" w:cs="Arial"/>
          <w:sz w:val="20"/>
          <w:szCs w:val="20"/>
        </w:rPr>
        <w:t xml:space="preserve">. </w:t>
      </w:r>
      <w:r w:rsidRPr="003A3A1A">
        <w:rPr>
          <w:rFonts w:ascii="Arial" w:hAnsi="Arial" w:cs="Arial"/>
          <w:sz w:val="20"/>
          <w:szCs w:val="20"/>
        </w:rPr>
        <w:t>R</w:t>
      </w:r>
      <w:r w:rsidR="003A3A1A" w:rsidRPr="003A3A1A">
        <w:rPr>
          <w:rFonts w:ascii="Arial" w:hAnsi="Arial" w:cs="Arial"/>
          <w:sz w:val="20"/>
          <w:szCs w:val="20"/>
        </w:rPr>
        <w:t>.</w:t>
      </w:r>
      <w:r w:rsidRPr="003A3A1A">
        <w:rPr>
          <w:rFonts w:ascii="Arial" w:hAnsi="Arial" w:cs="Arial"/>
          <w:sz w:val="20"/>
          <w:szCs w:val="20"/>
        </w:rPr>
        <w:t xml:space="preserve"> and Moffitt</w:t>
      </w:r>
      <w:r w:rsidR="003A3A1A" w:rsidRPr="003A3A1A">
        <w:rPr>
          <w:rFonts w:ascii="Arial" w:hAnsi="Arial" w:cs="Arial"/>
          <w:sz w:val="20"/>
          <w:szCs w:val="20"/>
        </w:rPr>
        <w:t>,</w:t>
      </w:r>
      <w:r w:rsidRPr="003A3A1A">
        <w:rPr>
          <w:rFonts w:ascii="Arial" w:hAnsi="Arial" w:cs="Arial"/>
          <w:sz w:val="20"/>
          <w:szCs w:val="20"/>
        </w:rPr>
        <w:t xml:space="preserve"> R</w:t>
      </w:r>
      <w:r w:rsidR="003A3A1A" w:rsidRPr="003A3A1A">
        <w:rPr>
          <w:rFonts w:ascii="Arial" w:hAnsi="Arial" w:cs="Arial"/>
          <w:sz w:val="20"/>
          <w:szCs w:val="20"/>
        </w:rPr>
        <w:t xml:space="preserve">. </w:t>
      </w:r>
      <w:r w:rsidRPr="003A3A1A">
        <w:rPr>
          <w:rFonts w:ascii="Arial" w:hAnsi="Arial" w:cs="Arial"/>
          <w:sz w:val="20"/>
          <w:szCs w:val="20"/>
        </w:rPr>
        <w:t>L</w:t>
      </w:r>
      <w:r w:rsidR="003A3A1A" w:rsidRPr="003A3A1A">
        <w:rPr>
          <w:rFonts w:ascii="Arial" w:hAnsi="Arial" w:cs="Arial"/>
          <w:sz w:val="20"/>
          <w:szCs w:val="20"/>
        </w:rPr>
        <w:t>.</w:t>
      </w:r>
      <w:r w:rsidRPr="003A3A1A">
        <w:rPr>
          <w:rFonts w:ascii="Arial" w:hAnsi="Arial" w:cs="Arial"/>
          <w:sz w:val="20"/>
          <w:szCs w:val="20"/>
        </w:rPr>
        <w:t xml:space="preserve"> (2016) </w:t>
      </w:r>
      <w:r w:rsidR="003A3A1A" w:rsidRPr="003A3A1A">
        <w:rPr>
          <w:rFonts w:ascii="Arial" w:hAnsi="Arial" w:cs="Arial"/>
          <w:sz w:val="20"/>
          <w:szCs w:val="20"/>
        </w:rPr>
        <w:t>‘</w:t>
      </w:r>
      <w:r w:rsidRPr="003A3A1A">
        <w:rPr>
          <w:rFonts w:ascii="Arial" w:hAnsi="Arial" w:cs="Arial"/>
          <w:sz w:val="20"/>
          <w:szCs w:val="20"/>
        </w:rPr>
        <w:t>Assignments 2.0: The role of social presence and computer attitudes in student preferences for online versus offline marking</w:t>
      </w:r>
      <w:r w:rsidR="003A3A1A" w:rsidRPr="003A3A1A">
        <w:rPr>
          <w:rFonts w:ascii="Arial" w:hAnsi="Arial" w:cs="Arial"/>
          <w:sz w:val="20"/>
          <w:szCs w:val="20"/>
        </w:rPr>
        <w:t>’</w:t>
      </w:r>
      <w:r w:rsidRPr="003A3A1A">
        <w:rPr>
          <w:rFonts w:ascii="Arial" w:hAnsi="Arial" w:cs="Arial"/>
          <w:sz w:val="20"/>
          <w:szCs w:val="20"/>
        </w:rPr>
        <w:t xml:space="preserve">. </w:t>
      </w:r>
      <w:r w:rsidRPr="003A3A1A">
        <w:rPr>
          <w:rFonts w:ascii="Arial" w:hAnsi="Arial" w:cs="Arial"/>
          <w:i/>
          <w:sz w:val="20"/>
          <w:szCs w:val="20"/>
        </w:rPr>
        <w:t>The</w:t>
      </w:r>
      <w:r w:rsidRPr="003A3A1A">
        <w:rPr>
          <w:rFonts w:ascii="Arial" w:hAnsi="Arial" w:cs="Arial"/>
          <w:sz w:val="20"/>
          <w:szCs w:val="20"/>
        </w:rPr>
        <w:t xml:space="preserve"> </w:t>
      </w:r>
      <w:r w:rsidRPr="003A3A1A">
        <w:rPr>
          <w:rFonts w:ascii="Arial" w:hAnsi="Arial" w:cs="Arial"/>
          <w:i/>
          <w:sz w:val="20"/>
          <w:szCs w:val="20"/>
        </w:rPr>
        <w:t>Internet and Higher Education</w:t>
      </w:r>
      <w:r w:rsidR="003A3A1A" w:rsidRPr="003A3A1A">
        <w:rPr>
          <w:rFonts w:ascii="Arial" w:hAnsi="Arial" w:cs="Arial"/>
          <w:sz w:val="20"/>
          <w:szCs w:val="20"/>
        </w:rPr>
        <w:t>, 28, pp.</w:t>
      </w:r>
      <w:r w:rsidRPr="003A3A1A">
        <w:rPr>
          <w:rFonts w:ascii="Arial" w:hAnsi="Arial" w:cs="Arial"/>
          <w:sz w:val="20"/>
          <w:szCs w:val="20"/>
        </w:rPr>
        <w:t xml:space="preserve"> 8-16.</w:t>
      </w:r>
    </w:p>
    <w:p w:rsidR="000407CE" w:rsidRPr="00D815A7" w:rsidRDefault="008311A7" w:rsidP="00234E39">
      <w:pPr>
        <w:pStyle w:val="NoSpacing"/>
        <w:spacing w:line="480" w:lineRule="auto"/>
        <w:ind w:left="567" w:hanging="567"/>
        <w:jc w:val="both"/>
        <w:rPr>
          <w:rFonts w:ascii="Arial" w:hAnsi="Arial" w:cs="Arial"/>
          <w:sz w:val="20"/>
          <w:szCs w:val="20"/>
        </w:rPr>
      </w:pPr>
      <w:r w:rsidRPr="00D815A7">
        <w:rPr>
          <w:rFonts w:ascii="Arial" w:hAnsi="Arial" w:cs="Arial"/>
          <w:sz w:val="20"/>
          <w:szCs w:val="20"/>
        </w:rPr>
        <w:lastRenderedPageBreak/>
        <w:t>Hast</w:t>
      </w:r>
      <w:r w:rsidR="0092691D" w:rsidRPr="00D815A7">
        <w:rPr>
          <w:rFonts w:ascii="Arial" w:hAnsi="Arial" w:cs="Arial"/>
          <w:sz w:val="20"/>
          <w:szCs w:val="20"/>
        </w:rPr>
        <w:t>,</w:t>
      </w:r>
      <w:r w:rsidRPr="00D815A7">
        <w:rPr>
          <w:rFonts w:ascii="Arial" w:hAnsi="Arial" w:cs="Arial"/>
          <w:sz w:val="20"/>
          <w:szCs w:val="20"/>
        </w:rPr>
        <w:t xml:space="preserve"> M</w:t>
      </w:r>
      <w:r w:rsidR="0092691D" w:rsidRPr="00D815A7">
        <w:rPr>
          <w:rFonts w:ascii="Arial" w:hAnsi="Arial" w:cs="Arial"/>
          <w:sz w:val="20"/>
          <w:szCs w:val="20"/>
        </w:rPr>
        <w:t>.</w:t>
      </w:r>
      <w:r w:rsidRPr="00D815A7">
        <w:rPr>
          <w:rFonts w:ascii="Arial" w:hAnsi="Arial" w:cs="Arial"/>
          <w:sz w:val="20"/>
          <w:szCs w:val="20"/>
        </w:rPr>
        <w:t xml:space="preserve"> and Healy</w:t>
      </w:r>
      <w:r w:rsidR="0092691D" w:rsidRPr="00D815A7">
        <w:rPr>
          <w:rFonts w:ascii="Arial" w:hAnsi="Arial" w:cs="Arial"/>
          <w:sz w:val="20"/>
          <w:szCs w:val="20"/>
        </w:rPr>
        <w:t>,</w:t>
      </w:r>
      <w:r w:rsidRPr="00D815A7">
        <w:rPr>
          <w:rFonts w:ascii="Arial" w:hAnsi="Arial" w:cs="Arial"/>
          <w:sz w:val="20"/>
          <w:szCs w:val="20"/>
        </w:rPr>
        <w:t xml:space="preserve"> </w:t>
      </w:r>
      <w:r w:rsidR="0092691D" w:rsidRPr="00D815A7">
        <w:rPr>
          <w:rFonts w:ascii="Arial" w:hAnsi="Arial" w:cs="Arial"/>
          <w:sz w:val="20"/>
          <w:szCs w:val="20"/>
        </w:rPr>
        <w:t>C.</w:t>
      </w:r>
      <w:r w:rsidR="00D815A7" w:rsidRPr="00D815A7">
        <w:rPr>
          <w:rFonts w:ascii="Arial" w:hAnsi="Arial" w:cs="Arial"/>
          <w:sz w:val="20"/>
          <w:szCs w:val="20"/>
        </w:rPr>
        <w:t xml:space="preserve"> (in press) ‘“It’s like fifty-fifty”</w:t>
      </w:r>
      <w:r w:rsidRPr="00D815A7">
        <w:rPr>
          <w:rFonts w:ascii="Arial" w:hAnsi="Arial" w:cs="Arial"/>
          <w:sz w:val="20"/>
          <w:szCs w:val="20"/>
        </w:rPr>
        <w:t>: Using the student voice towards enhancing undergraduates’ engagement with online feedback provision</w:t>
      </w:r>
      <w:r w:rsidR="00D815A7" w:rsidRPr="00D815A7">
        <w:rPr>
          <w:rFonts w:ascii="Arial" w:hAnsi="Arial" w:cs="Arial"/>
          <w:sz w:val="20"/>
          <w:szCs w:val="20"/>
        </w:rPr>
        <w:t>’</w:t>
      </w:r>
      <w:r w:rsidRPr="00D815A7">
        <w:rPr>
          <w:rFonts w:ascii="Arial" w:hAnsi="Arial" w:cs="Arial"/>
          <w:sz w:val="20"/>
          <w:szCs w:val="20"/>
        </w:rPr>
        <w:t xml:space="preserve">. </w:t>
      </w:r>
      <w:proofErr w:type="gramStart"/>
      <w:r w:rsidRPr="00D815A7">
        <w:rPr>
          <w:rFonts w:ascii="Arial" w:hAnsi="Arial" w:cs="Arial"/>
          <w:i/>
          <w:sz w:val="20"/>
          <w:szCs w:val="20"/>
        </w:rPr>
        <w:t>The Internet and Higher Education</w:t>
      </w:r>
      <w:r w:rsidRPr="00D815A7">
        <w:rPr>
          <w:rFonts w:ascii="Arial" w:hAnsi="Arial" w:cs="Arial"/>
          <w:sz w:val="20"/>
          <w:szCs w:val="20"/>
        </w:rPr>
        <w:t>.</w:t>
      </w:r>
      <w:proofErr w:type="gramEnd"/>
    </w:p>
    <w:p w:rsidR="00B71C57" w:rsidRPr="00D815A7" w:rsidRDefault="000407CE" w:rsidP="00234E39">
      <w:pPr>
        <w:pStyle w:val="NoSpacing"/>
        <w:spacing w:line="480" w:lineRule="auto"/>
        <w:ind w:left="567" w:hanging="567"/>
        <w:jc w:val="both"/>
        <w:rPr>
          <w:rFonts w:ascii="Arial" w:hAnsi="Arial" w:cs="Arial"/>
          <w:sz w:val="20"/>
          <w:szCs w:val="20"/>
        </w:rPr>
      </w:pPr>
      <w:proofErr w:type="gramStart"/>
      <w:r w:rsidRPr="00D815A7">
        <w:rPr>
          <w:rFonts w:ascii="Arial" w:hAnsi="Arial" w:cs="Arial"/>
          <w:sz w:val="20"/>
          <w:szCs w:val="20"/>
        </w:rPr>
        <w:t>Hattie</w:t>
      </w:r>
      <w:r w:rsidR="00D815A7" w:rsidRPr="00D815A7">
        <w:rPr>
          <w:rFonts w:ascii="Arial" w:hAnsi="Arial" w:cs="Arial"/>
          <w:sz w:val="20"/>
          <w:szCs w:val="20"/>
        </w:rPr>
        <w:t>,</w:t>
      </w:r>
      <w:r w:rsidRPr="00D815A7">
        <w:rPr>
          <w:rFonts w:ascii="Arial" w:hAnsi="Arial" w:cs="Arial"/>
          <w:sz w:val="20"/>
          <w:szCs w:val="20"/>
        </w:rPr>
        <w:t xml:space="preserve"> J</w:t>
      </w:r>
      <w:r w:rsidR="00D815A7" w:rsidRPr="00D815A7">
        <w:rPr>
          <w:rFonts w:ascii="Arial" w:hAnsi="Arial" w:cs="Arial"/>
          <w:sz w:val="20"/>
          <w:szCs w:val="20"/>
        </w:rPr>
        <w:t>.</w:t>
      </w:r>
      <w:r w:rsidRPr="00D815A7">
        <w:rPr>
          <w:rFonts w:ascii="Arial" w:hAnsi="Arial" w:cs="Arial"/>
          <w:sz w:val="20"/>
          <w:szCs w:val="20"/>
        </w:rPr>
        <w:t xml:space="preserve"> and </w:t>
      </w:r>
      <w:proofErr w:type="spellStart"/>
      <w:r w:rsidRPr="00D815A7">
        <w:rPr>
          <w:rFonts w:ascii="Arial" w:hAnsi="Arial" w:cs="Arial"/>
          <w:sz w:val="20"/>
          <w:szCs w:val="20"/>
        </w:rPr>
        <w:t>Timperley</w:t>
      </w:r>
      <w:proofErr w:type="spellEnd"/>
      <w:r w:rsidR="00D815A7" w:rsidRPr="00D815A7">
        <w:rPr>
          <w:rFonts w:ascii="Arial" w:hAnsi="Arial" w:cs="Arial"/>
          <w:sz w:val="20"/>
          <w:szCs w:val="20"/>
        </w:rPr>
        <w:t>, H.</w:t>
      </w:r>
      <w:r w:rsidRPr="00D815A7">
        <w:rPr>
          <w:rFonts w:ascii="Arial" w:hAnsi="Arial" w:cs="Arial"/>
          <w:sz w:val="20"/>
          <w:szCs w:val="20"/>
        </w:rPr>
        <w:t xml:space="preserve"> (2007) </w:t>
      </w:r>
      <w:r w:rsidR="00D815A7" w:rsidRPr="00D815A7">
        <w:rPr>
          <w:rFonts w:ascii="Arial" w:hAnsi="Arial" w:cs="Arial"/>
          <w:sz w:val="20"/>
          <w:szCs w:val="20"/>
        </w:rPr>
        <w:t>‘</w:t>
      </w:r>
      <w:r w:rsidRPr="00D815A7">
        <w:rPr>
          <w:rFonts w:ascii="Arial" w:hAnsi="Arial" w:cs="Arial"/>
          <w:sz w:val="20"/>
          <w:szCs w:val="20"/>
        </w:rPr>
        <w:t>The power of feedback</w:t>
      </w:r>
      <w:r w:rsidR="00D815A7" w:rsidRPr="00D815A7">
        <w:rPr>
          <w:rFonts w:ascii="Arial" w:hAnsi="Arial" w:cs="Arial"/>
          <w:sz w:val="20"/>
          <w:szCs w:val="20"/>
        </w:rPr>
        <w:t>’</w:t>
      </w:r>
      <w:r w:rsidRPr="00D815A7">
        <w:rPr>
          <w:rFonts w:ascii="Arial" w:hAnsi="Arial" w:cs="Arial"/>
          <w:sz w:val="20"/>
          <w:szCs w:val="20"/>
        </w:rPr>
        <w:t>.</w:t>
      </w:r>
      <w:proofErr w:type="gramEnd"/>
      <w:r w:rsidRPr="00D815A7">
        <w:rPr>
          <w:rFonts w:ascii="Arial" w:hAnsi="Arial" w:cs="Arial"/>
          <w:sz w:val="20"/>
          <w:szCs w:val="20"/>
        </w:rPr>
        <w:t xml:space="preserve"> </w:t>
      </w:r>
      <w:r w:rsidRPr="00D815A7">
        <w:rPr>
          <w:rFonts w:ascii="Arial" w:hAnsi="Arial" w:cs="Arial"/>
          <w:i/>
          <w:sz w:val="20"/>
          <w:szCs w:val="20"/>
        </w:rPr>
        <w:t>Review of Educational Research</w:t>
      </w:r>
      <w:r w:rsidR="00D815A7" w:rsidRPr="00D815A7">
        <w:rPr>
          <w:rFonts w:ascii="Arial" w:hAnsi="Arial" w:cs="Arial"/>
          <w:sz w:val="20"/>
          <w:szCs w:val="20"/>
        </w:rPr>
        <w:t>, 77(1), pp.</w:t>
      </w:r>
      <w:r w:rsidRPr="00D815A7">
        <w:rPr>
          <w:rFonts w:ascii="Arial" w:hAnsi="Arial" w:cs="Arial"/>
          <w:sz w:val="20"/>
          <w:szCs w:val="20"/>
        </w:rPr>
        <w:t xml:space="preserve"> 81-112.</w:t>
      </w:r>
    </w:p>
    <w:p w:rsidR="00DF25EF" w:rsidRPr="00D815A7" w:rsidRDefault="00DF25EF" w:rsidP="00234E39">
      <w:pPr>
        <w:pStyle w:val="NoSpacing"/>
        <w:spacing w:line="480" w:lineRule="auto"/>
        <w:ind w:left="567" w:hanging="567"/>
        <w:jc w:val="both"/>
        <w:rPr>
          <w:rFonts w:ascii="Arial" w:hAnsi="Arial" w:cs="Arial"/>
          <w:sz w:val="20"/>
          <w:szCs w:val="20"/>
        </w:rPr>
      </w:pPr>
      <w:r w:rsidRPr="00D815A7">
        <w:rPr>
          <w:rFonts w:ascii="Arial" w:hAnsi="Arial" w:cs="Arial"/>
          <w:sz w:val="20"/>
          <w:szCs w:val="20"/>
        </w:rPr>
        <w:t>Heinrich</w:t>
      </w:r>
      <w:r w:rsidR="00D815A7" w:rsidRPr="00D815A7">
        <w:rPr>
          <w:rFonts w:ascii="Arial" w:hAnsi="Arial" w:cs="Arial"/>
          <w:sz w:val="20"/>
          <w:szCs w:val="20"/>
        </w:rPr>
        <w:t>,</w:t>
      </w:r>
      <w:r w:rsidRPr="00D815A7">
        <w:rPr>
          <w:rFonts w:ascii="Arial" w:hAnsi="Arial" w:cs="Arial"/>
          <w:sz w:val="20"/>
          <w:szCs w:val="20"/>
        </w:rPr>
        <w:t xml:space="preserve"> E</w:t>
      </w:r>
      <w:r w:rsidR="00D815A7" w:rsidRPr="00D815A7">
        <w:rPr>
          <w:rFonts w:ascii="Arial" w:hAnsi="Arial" w:cs="Arial"/>
          <w:sz w:val="20"/>
          <w:szCs w:val="20"/>
        </w:rPr>
        <w:t>.</w:t>
      </w:r>
      <w:r w:rsidRPr="00D815A7">
        <w:rPr>
          <w:rFonts w:ascii="Arial" w:hAnsi="Arial" w:cs="Arial"/>
          <w:sz w:val="20"/>
          <w:szCs w:val="20"/>
        </w:rPr>
        <w:t>, Milne</w:t>
      </w:r>
      <w:r w:rsidR="00D815A7" w:rsidRPr="00D815A7">
        <w:rPr>
          <w:rFonts w:ascii="Arial" w:hAnsi="Arial" w:cs="Arial"/>
          <w:sz w:val="20"/>
          <w:szCs w:val="20"/>
        </w:rPr>
        <w:t>,</w:t>
      </w:r>
      <w:r w:rsidRPr="00D815A7">
        <w:rPr>
          <w:rFonts w:ascii="Arial" w:hAnsi="Arial" w:cs="Arial"/>
          <w:sz w:val="20"/>
          <w:szCs w:val="20"/>
        </w:rPr>
        <w:t xml:space="preserve"> J</w:t>
      </w:r>
      <w:r w:rsidR="00D815A7" w:rsidRPr="00D815A7">
        <w:rPr>
          <w:rFonts w:ascii="Arial" w:hAnsi="Arial" w:cs="Arial"/>
          <w:sz w:val="20"/>
          <w:szCs w:val="20"/>
        </w:rPr>
        <w:t>.</w:t>
      </w:r>
      <w:r w:rsidRPr="00D815A7">
        <w:rPr>
          <w:rFonts w:ascii="Arial" w:hAnsi="Arial" w:cs="Arial"/>
          <w:sz w:val="20"/>
          <w:szCs w:val="20"/>
        </w:rPr>
        <w:t xml:space="preserve"> and </w:t>
      </w:r>
      <w:proofErr w:type="spellStart"/>
      <w:r w:rsidRPr="00D815A7">
        <w:rPr>
          <w:rFonts w:ascii="Arial" w:hAnsi="Arial" w:cs="Arial"/>
          <w:sz w:val="20"/>
          <w:szCs w:val="20"/>
        </w:rPr>
        <w:t>Granshaw</w:t>
      </w:r>
      <w:proofErr w:type="spellEnd"/>
      <w:r w:rsidR="00D815A7" w:rsidRPr="00D815A7">
        <w:rPr>
          <w:rFonts w:ascii="Arial" w:hAnsi="Arial" w:cs="Arial"/>
          <w:sz w:val="20"/>
          <w:szCs w:val="20"/>
        </w:rPr>
        <w:t>,</w:t>
      </w:r>
      <w:r w:rsidRPr="00D815A7">
        <w:rPr>
          <w:rFonts w:ascii="Arial" w:hAnsi="Arial" w:cs="Arial"/>
          <w:sz w:val="20"/>
          <w:szCs w:val="20"/>
        </w:rPr>
        <w:t xml:space="preserve"> B</w:t>
      </w:r>
      <w:r w:rsidR="00D815A7" w:rsidRPr="00D815A7">
        <w:rPr>
          <w:rFonts w:ascii="Arial" w:hAnsi="Arial" w:cs="Arial"/>
          <w:sz w:val="20"/>
          <w:szCs w:val="20"/>
        </w:rPr>
        <w:t>.</w:t>
      </w:r>
      <w:r w:rsidRPr="00D815A7">
        <w:rPr>
          <w:rFonts w:ascii="Arial" w:hAnsi="Arial" w:cs="Arial"/>
          <w:sz w:val="20"/>
          <w:szCs w:val="20"/>
        </w:rPr>
        <w:t xml:space="preserve"> (2012) </w:t>
      </w:r>
      <w:r w:rsidR="00D815A7" w:rsidRPr="00D815A7">
        <w:rPr>
          <w:rFonts w:ascii="Arial" w:hAnsi="Arial" w:cs="Arial"/>
          <w:sz w:val="20"/>
          <w:szCs w:val="20"/>
        </w:rPr>
        <w:t>‘</w:t>
      </w:r>
      <w:r w:rsidRPr="00D815A7">
        <w:rPr>
          <w:rFonts w:ascii="Arial" w:hAnsi="Arial" w:cs="Arial"/>
          <w:sz w:val="20"/>
          <w:szCs w:val="20"/>
        </w:rPr>
        <w:t>Pathways for improving support for the electronic management and marking of assignments</w:t>
      </w:r>
      <w:r w:rsidR="00D815A7" w:rsidRPr="00D815A7">
        <w:rPr>
          <w:rFonts w:ascii="Arial" w:hAnsi="Arial" w:cs="Arial"/>
          <w:sz w:val="20"/>
          <w:szCs w:val="20"/>
        </w:rPr>
        <w:t>’</w:t>
      </w:r>
      <w:r w:rsidRPr="00D815A7">
        <w:rPr>
          <w:rFonts w:ascii="Arial" w:hAnsi="Arial" w:cs="Arial"/>
          <w:sz w:val="20"/>
          <w:szCs w:val="20"/>
        </w:rPr>
        <w:t xml:space="preserve">. </w:t>
      </w:r>
      <w:r w:rsidRPr="00D815A7">
        <w:rPr>
          <w:rFonts w:ascii="Arial" w:hAnsi="Arial" w:cs="Arial"/>
          <w:i/>
          <w:sz w:val="20"/>
          <w:szCs w:val="20"/>
        </w:rPr>
        <w:t>Australasian Journal of Educational Technology</w:t>
      </w:r>
      <w:r w:rsidR="00D815A7" w:rsidRPr="00D815A7">
        <w:rPr>
          <w:rFonts w:ascii="Arial" w:hAnsi="Arial" w:cs="Arial"/>
          <w:sz w:val="20"/>
          <w:szCs w:val="20"/>
        </w:rPr>
        <w:t>, 28(2), pp.</w:t>
      </w:r>
      <w:r w:rsidRPr="00D815A7">
        <w:rPr>
          <w:rFonts w:ascii="Arial" w:hAnsi="Arial" w:cs="Arial"/>
          <w:sz w:val="20"/>
          <w:szCs w:val="20"/>
        </w:rPr>
        <w:t xml:space="preserve"> 279-294.</w:t>
      </w:r>
    </w:p>
    <w:p w:rsidR="00DF25EF" w:rsidRPr="00C475E8" w:rsidRDefault="00DF25EF" w:rsidP="00234E39">
      <w:pPr>
        <w:pStyle w:val="NoSpacing"/>
        <w:spacing w:line="480" w:lineRule="auto"/>
        <w:ind w:left="567" w:hanging="567"/>
        <w:jc w:val="both"/>
        <w:rPr>
          <w:rFonts w:ascii="Arial" w:hAnsi="Arial" w:cs="Arial"/>
          <w:sz w:val="20"/>
          <w:szCs w:val="20"/>
        </w:rPr>
      </w:pPr>
      <w:proofErr w:type="spellStart"/>
      <w:r w:rsidRPr="00C475E8">
        <w:rPr>
          <w:rFonts w:ascii="Arial" w:hAnsi="Arial" w:cs="Arial"/>
          <w:sz w:val="20"/>
          <w:szCs w:val="20"/>
        </w:rPr>
        <w:t>Hepplestone</w:t>
      </w:r>
      <w:proofErr w:type="spellEnd"/>
      <w:r w:rsidR="00C475E8" w:rsidRPr="00C475E8">
        <w:rPr>
          <w:rFonts w:ascii="Arial" w:hAnsi="Arial" w:cs="Arial"/>
          <w:sz w:val="20"/>
          <w:szCs w:val="20"/>
        </w:rPr>
        <w:t>,</w:t>
      </w:r>
      <w:r w:rsidRPr="00C475E8">
        <w:rPr>
          <w:rFonts w:ascii="Arial" w:hAnsi="Arial" w:cs="Arial"/>
          <w:sz w:val="20"/>
          <w:szCs w:val="20"/>
        </w:rPr>
        <w:t xml:space="preserve"> S</w:t>
      </w:r>
      <w:r w:rsidR="00C475E8" w:rsidRPr="00C475E8">
        <w:rPr>
          <w:rFonts w:ascii="Arial" w:hAnsi="Arial" w:cs="Arial"/>
          <w:sz w:val="20"/>
          <w:szCs w:val="20"/>
        </w:rPr>
        <w:t>.</w:t>
      </w:r>
      <w:r w:rsidRPr="00C475E8">
        <w:rPr>
          <w:rFonts w:ascii="Arial" w:hAnsi="Arial" w:cs="Arial"/>
          <w:sz w:val="20"/>
          <w:szCs w:val="20"/>
        </w:rPr>
        <w:t>, Holden</w:t>
      </w:r>
      <w:r w:rsidR="00C475E8" w:rsidRPr="00C475E8">
        <w:rPr>
          <w:rFonts w:ascii="Arial" w:hAnsi="Arial" w:cs="Arial"/>
          <w:sz w:val="20"/>
          <w:szCs w:val="20"/>
        </w:rPr>
        <w:t>,</w:t>
      </w:r>
      <w:r w:rsidRPr="00C475E8">
        <w:rPr>
          <w:rFonts w:ascii="Arial" w:hAnsi="Arial" w:cs="Arial"/>
          <w:sz w:val="20"/>
          <w:szCs w:val="20"/>
        </w:rPr>
        <w:t xml:space="preserve"> G</w:t>
      </w:r>
      <w:r w:rsidR="00C475E8" w:rsidRPr="00C475E8">
        <w:rPr>
          <w:rFonts w:ascii="Arial" w:hAnsi="Arial" w:cs="Arial"/>
          <w:sz w:val="20"/>
          <w:szCs w:val="20"/>
        </w:rPr>
        <w:t>.</w:t>
      </w:r>
      <w:r w:rsidRPr="00C475E8">
        <w:rPr>
          <w:rFonts w:ascii="Arial" w:hAnsi="Arial" w:cs="Arial"/>
          <w:sz w:val="20"/>
          <w:szCs w:val="20"/>
        </w:rPr>
        <w:t>, Irwin</w:t>
      </w:r>
      <w:r w:rsidR="00C475E8" w:rsidRPr="00C475E8">
        <w:rPr>
          <w:rFonts w:ascii="Arial" w:hAnsi="Arial" w:cs="Arial"/>
          <w:sz w:val="20"/>
          <w:szCs w:val="20"/>
        </w:rPr>
        <w:t>,</w:t>
      </w:r>
      <w:r w:rsidRPr="00C475E8">
        <w:rPr>
          <w:rFonts w:ascii="Arial" w:hAnsi="Arial" w:cs="Arial"/>
          <w:sz w:val="20"/>
          <w:szCs w:val="20"/>
        </w:rPr>
        <w:t xml:space="preserve"> B</w:t>
      </w:r>
      <w:r w:rsidR="00C475E8" w:rsidRPr="00C475E8">
        <w:rPr>
          <w:rFonts w:ascii="Arial" w:hAnsi="Arial" w:cs="Arial"/>
          <w:sz w:val="20"/>
          <w:szCs w:val="20"/>
        </w:rPr>
        <w:t>.</w:t>
      </w:r>
      <w:r w:rsidRPr="00C475E8">
        <w:rPr>
          <w:rFonts w:ascii="Arial" w:hAnsi="Arial" w:cs="Arial"/>
          <w:sz w:val="20"/>
          <w:szCs w:val="20"/>
        </w:rPr>
        <w:t>, Parkin</w:t>
      </w:r>
      <w:r w:rsidR="00C475E8" w:rsidRPr="00C475E8">
        <w:rPr>
          <w:rFonts w:ascii="Arial" w:hAnsi="Arial" w:cs="Arial"/>
          <w:sz w:val="20"/>
          <w:szCs w:val="20"/>
        </w:rPr>
        <w:t>,</w:t>
      </w:r>
      <w:r w:rsidRPr="00C475E8">
        <w:rPr>
          <w:rFonts w:ascii="Arial" w:hAnsi="Arial" w:cs="Arial"/>
          <w:sz w:val="20"/>
          <w:szCs w:val="20"/>
        </w:rPr>
        <w:t xml:space="preserve"> H</w:t>
      </w:r>
      <w:r w:rsidR="00C475E8" w:rsidRPr="00C475E8">
        <w:rPr>
          <w:rFonts w:ascii="Arial" w:hAnsi="Arial" w:cs="Arial"/>
          <w:sz w:val="20"/>
          <w:szCs w:val="20"/>
        </w:rPr>
        <w:t xml:space="preserve">. </w:t>
      </w:r>
      <w:r w:rsidRPr="00C475E8">
        <w:rPr>
          <w:rFonts w:ascii="Arial" w:hAnsi="Arial" w:cs="Arial"/>
          <w:sz w:val="20"/>
          <w:szCs w:val="20"/>
        </w:rPr>
        <w:t>J</w:t>
      </w:r>
      <w:r w:rsidR="00C475E8" w:rsidRPr="00C475E8">
        <w:rPr>
          <w:rFonts w:ascii="Arial" w:hAnsi="Arial" w:cs="Arial"/>
          <w:sz w:val="20"/>
          <w:szCs w:val="20"/>
        </w:rPr>
        <w:t>.</w:t>
      </w:r>
      <w:r w:rsidRPr="00C475E8">
        <w:rPr>
          <w:rFonts w:ascii="Arial" w:hAnsi="Arial" w:cs="Arial"/>
          <w:sz w:val="20"/>
          <w:szCs w:val="20"/>
        </w:rPr>
        <w:t xml:space="preserve"> and Thorpe</w:t>
      </w:r>
      <w:r w:rsidR="00C475E8" w:rsidRPr="00C475E8">
        <w:rPr>
          <w:rFonts w:ascii="Arial" w:hAnsi="Arial" w:cs="Arial"/>
          <w:sz w:val="20"/>
          <w:szCs w:val="20"/>
        </w:rPr>
        <w:t>,</w:t>
      </w:r>
      <w:r w:rsidRPr="00C475E8">
        <w:rPr>
          <w:rFonts w:ascii="Arial" w:hAnsi="Arial" w:cs="Arial"/>
          <w:sz w:val="20"/>
          <w:szCs w:val="20"/>
        </w:rPr>
        <w:t xml:space="preserve"> L</w:t>
      </w:r>
      <w:r w:rsidR="00C475E8" w:rsidRPr="00C475E8">
        <w:rPr>
          <w:rFonts w:ascii="Arial" w:hAnsi="Arial" w:cs="Arial"/>
          <w:sz w:val="20"/>
          <w:szCs w:val="20"/>
        </w:rPr>
        <w:t>.</w:t>
      </w:r>
      <w:r w:rsidRPr="00C475E8">
        <w:rPr>
          <w:rFonts w:ascii="Arial" w:hAnsi="Arial" w:cs="Arial"/>
          <w:sz w:val="20"/>
          <w:szCs w:val="20"/>
        </w:rPr>
        <w:t xml:space="preserve"> (2011) </w:t>
      </w:r>
      <w:r w:rsidR="00C475E8" w:rsidRPr="00C475E8">
        <w:rPr>
          <w:rFonts w:ascii="Arial" w:hAnsi="Arial" w:cs="Arial"/>
          <w:sz w:val="20"/>
          <w:szCs w:val="20"/>
        </w:rPr>
        <w:t>‘</w:t>
      </w:r>
      <w:proofErr w:type="gramStart"/>
      <w:r w:rsidRPr="00C475E8">
        <w:rPr>
          <w:rFonts w:ascii="Arial" w:hAnsi="Arial" w:cs="Arial"/>
          <w:sz w:val="20"/>
          <w:szCs w:val="20"/>
        </w:rPr>
        <w:t>Using</w:t>
      </w:r>
      <w:proofErr w:type="gramEnd"/>
      <w:r w:rsidRPr="00C475E8">
        <w:rPr>
          <w:rFonts w:ascii="Arial" w:hAnsi="Arial" w:cs="Arial"/>
          <w:sz w:val="20"/>
          <w:szCs w:val="20"/>
        </w:rPr>
        <w:t xml:space="preserve"> technology to encourage student engagement with feedback: A literature review</w:t>
      </w:r>
      <w:r w:rsidR="00C475E8" w:rsidRPr="00C475E8">
        <w:rPr>
          <w:rFonts w:ascii="Arial" w:hAnsi="Arial" w:cs="Arial"/>
          <w:sz w:val="20"/>
          <w:szCs w:val="20"/>
        </w:rPr>
        <w:t>’</w:t>
      </w:r>
      <w:r w:rsidRPr="00C475E8">
        <w:rPr>
          <w:rFonts w:ascii="Arial" w:hAnsi="Arial" w:cs="Arial"/>
          <w:sz w:val="20"/>
          <w:szCs w:val="20"/>
        </w:rPr>
        <w:t xml:space="preserve">. </w:t>
      </w:r>
      <w:r w:rsidRPr="00C475E8">
        <w:rPr>
          <w:rFonts w:ascii="Arial" w:hAnsi="Arial" w:cs="Arial"/>
          <w:i/>
          <w:sz w:val="20"/>
          <w:szCs w:val="20"/>
        </w:rPr>
        <w:t>Research in Learning Technology</w:t>
      </w:r>
      <w:r w:rsidR="00C475E8" w:rsidRPr="00C475E8">
        <w:rPr>
          <w:rFonts w:ascii="Arial" w:hAnsi="Arial" w:cs="Arial"/>
          <w:sz w:val="20"/>
          <w:szCs w:val="20"/>
        </w:rPr>
        <w:t>, 19(2), pp.</w:t>
      </w:r>
      <w:r w:rsidRPr="00C475E8">
        <w:rPr>
          <w:rFonts w:ascii="Arial" w:hAnsi="Arial" w:cs="Arial"/>
          <w:sz w:val="20"/>
          <w:szCs w:val="20"/>
        </w:rPr>
        <w:t xml:space="preserve"> 117-127.</w:t>
      </w:r>
    </w:p>
    <w:p w:rsidR="00B71C57" w:rsidRPr="00C475E8" w:rsidRDefault="00B71C57" w:rsidP="00234E39">
      <w:pPr>
        <w:pStyle w:val="NoSpacing"/>
        <w:spacing w:line="480" w:lineRule="auto"/>
        <w:ind w:left="567" w:hanging="567"/>
        <w:jc w:val="both"/>
        <w:rPr>
          <w:rFonts w:ascii="Arial" w:hAnsi="Arial" w:cs="Arial"/>
          <w:sz w:val="20"/>
          <w:szCs w:val="20"/>
        </w:rPr>
      </w:pPr>
      <w:proofErr w:type="spellStart"/>
      <w:r w:rsidRPr="00C475E8">
        <w:rPr>
          <w:rFonts w:ascii="Arial" w:hAnsi="Arial" w:cs="Arial"/>
          <w:sz w:val="20"/>
          <w:szCs w:val="20"/>
        </w:rPr>
        <w:t>Kift</w:t>
      </w:r>
      <w:proofErr w:type="spellEnd"/>
      <w:r w:rsidR="00C475E8" w:rsidRPr="00C475E8">
        <w:rPr>
          <w:rFonts w:ascii="Arial" w:hAnsi="Arial" w:cs="Arial"/>
          <w:sz w:val="20"/>
          <w:szCs w:val="20"/>
        </w:rPr>
        <w:t>,</w:t>
      </w:r>
      <w:r w:rsidRPr="00C475E8">
        <w:rPr>
          <w:rFonts w:ascii="Arial" w:hAnsi="Arial" w:cs="Arial"/>
          <w:sz w:val="20"/>
          <w:szCs w:val="20"/>
        </w:rPr>
        <w:t xml:space="preserve"> S</w:t>
      </w:r>
      <w:r w:rsidR="00C475E8" w:rsidRPr="00C475E8">
        <w:rPr>
          <w:rFonts w:ascii="Arial" w:hAnsi="Arial" w:cs="Arial"/>
          <w:sz w:val="20"/>
          <w:szCs w:val="20"/>
        </w:rPr>
        <w:t xml:space="preserve">. </w:t>
      </w:r>
      <w:r w:rsidRPr="00C475E8">
        <w:rPr>
          <w:rFonts w:ascii="Arial" w:hAnsi="Arial" w:cs="Arial"/>
          <w:sz w:val="20"/>
          <w:szCs w:val="20"/>
        </w:rPr>
        <w:t>M</w:t>
      </w:r>
      <w:r w:rsidR="00C475E8" w:rsidRPr="00C475E8">
        <w:rPr>
          <w:rFonts w:ascii="Arial" w:hAnsi="Arial" w:cs="Arial"/>
          <w:sz w:val="20"/>
          <w:szCs w:val="20"/>
        </w:rPr>
        <w:t>.</w:t>
      </w:r>
      <w:r w:rsidRPr="00C475E8">
        <w:rPr>
          <w:rFonts w:ascii="Arial" w:hAnsi="Arial" w:cs="Arial"/>
          <w:sz w:val="20"/>
          <w:szCs w:val="20"/>
        </w:rPr>
        <w:t>, Nelson</w:t>
      </w:r>
      <w:r w:rsidR="00C475E8" w:rsidRPr="00C475E8">
        <w:rPr>
          <w:rFonts w:ascii="Arial" w:hAnsi="Arial" w:cs="Arial"/>
          <w:sz w:val="20"/>
          <w:szCs w:val="20"/>
        </w:rPr>
        <w:t>,</w:t>
      </w:r>
      <w:r w:rsidRPr="00C475E8">
        <w:rPr>
          <w:rFonts w:ascii="Arial" w:hAnsi="Arial" w:cs="Arial"/>
          <w:sz w:val="20"/>
          <w:szCs w:val="20"/>
        </w:rPr>
        <w:t xml:space="preserve"> K</w:t>
      </w:r>
      <w:r w:rsidR="00C475E8" w:rsidRPr="00C475E8">
        <w:rPr>
          <w:rFonts w:ascii="Arial" w:hAnsi="Arial" w:cs="Arial"/>
          <w:sz w:val="20"/>
          <w:szCs w:val="20"/>
        </w:rPr>
        <w:t xml:space="preserve">. </w:t>
      </w:r>
      <w:r w:rsidRPr="00C475E8">
        <w:rPr>
          <w:rFonts w:ascii="Arial" w:hAnsi="Arial" w:cs="Arial"/>
          <w:sz w:val="20"/>
          <w:szCs w:val="20"/>
        </w:rPr>
        <w:t>J</w:t>
      </w:r>
      <w:r w:rsidR="00C475E8" w:rsidRPr="00C475E8">
        <w:rPr>
          <w:rFonts w:ascii="Arial" w:hAnsi="Arial" w:cs="Arial"/>
          <w:sz w:val="20"/>
          <w:szCs w:val="20"/>
        </w:rPr>
        <w:t>.</w:t>
      </w:r>
      <w:r w:rsidRPr="00C475E8">
        <w:rPr>
          <w:rFonts w:ascii="Arial" w:hAnsi="Arial" w:cs="Arial"/>
          <w:sz w:val="20"/>
          <w:szCs w:val="20"/>
        </w:rPr>
        <w:t xml:space="preserve"> and Clarke</w:t>
      </w:r>
      <w:r w:rsidR="00C475E8" w:rsidRPr="00C475E8">
        <w:rPr>
          <w:rFonts w:ascii="Arial" w:hAnsi="Arial" w:cs="Arial"/>
          <w:sz w:val="20"/>
          <w:szCs w:val="20"/>
        </w:rPr>
        <w:t>,</w:t>
      </w:r>
      <w:r w:rsidRPr="00C475E8">
        <w:rPr>
          <w:rFonts w:ascii="Arial" w:hAnsi="Arial" w:cs="Arial"/>
          <w:sz w:val="20"/>
          <w:szCs w:val="20"/>
        </w:rPr>
        <w:t xml:space="preserve"> J</w:t>
      </w:r>
      <w:r w:rsidR="00C475E8" w:rsidRPr="00C475E8">
        <w:rPr>
          <w:rFonts w:ascii="Arial" w:hAnsi="Arial" w:cs="Arial"/>
          <w:sz w:val="20"/>
          <w:szCs w:val="20"/>
        </w:rPr>
        <w:t xml:space="preserve">. </w:t>
      </w:r>
      <w:r w:rsidRPr="00C475E8">
        <w:rPr>
          <w:rFonts w:ascii="Arial" w:hAnsi="Arial" w:cs="Arial"/>
          <w:sz w:val="20"/>
          <w:szCs w:val="20"/>
        </w:rPr>
        <w:t>A</w:t>
      </w:r>
      <w:r w:rsidR="00C475E8" w:rsidRPr="00C475E8">
        <w:rPr>
          <w:rFonts w:ascii="Arial" w:hAnsi="Arial" w:cs="Arial"/>
          <w:sz w:val="20"/>
          <w:szCs w:val="20"/>
        </w:rPr>
        <w:t>.</w:t>
      </w:r>
      <w:r w:rsidRPr="00C475E8">
        <w:rPr>
          <w:rFonts w:ascii="Arial" w:hAnsi="Arial" w:cs="Arial"/>
          <w:sz w:val="20"/>
          <w:szCs w:val="20"/>
        </w:rPr>
        <w:t xml:space="preserve"> (2010) </w:t>
      </w:r>
      <w:r w:rsidR="00C475E8" w:rsidRPr="00C475E8">
        <w:rPr>
          <w:rFonts w:ascii="Arial" w:hAnsi="Arial" w:cs="Arial"/>
          <w:sz w:val="20"/>
          <w:szCs w:val="20"/>
        </w:rPr>
        <w:t>‘</w:t>
      </w:r>
      <w:r w:rsidRPr="00C475E8">
        <w:rPr>
          <w:rFonts w:ascii="Arial" w:hAnsi="Arial" w:cs="Arial"/>
          <w:sz w:val="20"/>
          <w:szCs w:val="20"/>
        </w:rPr>
        <w:t>Transition pedagogy: A third generation approach to FYE – a case study of policy and practice for the higher education sector</w:t>
      </w:r>
      <w:r w:rsidR="00C475E8" w:rsidRPr="00C475E8">
        <w:rPr>
          <w:rFonts w:ascii="Arial" w:hAnsi="Arial" w:cs="Arial"/>
          <w:sz w:val="20"/>
          <w:szCs w:val="20"/>
        </w:rPr>
        <w:t>’</w:t>
      </w:r>
      <w:r w:rsidRPr="00C475E8">
        <w:rPr>
          <w:rFonts w:ascii="Arial" w:hAnsi="Arial" w:cs="Arial"/>
          <w:sz w:val="20"/>
          <w:szCs w:val="20"/>
        </w:rPr>
        <w:t xml:space="preserve">. </w:t>
      </w:r>
      <w:r w:rsidRPr="00C475E8">
        <w:rPr>
          <w:rFonts w:ascii="Arial" w:hAnsi="Arial" w:cs="Arial"/>
          <w:i/>
          <w:sz w:val="20"/>
          <w:szCs w:val="20"/>
        </w:rPr>
        <w:t>The International Journal of the First Year in Higher Education</w:t>
      </w:r>
      <w:r w:rsidR="00C475E8" w:rsidRPr="00C475E8">
        <w:rPr>
          <w:rFonts w:ascii="Arial" w:hAnsi="Arial" w:cs="Arial"/>
          <w:sz w:val="20"/>
          <w:szCs w:val="20"/>
        </w:rPr>
        <w:t>, 1(1), pp.</w:t>
      </w:r>
      <w:r w:rsidRPr="00C475E8">
        <w:rPr>
          <w:rFonts w:ascii="Arial" w:hAnsi="Arial" w:cs="Arial"/>
          <w:sz w:val="20"/>
          <w:szCs w:val="20"/>
        </w:rPr>
        <w:t xml:space="preserve"> 1-20.</w:t>
      </w:r>
    </w:p>
    <w:p w:rsidR="00EF0D33" w:rsidRPr="00C475E8" w:rsidRDefault="002A4FA2" w:rsidP="00234E39">
      <w:pPr>
        <w:pStyle w:val="NoSpacing"/>
        <w:spacing w:line="480" w:lineRule="auto"/>
        <w:ind w:left="567" w:hanging="567"/>
        <w:jc w:val="both"/>
        <w:rPr>
          <w:rFonts w:ascii="Arial" w:hAnsi="Arial" w:cs="Arial"/>
          <w:sz w:val="20"/>
          <w:szCs w:val="20"/>
        </w:rPr>
      </w:pPr>
      <w:r w:rsidRPr="00C475E8">
        <w:rPr>
          <w:rFonts w:ascii="Arial" w:hAnsi="Arial" w:cs="Arial"/>
          <w:sz w:val="20"/>
          <w:szCs w:val="20"/>
        </w:rPr>
        <w:t>Krueger</w:t>
      </w:r>
      <w:r w:rsidR="00C475E8" w:rsidRPr="00C475E8">
        <w:rPr>
          <w:rFonts w:ascii="Arial" w:hAnsi="Arial" w:cs="Arial"/>
          <w:sz w:val="20"/>
          <w:szCs w:val="20"/>
        </w:rPr>
        <w:t>,</w:t>
      </w:r>
      <w:r w:rsidRPr="00C475E8">
        <w:rPr>
          <w:rFonts w:ascii="Arial" w:hAnsi="Arial" w:cs="Arial"/>
          <w:sz w:val="20"/>
          <w:szCs w:val="20"/>
        </w:rPr>
        <w:t xml:space="preserve"> R</w:t>
      </w:r>
      <w:r w:rsidR="00C475E8" w:rsidRPr="00C475E8">
        <w:rPr>
          <w:rFonts w:ascii="Arial" w:hAnsi="Arial" w:cs="Arial"/>
          <w:sz w:val="20"/>
          <w:szCs w:val="20"/>
        </w:rPr>
        <w:t xml:space="preserve">. </w:t>
      </w:r>
      <w:r w:rsidRPr="00C475E8">
        <w:rPr>
          <w:rFonts w:ascii="Arial" w:hAnsi="Arial" w:cs="Arial"/>
          <w:sz w:val="20"/>
          <w:szCs w:val="20"/>
        </w:rPr>
        <w:t>A</w:t>
      </w:r>
      <w:r w:rsidR="00C475E8" w:rsidRPr="00C475E8">
        <w:rPr>
          <w:rFonts w:ascii="Arial" w:hAnsi="Arial" w:cs="Arial"/>
          <w:sz w:val="20"/>
          <w:szCs w:val="20"/>
        </w:rPr>
        <w:t>.</w:t>
      </w:r>
      <w:r w:rsidRPr="00C475E8">
        <w:rPr>
          <w:rFonts w:ascii="Arial" w:hAnsi="Arial" w:cs="Arial"/>
          <w:sz w:val="20"/>
          <w:szCs w:val="20"/>
        </w:rPr>
        <w:t xml:space="preserve"> and Casey</w:t>
      </w:r>
      <w:r w:rsidR="00C475E8" w:rsidRPr="00C475E8">
        <w:rPr>
          <w:rFonts w:ascii="Arial" w:hAnsi="Arial" w:cs="Arial"/>
          <w:sz w:val="20"/>
          <w:szCs w:val="20"/>
        </w:rPr>
        <w:t>,</w:t>
      </w:r>
      <w:r w:rsidRPr="00C475E8">
        <w:rPr>
          <w:rFonts w:ascii="Arial" w:hAnsi="Arial" w:cs="Arial"/>
          <w:sz w:val="20"/>
          <w:szCs w:val="20"/>
        </w:rPr>
        <w:t xml:space="preserve"> M</w:t>
      </w:r>
      <w:r w:rsidR="00C475E8" w:rsidRPr="00C475E8">
        <w:rPr>
          <w:rFonts w:ascii="Arial" w:hAnsi="Arial" w:cs="Arial"/>
          <w:sz w:val="20"/>
          <w:szCs w:val="20"/>
        </w:rPr>
        <w:t xml:space="preserve">. </w:t>
      </w:r>
      <w:r w:rsidRPr="00C475E8">
        <w:rPr>
          <w:rFonts w:ascii="Arial" w:hAnsi="Arial" w:cs="Arial"/>
          <w:sz w:val="20"/>
          <w:szCs w:val="20"/>
        </w:rPr>
        <w:t>A</w:t>
      </w:r>
      <w:r w:rsidR="00C475E8" w:rsidRPr="00C475E8">
        <w:rPr>
          <w:rFonts w:ascii="Arial" w:hAnsi="Arial" w:cs="Arial"/>
          <w:sz w:val="20"/>
          <w:szCs w:val="20"/>
        </w:rPr>
        <w:t>.</w:t>
      </w:r>
      <w:r w:rsidR="006734E8" w:rsidRPr="00C475E8">
        <w:rPr>
          <w:rFonts w:ascii="Arial" w:hAnsi="Arial" w:cs="Arial"/>
          <w:sz w:val="20"/>
          <w:szCs w:val="20"/>
        </w:rPr>
        <w:t xml:space="preserve"> (2014)</w:t>
      </w:r>
      <w:r w:rsidR="00C11590" w:rsidRPr="00C475E8">
        <w:rPr>
          <w:rFonts w:ascii="Arial" w:hAnsi="Arial" w:cs="Arial"/>
          <w:sz w:val="20"/>
          <w:szCs w:val="20"/>
        </w:rPr>
        <w:t xml:space="preserve"> </w:t>
      </w:r>
      <w:r w:rsidR="00B8592A" w:rsidRPr="00C475E8">
        <w:rPr>
          <w:rFonts w:ascii="Arial" w:hAnsi="Arial" w:cs="Arial"/>
          <w:i/>
          <w:sz w:val="20"/>
          <w:szCs w:val="20"/>
        </w:rPr>
        <w:t>Focus Groups: A Practical Guide for Applied R</w:t>
      </w:r>
      <w:r w:rsidR="00C11590" w:rsidRPr="00C475E8">
        <w:rPr>
          <w:rFonts w:ascii="Arial" w:hAnsi="Arial" w:cs="Arial"/>
          <w:i/>
          <w:sz w:val="20"/>
          <w:szCs w:val="20"/>
        </w:rPr>
        <w:t>esearch</w:t>
      </w:r>
      <w:r w:rsidR="00C11590" w:rsidRPr="00C475E8">
        <w:rPr>
          <w:rFonts w:ascii="Arial" w:hAnsi="Arial" w:cs="Arial"/>
          <w:sz w:val="20"/>
          <w:szCs w:val="20"/>
        </w:rPr>
        <w:t>. London: SAGE.</w:t>
      </w:r>
    </w:p>
    <w:p w:rsidR="00DF25EF" w:rsidRPr="007A4BF2" w:rsidRDefault="00DF25EF" w:rsidP="00234E39">
      <w:pPr>
        <w:pStyle w:val="NoSpacing"/>
        <w:spacing w:line="480" w:lineRule="auto"/>
        <w:ind w:left="567" w:hanging="567"/>
        <w:jc w:val="both"/>
        <w:rPr>
          <w:rFonts w:ascii="Arial" w:hAnsi="Arial" w:cs="Arial"/>
          <w:sz w:val="20"/>
          <w:szCs w:val="20"/>
        </w:rPr>
      </w:pPr>
      <w:proofErr w:type="gramStart"/>
      <w:r w:rsidRPr="007A4BF2">
        <w:rPr>
          <w:rFonts w:ascii="Arial" w:hAnsi="Arial" w:cs="Arial"/>
          <w:sz w:val="20"/>
          <w:szCs w:val="20"/>
        </w:rPr>
        <w:t>Lai</w:t>
      </w:r>
      <w:r w:rsidR="007A4BF2" w:rsidRPr="007A4BF2">
        <w:rPr>
          <w:rFonts w:ascii="Arial" w:hAnsi="Arial" w:cs="Arial"/>
          <w:sz w:val="20"/>
          <w:szCs w:val="20"/>
        </w:rPr>
        <w:t>,</w:t>
      </w:r>
      <w:r w:rsidRPr="007A4BF2">
        <w:rPr>
          <w:rFonts w:ascii="Arial" w:hAnsi="Arial" w:cs="Arial"/>
          <w:sz w:val="20"/>
          <w:szCs w:val="20"/>
        </w:rPr>
        <w:t xml:space="preserve"> K</w:t>
      </w:r>
      <w:r w:rsidR="007A4BF2" w:rsidRPr="007A4BF2">
        <w:rPr>
          <w:rFonts w:ascii="Arial" w:hAnsi="Arial" w:cs="Arial"/>
          <w:sz w:val="20"/>
          <w:szCs w:val="20"/>
        </w:rPr>
        <w:t xml:space="preserve">. </w:t>
      </w:r>
      <w:r w:rsidRPr="007A4BF2">
        <w:rPr>
          <w:rFonts w:ascii="Arial" w:hAnsi="Arial" w:cs="Arial"/>
          <w:sz w:val="20"/>
          <w:szCs w:val="20"/>
        </w:rPr>
        <w:t>W</w:t>
      </w:r>
      <w:r w:rsidR="007A4BF2" w:rsidRPr="007A4BF2">
        <w:rPr>
          <w:rFonts w:ascii="Arial" w:hAnsi="Arial" w:cs="Arial"/>
          <w:sz w:val="20"/>
          <w:szCs w:val="20"/>
        </w:rPr>
        <w:t>.</w:t>
      </w:r>
      <w:r w:rsidRPr="007A4BF2">
        <w:rPr>
          <w:rFonts w:ascii="Arial" w:hAnsi="Arial" w:cs="Arial"/>
          <w:sz w:val="20"/>
          <w:szCs w:val="20"/>
        </w:rPr>
        <w:t xml:space="preserve"> (2011) </w:t>
      </w:r>
      <w:r w:rsidR="007A4BF2" w:rsidRPr="007A4BF2">
        <w:rPr>
          <w:rFonts w:ascii="Arial" w:hAnsi="Arial" w:cs="Arial"/>
          <w:sz w:val="20"/>
          <w:szCs w:val="20"/>
        </w:rPr>
        <w:t>‘</w:t>
      </w:r>
      <w:r w:rsidRPr="007A4BF2">
        <w:rPr>
          <w:rFonts w:ascii="Arial" w:hAnsi="Arial" w:cs="Arial"/>
          <w:sz w:val="20"/>
          <w:szCs w:val="20"/>
        </w:rPr>
        <w:t>Digital technology and the culture of teaching and learning in higher education</w:t>
      </w:r>
      <w:r w:rsidR="007A4BF2" w:rsidRPr="007A4BF2">
        <w:rPr>
          <w:rFonts w:ascii="Arial" w:hAnsi="Arial" w:cs="Arial"/>
          <w:sz w:val="20"/>
          <w:szCs w:val="20"/>
        </w:rPr>
        <w:t>’</w:t>
      </w:r>
      <w:r w:rsidRPr="007A4BF2">
        <w:rPr>
          <w:rFonts w:ascii="Arial" w:hAnsi="Arial" w:cs="Arial"/>
          <w:sz w:val="20"/>
          <w:szCs w:val="20"/>
        </w:rPr>
        <w:t>.</w:t>
      </w:r>
      <w:proofErr w:type="gramEnd"/>
      <w:r w:rsidRPr="007A4BF2">
        <w:rPr>
          <w:rFonts w:ascii="Arial" w:hAnsi="Arial" w:cs="Arial"/>
          <w:sz w:val="20"/>
          <w:szCs w:val="20"/>
        </w:rPr>
        <w:t xml:space="preserve"> </w:t>
      </w:r>
      <w:r w:rsidRPr="007A4BF2">
        <w:rPr>
          <w:rFonts w:ascii="Arial" w:hAnsi="Arial" w:cs="Arial"/>
          <w:i/>
          <w:sz w:val="20"/>
          <w:szCs w:val="20"/>
        </w:rPr>
        <w:t>Australasian Journal of Educational Technology</w:t>
      </w:r>
      <w:r w:rsidR="007A4BF2" w:rsidRPr="007A4BF2">
        <w:rPr>
          <w:rFonts w:ascii="Arial" w:hAnsi="Arial" w:cs="Arial"/>
          <w:sz w:val="20"/>
          <w:szCs w:val="20"/>
        </w:rPr>
        <w:t>, 27(8), pp.</w:t>
      </w:r>
      <w:r w:rsidRPr="007A4BF2">
        <w:rPr>
          <w:rFonts w:ascii="Arial" w:hAnsi="Arial" w:cs="Arial"/>
          <w:sz w:val="20"/>
          <w:szCs w:val="20"/>
        </w:rPr>
        <w:t xml:space="preserve"> 1263-1275.</w:t>
      </w:r>
    </w:p>
    <w:p w:rsidR="00DF25EF" w:rsidRPr="00FE23D7" w:rsidRDefault="00DF25EF" w:rsidP="00234E39">
      <w:pPr>
        <w:pStyle w:val="NoSpacing"/>
        <w:spacing w:line="480" w:lineRule="auto"/>
        <w:ind w:left="567" w:hanging="567"/>
        <w:jc w:val="both"/>
        <w:rPr>
          <w:rFonts w:ascii="Arial" w:hAnsi="Arial" w:cs="Arial"/>
          <w:sz w:val="20"/>
          <w:szCs w:val="20"/>
        </w:rPr>
      </w:pPr>
      <w:proofErr w:type="spellStart"/>
      <w:r w:rsidRPr="00FE23D7">
        <w:rPr>
          <w:rFonts w:ascii="Arial" w:hAnsi="Arial" w:cs="Arial"/>
          <w:sz w:val="20"/>
          <w:szCs w:val="20"/>
        </w:rPr>
        <w:t>Laurillard</w:t>
      </w:r>
      <w:proofErr w:type="spellEnd"/>
      <w:r w:rsidR="00FE23D7" w:rsidRPr="00FE23D7">
        <w:rPr>
          <w:rFonts w:ascii="Arial" w:hAnsi="Arial" w:cs="Arial"/>
          <w:sz w:val="20"/>
          <w:szCs w:val="20"/>
        </w:rPr>
        <w:t>,</w:t>
      </w:r>
      <w:r w:rsidRPr="00FE23D7">
        <w:rPr>
          <w:rFonts w:ascii="Arial" w:hAnsi="Arial" w:cs="Arial"/>
          <w:sz w:val="20"/>
          <w:szCs w:val="20"/>
        </w:rPr>
        <w:t xml:space="preserve"> D</w:t>
      </w:r>
      <w:r w:rsidR="00FE23D7" w:rsidRPr="00FE23D7">
        <w:rPr>
          <w:rFonts w:ascii="Arial" w:hAnsi="Arial" w:cs="Arial"/>
          <w:sz w:val="20"/>
          <w:szCs w:val="20"/>
        </w:rPr>
        <w:t>.</w:t>
      </w:r>
      <w:r w:rsidRPr="00FE23D7">
        <w:rPr>
          <w:rFonts w:ascii="Arial" w:hAnsi="Arial" w:cs="Arial"/>
          <w:sz w:val="20"/>
          <w:szCs w:val="20"/>
        </w:rPr>
        <w:t xml:space="preserve"> (2006) </w:t>
      </w:r>
      <w:r w:rsidR="00FE23D7" w:rsidRPr="00FE23D7">
        <w:rPr>
          <w:rFonts w:ascii="Arial" w:hAnsi="Arial" w:cs="Arial"/>
          <w:sz w:val="20"/>
          <w:szCs w:val="20"/>
        </w:rPr>
        <w:t>‘</w:t>
      </w:r>
      <w:r w:rsidRPr="00FE23D7">
        <w:rPr>
          <w:rFonts w:ascii="Arial" w:hAnsi="Arial" w:cs="Arial"/>
          <w:sz w:val="20"/>
          <w:szCs w:val="20"/>
        </w:rPr>
        <w:t>E-learning in higher education</w:t>
      </w:r>
      <w:r w:rsidR="00FE23D7" w:rsidRPr="00FE23D7">
        <w:rPr>
          <w:rFonts w:ascii="Arial" w:hAnsi="Arial" w:cs="Arial"/>
          <w:sz w:val="20"/>
          <w:szCs w:val="20"/>
        </w:rPr>
        <w:t>’, pp. 71-84, in</w:t>
      </w:r>
      <w:r w:rsidRPr="00FE23D7">
        <w:rPr>
          <w:rFonts w:ascii="Arial" w:hAnsi="Arial" w:cs="Arial"/>
          <w:sz w:val="20"/>
          <w:szCs w:val="20"/>
        </w:rPr>
        <w:t xml:space="preserve"> </w:t>
      </w:r>
      <w:proofErr w:type="spellStart"/>
      <w:r w:rsidRPr="00FE23D7">
        <w:rPr>
          <w:rFonts w:ascii="Arial" w:hAnsi="Arial" w:cs="Arial"/>
          <w:sz w:val="20"/>
          <w:szCs w:val="20"/>
        </w:rPr>
        <w:t>Ashwin</w:t>
      </w:r>
      <w:proofErr w:type="spellEnd"/>
      <w:r w:rsidR="00FE23D7" w:rsidRPr="00FE23D7">
        <w:rPr>
          <w:rFonts w:ascii="Arial" w:hAnsi="Arial" w:cs="Arial"/>
          <w:sz w:val="20"/>
          <w:szCs w:val="20"/>
        </w:rPr>
        <w:t>,</w:t>
      </w:r>
      <w:r w:rsidRPr="00FE23D7">
        <w:rPr>
          <w:rFonts w:ascii="Arial" w:hAnsi="Arial" w:cs="Arial"/>
          <w:sz w:val="20"/>
          <w:szCs w:val="20"/>
        </w:rPr>
        <w:t xml:space="preserve"> P</w:t>
      </w:r>
      <w:r w:rsidR="00FE23D7" w:rsidRPr="00FE23D7">
        <w:rPr>
          <w:rFonts w:ascii="Arial" w:hAnsi="Arial" w:cs="Arial"/>
          <w:sz w:val="20"/>
          <w:szCs w:val="20"/>
        </w:rPr>
        <w:t>.</w:t>
      </w:r>
      <w:r w:rsidRPr="00FE23D7">
        <w:rPr>
          <w:rFonts w:ascii="Arial" w:hAnsi="Arial" w:cs="Arial"/>
          <w:sz w:val="20"/>
          <w:szCs w:val="20"/>
        </w:rPr>
        <w:t xml:space="preserve"> (ed.) </w:t>
      </w:r>
      <w:r w:rsidRPr="00FE23D7">
        <w:rPr>
          <w:rFonts w:ascii="Arial" w:hAnsi="Arial" w:cs="Arial"/>
          <w:i/>
          <w:sz w:val="20"/>
          <w:szCs w:val="20"/>
        </w:rPr>
        <w:t>Changing Higher Education: The Development of Learning and Teaching</w:t>
      </w:r>
      <w:r w:rsidR="00FE23D7" w:rsidRPr="00FE23D7">
        <w:rPr>
          <w:rFonts w:ascii="Arial" w:hAnsi="Arial" w:cs="Arial"/>
          <w:sz w:val="20"/>
          <w:szCs w:val="20"/>
        </w:rPr>
        <w:t xml:space="preserve">. London: </w:t>
      </w:r>
      <w:proofErr w:type="spellStart"/>
      <w:r w:rsidR="00FE23D7" w:rsidRPr="00FE23D7">
        <w:rPr>
          <w:rFonts w:ascii="Arial" w:hAnsi="Arial" w:cs="Arial"/>
          <w:sz w:val="20"/>
          <w:szCs w:val="20"/>
        </w:rPr>
        <w:t>Routledge</w:t>
      </w:r>
      <w:proofErr w:type="spellEnd"/>
      <w:r w:rsidRPr="00FE23D7">
        <w:rPr>
          <w:rFonts w:ascii="Arial" w:hAnsi="Arial" w:cs="Arial"/>
          <w:sz w:val="20"/>
          <w:szCs w:val="20"/>
        </w:rPr>
        <w:t>.</w:t>
      </w:r>
    </w:p>
    <w:p w:rsidR="00EF0D33" w:rsidRPr="00FE23D7" w:rsidRDefault="00EF0D33" w:rsidP="00234E39">
      <w:pPr>
        <w:pStyle w:val="NoSpacing"/>
        <w:spacing w:line="480" w:lineRule="auto"/>
        <w:ind w:left="567" w:hanging="567"/>
        <w:jc w:val="both"/>
        <w:rPr>
          <w:rFonts w:ascii="Arial" w:hAnsi="Arial" w:cs="Arial"/>
          <w:sz w:val="20"/>
          <w:szCs w:val="20"/>
        </w:rPr>
      </w:pPr>
      <w:proofErr w:type="spellStart"/>
      <w:r w:rsidRPr="00FE23D7">
        <w:rPr>
          <w:rFonts w:ascii="Arial" w:hAnsi="Arial" w:cs="Arial"/>
          <w:sz w:val="20"/>
          <w:szCs w:val="20"/>
        </w:rPr>
        <w:t>López</w:t>
      </w:r>
      <w:proofErr w:type="spellEnd"/>
      <w:r w:rsidRPr="00FE23D7">
        <w:rPr>
          <w:rFonts w:ascii="Arial" w:hAnsi="Arial" w:cs="Arial"/>
          <w:sz w:val="20"/>
          <w:szCs w:val="20"/>
        </w:rPr>
        <w:t>-Pérez</w:t>
      </w:r>
      <w:r w:rsidR="00FE23D7" w:rsidRPr="00FE23D7">
        <w:rPr>
          <w:rFonts w:ascii="Arial" w:hAnsi="Arial" w:cs="Arial"/>
          <w:sz w:val="20"/>
          <w:szCs w:val="20"/>
        </w:rPr>
        <w:t>,</w:t>
      </w:r>
      <w:r w:rsidRPr="00FE23D7">
        <w:rPr>
          <w:rFonts w:ascii="Arial" w:hAnsi="Arial" w:cs="Arial"/>
          <w:sz w:val="20"/>
          <w:szCs w:val="20"/>
        </w:rPr>
        <w:t xml:space="preserve"> M</w:t>
      </w:r>
      <w:r w:rsidR="00FE23D7" w:rsidRPr="00FE23D7">
        <w:rPr>
          <w:rFonts w:ascii="Arial" w:hAnsi="Arial" w:cs="Arial"/>
          <w:sz w:val="20"/>
          <w:szCs w:val="20"/>
        </w:rPr>
        <w:t xml:space="preserve">. </w:t>
      </w:r>
      <w:r w:rsidRPr="00FE23D7">
        <w:rPr>
          <w:rFonts w:ascii="Arial" w:hAnsi="Arial" w:cs="Arial"/>
          <w:sz w:val="20"/>
          <w:szCs w:val="20"/>
        </w:rPr>
        <w:t>V</w:t>
      </w:r>
      <w:r w:rsidR="00FE23D7" w:rsidRPr="00FE23D7">
        <w:rPr>
          <w:rFonts w:ascii="Arial" w:hAnsi="Arial" w:cs="Arial"/>
          <w:sz w:val="20"/>
          <w:szCs w:val="20"/>
        </w:rPr>
        <w:t>.</w:t>
      </w:r>
      <w:r w:rsidRPr="00FE23D7">
        <w:rPr>
          <w:rFonts w:ascii="Arial" w:hAnsi="Arial" w:cs="Arial"/>
          <w:sz w:val="20"/>
          <w:szCs w:val="20"/>
        </w:rPr>
        <w:t>, Pérez-</w:t>
      </w:r>
      <w:proofErr w:type="spellStart"/>
      <w:r w:rsidRPr="00FE23D7">
        <w:rPr>
          <w:rFonts w:ascii="Arial" w:hAnsi="Arial" w:cs="Arial"/>
          <w:sz w:val="20"/>
          <w:szCs w:val="20"/>
        </w:rPr>
        <w:t>López</w:t>
      </w:r>
      <w:proofErr w:type="spellEnd"/>
      <w:r w:rsidR="00FE23D7" w:rsidRPr="00FE23D7">
        <w:rPr>
          <w:rFonts w:ascii="Arial" w:hAnsi="Arial" w:cs="Arial"/>
          <w:sz w:val="20"/>
          <w:szCs w:val="20"/>
        </w:rPr>
        <w:t>,</w:t>
      </w:r>
      <w:r w:rsidRPr="00FE23D7">
        <w:rPr>
          <w:rFonts w:ascii="Arial" w:hAnsi="Arial" w:cs="Arial"/>
          <w:sz w:val="20"/>
          <w:szCs w:val="20"/>
        </w:rPr>
        <w:t xml:space="preserve"> M</w:t>
      </w:r>
      <w:r w:rsidR="00FE23D7" w:rsidRPr="00FE23D7">
        <w:rPr>
          <w:rFonts w:ascii="Arial" w:hAnsi="Arial" w:cs="Arial"/>
          <w:sz w:val="20"/>
          <w:szCs w:val="20"/>
        </w:rPr>
        <w:t xml:space="preserve">. </w:t>
      </w:r>
      <w:r w:rsidRPr="00FE23D7">
        <w:rPr>
          <w:rFonts w:ascii="Arial" w:hAnsi="Arial" w:cs="Arial"/>
          <w:sz w:val="20"/>
          <w:szCs w:val="20"/>
        </w:rPr>
        <w:t>C</w:t>
      </w:r>
      <w:r w:rsidR="00FE23D7" w:rsidRPr="00FE23D7">
        <w:rPr>
          <w:rFonts w:ascii="Arial" w:hAnsi="Arial" w:cs="Arial"/>
          <w:sz w:val="20"/>
          <w:szCs w:val="20"/>
        </w:rPr>
        <w:t>.</w:t>
      </w:r>
      <w:r w:rsidRPr="00FE23D7">
        <w:rPr>
          <w:rFonts w:ascii="Arial" w:hAnsi="Arial" w:cs="Arial"/>
          <w:sz w:val="20"/>
          <w:szCs w:val="20"/>
        </w:rPr>
        <w:t xml:space="preserve"> and Rodríguez-</w:t>
      </w:r>
      <w:proofErr w:type="spellStart"/>
      <w:r w:rsidRPr="00FE23D7">
        <w:rPr>
          <w:rFonts w:ascii="Arial" w:hAnsi="Arial" w:cs="Arial"/>
          <w:sz w:val="20"/>
          <w:szCs w:val="20"/>
        </w:rPr>
        <w:t>Ariza</w:t>
      </w:r>
      <w:proofErr w:type="spellEnd"/>
      <w:r w:rsidR="00FE23D7" w:rsidRPr="00FE23D7">
        <w:rPr>
          <w:rFonts w:ascii="Arial" w:hAnsi="Arial" w:cs="Arial"/>
          <w:sz w:val="20"/>
          <w:szCs w:val="20"/>
        </w:rPr>
        <w:t>,</w:t>
      </w:r>
      <w:r w:rsidRPr="00FE23D7">
        <w:rPr>
          <w:rFonts w:ascii="Arial" w:hAnsi="Arial" w:cs="Arial"/>
          <w:sz w:val="20"/>
          <w:szCs w:val="20"/>
        </w:rPr>
        <w:t xml:space="preserve"> L</w:t>
      </w:r>
      <w:r w:rsidR="00FE23D7" w:rsidRPr="00FE23D7">
        <w:rPr>
          <w:rFonts w:ascii="Arial" w:hAnsi="Arial" w:cs="Arial"/>
          <w:sz w:val="20"/>
          <w:szCs w:val="20"/>
        </w:rPr>
        <w:t>.</w:t>
      </w:r>
      <w:r w:rsidRPr="00FE23D7">
        <w:rPr>
          <w:rFonts w:ascii="Arial" w:hAnsi="Arial" w:cs="Arial"/>
          <w:sz w:val="20"/>
          <w:szCs w:val="20"/>
        </w:rPr>
        <w:t xml:space="preserve"> (2011) </w:t>
      </w:r>
      <w:r w:rsidR="00FE23D7" w:rsidRPr="00FE23D7">
        <w:rPr>
          <w:rFonts w:ascii="Arial" w:hAnsi="Arial" w:cs="Arial"/>
          <w:sz w:val="20"/>
          <w:szCs w:val="20"/>
        </w:rPr>
        <w:t>‘</w:t>
      </w:r>
      <w:r w:rsidRPr="00FE23D7">
        <w:rPr>
          <w:rFonts w:ascii="Arial" w:hAnsi="Arial" w:cs="Arial"/>
          <w:sz w:val="20"/>
          <w:szCs w:val="20"/>
        </w:rPr>
        <w:t>Blended learning in higher education: Students’ perceptions and their relation to outcomes</w:t>
      </w:r>
      <w:r w:rsidR="00FE23D7" w:rsidRPr="00FE23D7">
        <w:rPr>
          <w:rFonts w:ascii="Arial" w:hAnsi="Arial" w:cs="Arial"/>
          <w:sz w:val="20"/>
          <w:szCs w:val="20"/>
        </w:rPr>
        <w:t>’</w:t>
      </w:r>
      <w:r w:rsidRPr="00FE23D7">
        <w:rPr>
          <w:rFonts w:ascii="Arial" w:hAnsi="Arial" w:cs="Arial"/>
          <w:sz w:val="20"/>
          <w:szCs w:val="20"/>
        </w:rPr>
        <w:t xml:space="preserve">. </w:t>
      </w:r>
      <w:r w:rsidRPr="00FE23D7">
        <w:rPr>
          <w:rFonts w:ascii="Arial" w:hAnsi="Arial" w:cs="Arial"/>
          <w:i/>
          <w:sz w:val="20"/>
          <w:szCs w:val="20"/>
        </w:rPr>
        <w:t>Computers &amp; Education</w:t>
      </w:r>
      <w:r w:rsidR="00FE23D7" w:rsidRPr="00FE23D7">
        <w:rPr>
          <w:rFonts w:ascii="Arial" w:hAnsi="Arial" w:cs="Arial"/>
          <w:sz w:val="20"/>
          <w:szCs w:val="20"/>
        </w:rPr>
        <w:t>, 56(3), pp.</w:t>
      </w:r>
      <w:r w:rsidRPr="00FE23D7">
        <w:rPr>
          <w:rFonts w:ascii="Arial" w:hAnsi="Arial" w:cs="Arial"/>
          <w:sz w:val="20"/>
          <w:szCs w:val="20"/>
        </w:rPr>
        <w:t xml:space="preserve"> 818-826.</w:t>
      </w:r>
    </w:p>
    <w:p w:rsidR="00EF6628" w:rsidRPr="007A4BF2" w:rsidRDefault="00EF0D33" w:rsidP="00234E39">
      <w:pPr>
        <w:pStyle w:val="NoSpacing"/>
        <w:spacing w:line="480" w:lineRule="auto"/>
        <w:ind w:left="567" w:hanging="567"/>
        <w:jc w:val="both"/>
        <w:rPr>
          <w:rFonts w:ascii="Arial" w:hAnsi="Arial" w:cs="Arial"/>
          <w:sz w:val="20"/>
          <w:szCs w:val="20"/>
        </w:rPr>
      </w:pPr>
      <w:proofErr w:type="spellStart"/>
      <w:proofErr w:type="gramStart"/>
      <w:r w:rsidRPr="007A4BF2">
        <w:rPr>
          <w:rFonts w:ascii="Arial" w:hAnsi="Arial" w:cs="Arial"/>
          <w:sz w:val="20"/>
          <w:szCs w:val="20"/>
        </w:rPr>
        <w:t>López</w:t>
      </w:r>
      <w:proofErr w:type="spellEnd"/>
      <w:r w:rsidRPr="007A4BF2">
        <w:rPr>
          <w:rFonts w:ascii="Arial" w:hAnsi="Arial" w:cs="Arial"/>
          <w:sz w:val="20"/>
          <w:szCs w:val="20"/>
        </w:rPr>
        <w:t>-Pérez</w:t>
      </w:r>
      <w:r w:rsidR="007A4BF2" w:rsidRPr="007A4BF2">
        <w:rPr>
          <w:rFonts w:ascii="Arial" w:hAnsi="Arial" w:cs="Arial"/>
          <w:sz w:val="20"/>
          <w:szCs w:val="20"/>
        </w:rPr>
        <w:t>,</w:t>
      </w:r>
      <w:r w:rsidRPr="007A4BF2">
        <w:rPr>
          <w:rFonts w:ascii="Arial" w:hAnsi="Arial" w:cs="Arial"/>
          <w:sz w:val="20"/>
          <w:szCs w:val="20"/>
        </w:rPr>
        <w:t xml:space="preserve"> M</w:t>
      </w:r>
      <w:r w:rsidR="007A4BF2" w:rsidRPr="007A4BF2">
        <w:rPr>
          <w:rFonts w:ascii="Arial" w:hAnsi="Arial" w:cs="Arial"/>
          <w:sz w:val="20"/>
          <w:szCs w:val="20"/>
        </w:rPr>
        <w:t xml:space="preserve">. </w:t>
      </w:r>
      <w:r w:rsidRPr="007A4BF2">
        <w:rPr>
          <w:rFonts w:ascii="Arial" w:hAnsi="Arial" w:cs="Arial"/>
          <w:sz w:val="20"/>
          <w:szCs w:val="20"/>
        </w:rPr>
        <w:t>V</w:t>
      </w:r>
      <w:r w:rsidR="007A4BF2" w:rsidRPr="007A4BF2">
        <w:rPr>
          <w:rFonts w:ascii="Arial" w:hAnsi="Arial" w:cs="Arial"/>
          <w:sz w:val="20"/>
          <w:szCs w:val="20"/>
        </w:rPr>
        <w:t>.</w:t>
      </w:r>
      <w:r w:rsidRPr="007A4BF2">
        <w:rPr>
          <w:rFonts w:ascii="Arial" w:hAnsi="Arial" w:cs="Arial"/>
          <w:sz w:val="20"/>
          <w:szCs w:val="20"/>
        </w:rPr>
        <w:t>, Pérez-</w:t>
      </w:r>
      <w:proofErr w:type="spellStart"/>
      <w:r w:rsidRPr="007A4BF2">
        <w:rPr>
          <w:rFonts w:ascii="Arial" w:hAnsi="Arial" w:cs="Arial"/>
          <w:sz w:val="20"/>
          <w:szCs w:val="20"/>
        </w:rPr>
        <w:t>López</w:t>
      </w:r>
      <w:proofErr w:type="spellEnd"/>
      <w:r w:rsidR="007A4BF2" w:rsidRPr="007A4BF2">
        <w:rPr>
          <w:rFonts w:ascii="Arial" w:hAnsi="Arial" w:cs="Arial"/>
          <w:sz w:val="20"/>
          <w:szCs w:val="20"/>
        </w:rPr>
        <w:t>,</w:t>
      </w:r>
      <w:r w:rsidRPr="007A4BF2">
        <w:rPr>
          <w:rFonts w:ascii="Arial" w:hAnsi="Arial" w:cs="Arial"/>
          <w:sz w:val="20"/>
          <w:szCs w:val="20"/>
        </w:rPr>
        <w:t xml:space="preserve"> M</w:t>
      </w:r>
      <w:r w:rsidR="007A4BF2" w:rsidRPr="007A4BF2">
        <w:rPr>
          <w:rFonts w:ascii="Arial" w:hAnsi="Arial" w:cs="Arial"/>
          <w:sz w:val="20"/>
          <w:szCs w:val="20"/>
        </w:rPr>
        <w:t xml:space="preserve">. </w:t>
      </w:r>
      <w:r w:rsidRPr="007A4BF2">
        <w:rPr>
          <w:rFonts w:ascii="Arial" w:hAnsi="Arial" w:cs="Arial"/>
          <w:sz w:val="20"/>
          <w:szCs w:val="20"/>
        </w:rPr>
        <w:t>C</w:t>
      </w:r>
      <w:r w:rsidR="007A4BF2" w:rsidRPr="007A4BF2">
        <w:rPr>
          <w:rFonts w:ascii="Arial" w:hAnsi="Arial" w:cs="Arial"/>
          <w:sz w:val="20"/>
          <w:szCs w:val="20"/>
        </w:rPr>
        <w:t>.</w:t>
      </w:r>
      <w:r w:rsidRPr="007A4BF2">
        <w:rPr>
          <w:rFonts w:ascii="Arial" w:hAnsi="Arial" w:cs="Arial"/>
          <w:sz w:val="20"/>
          <w:szCs w:val="20"/>
        </w:rPr>
        <w:t>, Rodríguez-</w:t>
      </w:r>
      <w:proofErr w:type="spellStart"/>
      <w:r w:rsidRPr="007A4BF2">
        <w:rPr>
          <w:rFonts w:ascii="Arial" w:hAnsi="Arial" w:cs="Arial"/>
          <w:sz w:val="20"/>
          <w:szCs w:val="20"/>
        </w:rPr>
        <w:t>Ariza</w:t>
      </w:r>
      <w:proofErr w:type="spellEnd"/>
      <w:r w:rsidR="007A4BF2" w:rsidRPr="007A4BF2">
        <w:rPr>
          <w:rFonts w:ascii="Arial" w:hAnsi="Arial" w:cs="Arial"/>
          <w:sz w:val="20"/>
          <w:szCs w:val="20"/>
        </w:rPr>
        <w:t>,</w:t>
      </w:r>
      <w:r w:rsidRPr="007A4BF2">
        <w:rPr>
          <w:rFonts w:ascii="Arial" w:hAnsi="Arial" w:cs="Arial"/>
          <w:sz w:val="20"/>
          <w:szCs w:val="20"/>
        </w:rPr>
        <w:t xml:space="preserve"> L</w:t>
      </w:r>
      <w:r w:rsidR="007A4BF2" w:rsidRPr="007A4BF2">
        <w:rPr>
          <w:rFonts w:ascii="Arial" w:hAnsi="Arial" w:cs="Arial"/>
          <w:sz w:val="20"/>
          <w:szCs w:val="20"/>
        </w:rPr>
        <w:t>.</w:t>
      </w:r>
      <w:r w:rsidRPr="007A4BF2">
        <w:rPr>
          <w:rFonts w:ascii="Arial" w:hAnsi="Arial" w:cs="Arial"/>
          <w:sz w:val="20"/>
          <w:szCs w:val="20"/>
        </w:rPr>
        <w:t xml:space="preserve"> and </w:t>
      </w:r>
      <w:proofErr w:type="spellStart"/>
      <w:r w:rsidRPr="007A4BF2">
        <w:rPr>
          <w:rFonts w:ascii="Arial" w:hAnsi="Arial" w:cs="Arial"/>
          <w:sz w:val="20"/>
          <w:szCs w:val="20"/>
        </w:rPr>
        <w:t>Argente</w:t>
      </w:r>
      <w:proofErr w:type="spellEnd"/>
      <w:r w:rsidRPr="007A4BF2">
        <w:rPr>
          <w:rFonts w:ascii="Arial" w:hAnsi="Arial" w:cs="Arial"/>
          <w:sz w:val="20"/>
          <w:szCs w:val="20"/>
        </w:rPr>
        <w:t>-Linares</w:t>
      </w:r>
      <w:r w:rsidR="007A4BF2" w:rsidRPr="007A4BF2">
        <w:rPr>
          <w:rFonts w:ascii="Arial" w:hAnsi="Arial" w:cs="Arial"/>
          <w:sz w:val="20"/>
          <w:szCs w:val="20"/>
        </w:rPr>
        <w:t>,</w:t>
      </w:r>
      <w:r w:rsidRPr="007A4BF2">
        <w:rPr>
          <w:rFonts w:ascii="Arial" w:hAnsi="Arial" w:cs="Arial"/>
          <w:sz w:val="20"/>
          <w:szCs w:val="20"/>
        </w:rPr>
        <w:t xml:space="preserve"> E</w:t>
      </w:r>
      <w:r w:rsidR="007A4BF2" w:rsidRPr="007A4BF2">
        <w:rPr>
          <w:rFonts w:ascii="Arial" w:hAnsi="Arial" w:cs="Arial"/>
          <w:sz w:val="20"/>
          <w:szCs w:val="20"/>
        </w:rPr>
        <w:t xml:space="preserve">. </w:t>
      </w:r>
      <w:r w:rsidRPr="007A4BF2">
        <w:rPr>
          <w:rFonts w:ascii="Arial" w:hAnsi="Arial" w:cs="Arial"/>
          <w:sz w:val="20"/>
          <w:szCs w:val="20"/>
        </w:rPr>
        <w:t xml:space="preserve">(2013) </w:t>
      </w:r>
      <w:r w:rsidR="007A4BF2" w:rsidRPr="007A4BF2">
        <w:rPr>
          <w:rFonts w:ascii="Arial" w:hAnsi="Arial" w:cs="Arial"/>
          <w:sz w:val="20"/>
          <w:szCs w:val="20"/>
        </w:rPr>
        <w:t>‘</w:t>
      </w:r>
      <w:r w:rsidRPr="007A4BF2">
        <w:rPr>
          <w:rFonts w:ascii="Arial" w:hAnsi="Arial" w:cs="Arial"/>
          <w:sz w:val="20"/>
          <w:szCs w:val="20"/>
        </w:rPr>
        <w:t>The influence of the use of technology on student outcomes in a blended learning context</w:t>
      </w:r>
      <w:r w:rsidR="007A4BF2" w:rsidRPr="007A4BF2">
        <w:rPr>
          <w:rFonts w:ascii="Arial" w:hAnsi="Arial" w:cs="Arial"/>
          <w:sz w:val="20"/>
          <w:szCs w:val="20"/>
        </w:rPr>
        <w:t>’</w:t>
      </w:r>
      <w:r w:rsidRPr="007A4BF2">
        <w:rPr>
          <w:rFonts w:ascii="Arial" w:hAnsi="Arial" w:cs="Arial"/>
          <w:sz w:val="20"/>
          <w:szCs w:val="20"/>
        </w:rPr>
        <w:t>.</w:t>
      </w:r>
      <w:proofErr w:type="gramEnd"/>
      <w:r w:rsidRPr="007A4BF2">
        <w:rPr>
          <w:rFonts w:ascii="Arial" w:hAnsi="Arial" w:cs="Arial"/>
          <w:sz w:val="20"/>
          <w:szCs w:val="20"/>
        </w:rPr>
        <w:t xml:space="preserve"> </w:t>
      </w:r>
      <w:r w:rsidRPr="007A4BF2">
        <w:rPr>
          <w:rFonts w:ascii="Arial" w:hAnsi="Arial" w:cs="Arial"/>
          <w:i/>
          <w:sz w:val="20"/>
          <w:szCs w:val="20"/>
        </w:rPr>
        <w:t>Educational Technology Research and Development</w:t>
      </w:r>
      <w:r w:rsidR="007A4BF2" w:rsidRPr="007A4BF2">
        <w:rPr>
          <w:rFonts w:ascii="Arial" w:hAnsi="Arial" w:cs="Arial"/>
          <w:sz w:val="20"/>
          <w:szCs w:val="20"/>
        </w:rPr>
        <w:t>, 61(4), pp.</w:t>
      </w:r>
      <w:r w:rsidRPr="007A4BF2">
        <w:rPr>
          <w:rFonts w:ascii="Arial" w:hAnsi="Arial" w:cs="Arial"/>
          <w:sz w:val="20"/>
          <w:szCs w:val="20"/>
        </w:rPr>
        <w:t xml:space="preserve"> 625-638.</w:t>
      </w:r>
    </w:p>
    <w:p w:rsidR="000407CE" w:rsidRPr="007A4BF2" w:rsidRDefault="00EF6628" w:rsidP="00234E39">
      <w:pPr>
        <w:pStyle w:val="NoSpacing"/>
        <w:spacing w:line="480" w:lineRule="auto"/>
        <w:ind w:left="567" w:hanging="567"/>
        <w:jc w:val="both"/>
        <w:rPr>
          <w:rFonts w:ascii="Arial" w:hAnsi="Arial" w:cs="Arial"/>
          <w:sz w:val="20"/>
          <w:szCs w:val="20"/>
        </w:rPr>
      </w:pPr>
      <w:proofErr w:type="spellStart"/>
      <w:r w:rsidRPr="007A4BF2">
        <w:rPr>
          <w:rFonts w:ascii="Arial" w:hAnsi="Arial" w:cs="Arial"/>
          <w:sz w:val="20"/>
          <w:szCs w:val="20"/>
        </w:rPr>
        <w:t>Manuguerra</w:t>
      </w:r>
      <w:proofErr w:type="spellEnd"/>
      <w:r w:rsidR="007A4BF2" w:rsidRPr="007A4BF2">
        <w:rPr>
          <w:rFonts w:ascii="Arial" w:hAnsi="Arial" w:cs="Arial"/>
          <w:sz w:val="20"/>
          <w:szCs w:val="20"/>
        </w:rPr>
        <w:t>,</w:t>
      </w:r>
      <w:r w:rsidRPr="007A4BF2">
        <w:rPr>
          <w:rFonts w:ascii="Arial" w:hAnsi="Arial" w:cs="Arial"/>
          <w:sz w:val="20"/>
          <w:szCs w:val="20"/>
        </w:rPr>
        <w:t xml:space="preserve"> M</w:t>
      </w:r>
      <w:r w:rsidR="007A4BF2" w:rsidRPr="007A4BF2">
        <w:rPr>
          <w:rFonts w:ascii="Arial" w:hAnsi="Arial" w:cs="Arial"/>
          <w:sz w:val="20"/>
          <w:szCs w:val="20"/>
        </w:rPr>
        <w:t xml:space="preserve">. and </w:t>
      </w:r>
      <w:proofErr w:type="spellStart"/>
      <w:r w:rsidR="007A4BF2" w:rsidRPr="007A4BF2">
        <w:rPr>
          <w:rFonts w:ascii="Arial" w:hAnsi="Arial" w:cs="Arial"/>
          <w:sz w:val="20"/>
          <w:szCs w:val="20"/>
        </w:rPr>
        <w:t>Petocz</w:t>
      </w:r>
      <w:proofErr w:type="spellEnd"/>
      <w:r w:rsidR="007A4BF2" w:rsidRPr="007A4BF2">
        <w:rPr>
          <w:rFonts w:ascii="Arial" w:hAnsi="Arial" w:cs="Arial"/>
          <w:sz w:val="20"/>
          <w:szCs w:val="20"/>
        </w:rPr>
        <w:t xml:space="preserve">, </w:t>
      </w:r>
      <w:r w:rsidRPr="007A4BF2">
        <w:rPr>
          <w:rFonts w:ascii="Arial" w:hAnsi="Arial" w:cs="Arial"/>
          <w:sz w:val="20"/>
          <w:szCs w:val="20"/>
        </w:rPr>
        <w:t>P</w:t>
      </w:r>
      <w:r w:rsidR="007A4BF2" w:rsidRPr="007A4BF2">
        <w:rPr>
          <w:rFonts w:ascii="Arial" w:hAnsi="Arial" w:cs="Arial"/>
          <w:sz w:val="20"/>
          <w:szCs w:val="20"/>
        </w:rPr>
        <w:t>.</w:t>
      </w:r>
      <w:r w:rsidRPr="007A4BF2">
        <w:rPr>
          <w:rFonts w:ascii="Arial" w:hAnsi="Arial" w:cs="Arial"/>
          <w:sz w:val="20"/>
          <w:szCs w:val="20"/>
        </w:rPr>
        <w:t xml:space="preserve"> (2011) </w:t>
      </w:r>
      <w:r w:rsidR="007A4BF2" w:rsidRPr="007A4BF2">
        <w:rPr>
          <w:rFonts w:ascii="Arial" w:hAnsi="Arial" w:cs="Arial"/>
          <w:sz w:val="20"/>
          <w:szCs w:val="20"/>
        </w:rPr>
        <w:t>‘</w:t>
      </w:r>
      <w:proofErr w:type="gramStart"/>
      <w:r w:rsidRPr="007A4BF2">
        <w:rPr>
          <w:rFonts w:ascii="Arial" w:hAnsi="Arial" w:cs="Arial"/>
          <w:sz w:val="20"/>
          <w:szCs w:val="20"/>
        </w:rPr>
        <w:t>Promoting</w:t>
      </w:r>
      <w:proofErr w:type="gramEnd"/>
      <w:r w:rsidRPr="007A4BF2">
        <w:rPr>
          <w:rFonts w:ascii="Arial" w:hAnsi="Arial" w:cs="Arial"/>
          <w:sz w:val="20"/>
          <w:szCs w:val="20"/>
        </w:rPr>
        <w:t xml:space="preserve"> student engagement by integrating new technology into tertiary education: The role of the </w:t>
      </w:r>
      <w:proofErr w:type="spellStart"/>
      <w:r w:rsidRPr="007A4BF2">
        <w:rPr>
          <w:rFonts w:ascii="Arial" w:hAnsi="Arial" w:cs="Arial"/>
          <w:sz w:val="20"/>
          <w:szCs w:val="20"/>
        </w:rPr>
        <w:t>iPad</w:t>
      </w:r>
      <w:proofErr w:type="spellEnd"/>
      <w:r w:rsidR="007A4BF2" w:rsidRPr="007A4BF2">
        <w:rPr>
          <w:rFonts w:ascii="Arial" w:hAnsi="Arial" w:cs="Arial"/>
          <w:sz w:val="20"/>
          <w:szCs w:val="20"/>
        </w:rPr>
        <w:t>’</w:t>
      </w:r>
      <w:r w:rsidRPr="007A4BF2">
        <w:rPr>
          <w:rFonts w:ascii="Arial" w:hAnsi="Arial" w:cs="Arial"/>
          <w:sz w:val="20"/>
          <w:szCs w:val="20"/>
        </w:rPr>
        <w:t xml:space="preserve">. </w:t>
      </w:r>
      <w:r w:rsidRPr="007A4BF2">
        <w:rPr>
          <w:rFonts w:ascii="Arial" w:hAnsi="Arial" w:cs="Arial"/>
          <w:i/>
          <w:sz w:val="20"/>
          <w:szCs w:val="20"/>
        </w:rPr>
        <w:t>Asian Social Science</w:t>
      </w:r>
      <w:r w:rsidR="007A4BF2" w:rsidRPr="007A4BF2">
        <w:rPr>
          <w:rFonts w:ascii="Arial" w:hAnsi="Arial" w:cs="Arial"/>
          <w:sz w:val="20"/>
          <w:szCs w:val="20"/>
        </w:rPr>
        <w:t>, 7(11), pp.</w:t>
      </w:r>
      <w:r w:rsidRPr="007A4BF2">
        <w:rPr>
          <w:rFonts w:ascii="Arial" w:hAnsi="Arial" w:cs="Arial"/>
          <w:sz w:val="20"/>
          <w:szCs w:val="20"/>
        </w:rPr>
        <w:t xml:space="preserve"> 61-65.</w:t>
      </w:r>
    </w:p>
    <w:p w:rsidR="000407CE" w:rsidRPr="007A4BF2" w:rsidRDefault="000407CE" w:rsidP="00234E39">
      <w:pPr>
        <w:pStyle w:val="NoSpacing"/>
        <w:spacing w:line="480" w:lineRule="auto"/>
        <w:ind w:left="567" w:hanging="567"/>
        <w:jc w:val="both"/>
        <w:rPr>
          <w:rFonts w:ascii="Arial" w:hAnsi="Arial" w:cs="Arial"/>
          <w:sz w:val="20"/>
          <w:szCs w:val="20"/>
        </w:rPr>
      </w:pPr>
      <w:proofErr w:type="gramStart"/>
      <w:r w:rsidRPr="007A4BF2">
        <w:rPr>
          <w:rFonts w:ascii="Arial" w:hAnsi="Arial" w:cs="Arial"/>
          <w:sz w:val="20"/>
          <w:szCs w:val="20"/>
        </w:rPr>
        <w:t>McCabe</w:t>
      </w:r>
      <w:r w:rsidR="007A4BF2" w:rsidRPr="007A4BF2">
        <w:rPr>
          <w:rFonts w:ascii="Arial" w:hAnsi="Arial" w:cs="Arial"/>
          <w:sz w:val="20"/>
          <w:szCs w:val="20"/>
        </w:rPr>
        <w:t>,</w:t>
      </w:r>
      <w:r w:rsidRPr="007A4BF2">
        <w:rPr>
          <w:rFonts w:ascii="Arial" w:hAnsi="Arial" w:cs="Arial"/>
          <w:sz w:val="20"/>
          <w:szCs w:val="20"/>
        </w:rPr>
        <w:t xml:space="preserve"> J</w:t>
      </w:r>
      <w:r w:rsidR="007A4BF2" w:rsidRPr="007A4BF2">
        <w:rPr>
          <w:rFonts w:ascii="Arial" w:hAnsi="Arial" w:cs="Arial"/>
          <w:sz w:val="20"/>
          <w:szCs w:val="20"/>
        </w:rPr>
        <w:t>.</w:t>
      </w:r>
      <w:r w:rsidRPr="007A4BF2">
        <w:rPr>
          <w:rFonts w:ascii="Arial" w:hAnsi="Arial" w:cs="Arial"/>
          <w:sz w:val="20"/>
          <w:szCs w:val="20"/>
        </w:rPr>
        <w:t xml:space="preserve">, </w:t>
      </w:r>
      <w:proofErr w:type="spellStart"/>
      <w:r w:rsidRPr="007A4BF2">
        <w:rPr>
          <w:rFonts w:ascii="Arial" w:hAnsi="Arial" w:cs="Arial"/>
          <w:sz w:val="20"/>
          <w:szCs w:val="20"/>
        </w:rPr>
        <w:t>Doerflinger</w:t>
      </w:r>
      <w:proofErr w:type="spellEnd"/>
      <w:r w:rsidR="007A4BF2" w:rsidRPr="007A4BF2">
        <w:rPr>
          <w:rFonts w:ascii="Arial" w:hAnsi="Arial" w:cs="Arial"/>
          <w:sz w:val="20"/>
          <w:szCs w:val="20"/>
        </w:rPr>
        <w:t>,</w:t>
      </w:r>
      <w:r w:rsidRPr="007A4BF2">
        <w:rPr>
          <w:rFonts w:ascii="Arial" w:hAnsi="Arial" w:cs="Arial"/>
          <w:sz w:val="20"/>
          <w:szCs w:val="20"/>
        </w:rPr>
        <w:t xml:space="preserve"> A</w:t>
      </w:r>
      <w:r w:rsidR="007A4BF2" w:rsidRPr="007A4BF2">
        <w:rPr>
          <w:rFonts w:ascii="Arial" w:hAnsi="Arial" w:cs="Arial"/>
          <w:sz w:val="20"/>
          <w:szCs w:val="20"/>
        </w:rPr>
        <w:t>.</w:t>
      </w:r>
      <w:r w:rsidRPr="007A4BF2">
        <w:rPr>
          <w:rFonts w:ascii="Arial" w:hAnsi="Arial" w:cs="Arial"/>
          <w:sz w:val="20"/>
          <w:szCs w:val="20"/>
        </w:rPr>
        <w:t xml:space="preserve"> and Fox</w:t>
      </w:r>
      <w:r w:rsidR="007A4BF2" w:rsidRPr="007A4BF2">
        <w:rPr>
          <w:rFonts w:ascii="Arial" w:hAnsi="Arial" w:cs="Arial"/>
          <w:sz w:val="20"/>
          <w:szCs w:val="20"/>
        </w:rPr>
        <w:t>,</w:t>
      </w:r>
      <w:r w:rsidRPr="007A4BF2">
        <w:rPr>
          <w:rFonts w:ascii="Arial" w:hAnsi="Arial" w:cs="Arial"/>
          <w:sz w:val="20"/>
          <w:szCs w:val="20"/>
        </w:rPr>
        <w:t xml:space="preserve"> R</w:t>
      </w:r>
      <w:r w:rsidR="007A4BF2" w:rsidRPr="007A4BF2">
        <w:rPr>
          <w:rFonts w:ascii="Arial" w:hAnsi="Arial" w:cs="Arial"/>
          <w:sz w:val="20"/>
          <w:szCs w:val="20"/>
        </w:rPr>
        <w:t>.</w:t>
      </w:r>
      <w:r w:rsidRPr="007A4BF2">
        <w:rPr>
          <w:rFonts w:ascii="Arial" w:hAnsi="Arial" w:cs="Arial"/>
          <w:sz w:val="20"/>
          <w:szCs w:val="20"/>
        </w:rPr>
        <w:t xml:space="preserve"> (2011) </w:t>
      </w:r>
      <w:r w:rsidR="007A4BF2" w:rsidRPr="007A4BF2">
        <w:rPr>
          <w:rFonts w:ascii="Arial" w:hAnsi="Arial" w:cs="Arial"/>
          <w:sz w:val="20"/>
          <w:szCs w:val="20"/>
        </w:rPr>
        <w:t>‘</w:t>
      </w:r>
      <w:r w:rsidRPr="007A4BF2">
        <w:rPr>
          <w:rFonts w:ascii="Arial" w:hAnsi="Arial" w:cs="Arial"/>
          <w:sz w:val="20"/>
          <w:szCs w:val="20"/>
        </w:rPr>
        <w:t>Student and faculty perceptions of e-feedback</w:t>
      </w:r>
      <w:r w:rsidR="007A4BF2" w:rsidRPr="007A4BF2">
        <w:rPr>
          <w:rFonts w:ascii="Arial" w:hAnsi="Arial" w:cs="Arial"/>
          <w:sz w:val="20"/>
          <w:szCs w:val="20"/>
        </w:rPr>
        <w:t>’</w:t>
      </w:r>
      <w:r w:rsidRPr="007A4BF2">
        <w:rPr>
          <w:rFonts w:ascii="Arial" w:hAnsi="Arial" w:cs="Arial"/>
          <w:sz w:val="20"/>
          <w:szCs w:val="20"/>
        </w:rPr>
        <w:t>.</w:t>
      </w:r>
      <w:proofErr w:type="gramEnd"/>
      <w:r w:rsidRPr="007A4BF2">
        <w:rPr>
          <w:rFonts w:ascii="Arial" w:hAnsi="Arial" w:cs="Arial"/>
          <w:sz w:val="20"/>
          <w:szCs w:val="20"/>
        </w:rPr>
        <w:t xml:space="preserve"> </w:t>
      </w:r>
      <w:proofErr w:type="gramStart"/>
      <w:r w:rsidRPr="007A4BF2">
        <w:rPr>
          <w:rFonts w:ascii="Arial" w:hAnsi="Arial" w:cs="Arial"/>
          <w:i/>
          <w:sz w:val="20"/>
          <w:szCs w:val="20"/>
        </w:rPr>
        <w:t>Teaching of Psychology</w:t>
      </w:r>
      <w:r w:rsidR="007A4BF2" w:rsidRPr="007A4BF2">
        <w:rPr>
          <w:rFonts w:ascii="Arial" w:hAnsi="Arial" w:cs="Arial"/>
          <w:sz w:val="20"/>
          <w:szCs w:val="20"/>
        </w:rPr>
        <w:t>, 38(3), pp.</w:t>
      </w:r>
      <w:r w:rsidRPr="007A4BF2">
        <w:rPr>
          <w:rFonts w:ascii="Arial" w:hAnsi="Arial" w:cs="Arial"/>
          <w:sz w:val="20"/>
          <w:szCs w:val="20"/>
        </w:rPr>
        <w:t xml:space="preserve"> 173-179.</w:t>
      </w:r>
      <w:proofErr w:type="gramEnd"/>
    </w:p>
    <w:p w:rsidR="000407CE" w:rsidRPr="005163CB" w:rsidRDefault="009829AE" w:rsidP="00234E39">
      <w:pPr>
        <w:pStyle w:val="NoSpacing"/>
        <w:spacing w:line="480" w:lineRule="auto"/>
        <w:ind w:left="567" w:hanging="567"/>
        <w:jc w:val="both"/>
        <w:rPr>
          <w:rFonts w:ascii="Arial" w:hAnsi="Arial" w:cs="Arial"/>
          <w:sz w:val="20"/>
          <w:szCs w:val="20"/>
        </w:rPr>
      </w:pPr>
      <w:proofErr w:type="gramStart"/>
      <w:r w:rsidRPr="005163CB">
        <w:rPr>
          <w:rFonts w:ascii="Arial" w:hAnsi="Arial" w:cs="Arial"/>
          <w:sz w:val="20"/>
          <w:szCs w:val="20"/>
        </w:rPr>
        <w:lastRenderedPageBreak/>
        <w:t>Newman</w:t>
      </w:r>
      <w:r w:rsidR="005163CB" w:rsidRPr="005163CB">
        <w:rPr>
          <w:rFonts w:ascii="Arial" w:hAnsi="Arial" w:cs="Arial"/>
          <w:sz w:val="20"/>
          <w:szCs w:val="20"/>
        </w:rPr>
        <w:t>,</w:t>
      </w:r>
      <w:r w:rsidRPr="005163CB">
        <w:rPr>
          <w:rFonts w:ascii="Arial" w:hAnsi="Arial" w:cs="Arial"/>
          <w:sz w:val="20"/>
          <w:szCs w:val="20"/>
        </w:rPr>
        <w:t xml:space="preserve"> F</w:t>
      </w:r>
      <w:r w:rsidR="005163CB" w:rsidRPr="005163CB">
        <w:rPr>
          <w:rFonts w:ascii="Arial" w:hAnsi="Arial" w:cs="Arial"/>
          <w:sz w:val="20"/>
          <w:szCs w:val="20"/>
        </w:rPr>
        <w:t>.</w:t>
      </w:r>
      <w:r w:rsidRPr="005163CB">
        <w:rPr>
          <w:rFonts w:ascii="Arial" w:hAnsi="Arial" w:cs="Arial"/>
          <w:sz w:val="20"/>
          <w:szCs w:val="20"/>
        </w:rPr>
        <w:t xml:space="preserve"> and Scurry</w:t>
      </w:r>
      <w:r w:rsidR="005163CB" w:rsidRPr="005163CB">
        <w:rPr>
          <w:rFonts w:ascii="Arial" w:hAnsi="Arial" w:cs="Arial"/>
          <w:sz w:val="20"/>
          <w:szCs w:val="20"/>
        </w:rPr>
        <w:t>,</w:t>
      </w:r>
      <w:r w:rsidRPr="005163CB">
        <w:rPr>
          <w:rFonts w:ascii="Arial" w:hAnsi="Arial" w:cs="Arial"/>
          <w:sz w:val="20"/>
          <w:szCs w:val="20"/>
        </w:rPr>
        <w:t xml:space="preserve"> J</w:t>
      </w:r>
      <w:r w:rsidR="005163CB" w:rsidRPr="005163CB">
        <w:rPr>
          <w:rFonts w:ascii="Arial" w:hAnsi="Arial" w:cs="Arial"/>
          <w:sz w:val="20"/>
          <w:szCs w:val="20"/>
        </w:rPr>
        <w:t xml:space="preserve">. </w:t>
      </w:r>
      <w:r w:rsidRPr="005163CB">
        <w:rPr>
          <w:rFonts w:ascii="Arial" w:hAnsi="Arial" w:cs="Arial"/>
          <w:sz w:val="20"/>
          <w:szCs w:val="20"/>
        </w:rPr>
        <w:t>E</w:t>
      </w:r>
      <w:r w:rsidR="005163CB" w:rsidRPr="005163CB">
        <w:rPr>
          <w:rFonts w:ascii="Arial" w:hAnsi="Arial" w:cs="Arial"/>
          <w:sz w:val="20"/>
          <w:szCs w:val="20"/>
        </w:rPr>
        <w:t>.</w:t>
      </w:r>
      <w:r w:rsidRPr="005163CB">
        <w:rPr>
          <w:rFonts w:ascii="Arial" w:hAnsi="Arial" w:cs="Arial"/>
          <w:sz w:val="20"/>
          <w:szCs w:val="20"/>
        </w:rPr>
        <w:t xml:space="preserve"> (2015) </w:t>
      </w:r>
      <w:r w:rsidR="005163CB" w:rsidRPr="005163CB">
        <w:rPr>
          <w:rFonts w:ascii="Arial" w:hAnsi="Arial" w:cs="Arial"/>
          <w:sz w:val="20"/>
          <w:szCs w:val="20"/>
        </w:rPr>
        <w:t>‘</w:t>
      </w:r>
      <w:r w:rsidRPr="005163CB">
        <w:rPr>
          <w:rFonts w:ascii="Arial" w:hAnsi="Arial" w:cs="Arial"/>
          <w:sz w:val="20"/>
          <w:szCs w:val="20"/>
        </w:rPr>
        <w:t>Higher education and the digital rapids</w:t>
      </w:r>
      <w:r w:rsidR="005163CB" w:rsidRPr="005163CB">
        <w:rPr>
          <w:rFonts w:ascii="Arial" w:hAnsi="Arial" w:cs="Arial"/>
          <w:sz w:val="20"/>
          <w:szCs w:val="20"/>
        </w:rPr>
        <w:t>’</w:t>
      </w:r>
      <w:r w:rsidRPr="005163CB">
        <w:rPr>
          <w:rFonts w:ascii="Arial" w:hAnsi="Arial" w:cs="Arial"/>
          <w:sz w:val="20"/>
          <w:szCs w:val="20"/>
        </w:rPr>
        <w:t>.</w:t>
      </w:r>
      <w:proofErr w:type="gramEnd"/>
      <w:r w:rsidRPr="005163CB">
        <w:rPr>
          <w:rFonts w:ascii="Arial" w:hAnsi="Arial" w:cs="Arial"/>
          <w:sz w:val="20"/>
          <w:szCs w:val="20"/>
        </w:rPr>
        <w:t xml:space="preserve"> </w:t>
      </w:r>
      <w:r w:rsidRPr="005163CB">
        <w:rPr>
          <w:rFonts w:ascii="Arial" w:hAnsi="Arial" w:cs="Arial"/>
          <w:i/>
          <w:sz w:val="20"/>
          <w:szCs w:val="20"/>
        </w:rPr>
        <w:t>International Higher Education</w:t>
      </w:r>
      <w:r w:rsidR="005163CB" w:rsidRPr="005163CB">
        <w:rPr>
          <w:rFonts w:ascii="Arial" w:hAnsi="Arial" w:cs="Arial"/>
          <w:sz w:val="20"/>
          <w:szCs w:val="20"/>
        </w:rPr>
        <w:t>, 26, pp.</w:t>
      </w:r>
      <w:r w:rsidRPr="005163CB">
        <w:rPr>
          <w:rFonts w:ascii="Arial" w:hAnsi="Arial" w:cs="Arial"/>
          <w:sz w:val="20"/>
          <w:szCs w:val="20"/>
        </w:rPr>
        <w:t xml:space="preserve"> 13-14.</w:t>
      </w:r>
    </w:p>
    <w:p w:rsidR="000407CE" w:rsidRPr="005163CB" w:rsidRDefault="000407CE" w:rsidP="00234E39">
      <w:pPr>
        <w:pStyle w:val="NoSpacing"/>
        <w:spacing w:line="480" w:lineRule="auto"/>
        <w:ind w:left="567" w:hanging="567"/>
        <w:jc w:val="both"/>
        <w:rPr>
          <w:rFonts w:ascii="Arial" w:hAnsi="Arial" w:cs="Arial"/>
          <w:sz w:val="20"/>
          <w:szCs w:val="20"/>
        </w:rPr>
      </w:pPr>
      <w:proofErr w:type="gramStart"/>
      <w:r w:rsidRPr="005163CB">
        <w:rPr>
          <w:rFonts w:ascii="Arial" w:hAnsi="Arial" w:cs="Arial"/>
          <w:sz w:val="20"/>
          <w:szCs w:val="20"/>
        </w:rPr>
        <w:t>Parkin</w:t>
      </w:r>
      <w:r w:rsidR="005163CB" w:rsidRPr="005163CB">
        <w:rPr>
          <w:rFonts w:ascii="Arial" w:hAnsi="Arial" w:cs="Arial"/>
          <w:sz w:val="20"/>
          <w:szCs w:val="20"/>
        </w:rPr>
        <w:t>,</w:t>
      </w:r>
      <w:r w:rsidRPr="005163CB">
        <w:rPr>
          <w:rFonts w:ascii="Arial" w:hAnsi="Arial" w:cs="Arial"/>
          <w:sz w:val="20"/>
          <w:szCs w:val="20"/>
        </w:rPr>
        <w:t xml:space="preserve"> H</w:t>
      </w:r>
      <w:r w:rsidR="005163CB" w:rsidRPr="005163CB">
        <w:rPr>
          <w:rFonts w:ascii="Arial" w:hAnsi="Arial" w:cs="Arial"/>
          <w:sz w:val="20"/>
          <w:szCs w:val="20"/>
        </w:rPr>
        <w:t xml:space="preserve">. </w:t>
      </w:r>
      <w:r w:rsidRPr="005163CB">
        <w:rPr>
          <w:rFonts w:ascii="Arial" w:hAnsi="Arial" w:cs="Arial"/>
          <w:sz w:val="20"/>
          <w:szCs w:val="20"/>
        </w:rPr>
        <w:t>J</w:t>
      </w:r>
      <w:r w:rsidR="005163CB" w:rsidRPr="005163CB">
        <w:rPr>
          <w:rFonts w:ascii="Arial" w:hAnsi="Arial" w:cs="Arial"/>
          <w:sz w:val="20"/>
          <w:szCs w:val="20"/>
        </w:rPr>
        <w:t>.</w:t>
      </w:r>
      <w:r w:rsidRPr="005163CB">
        <w:rPr>
          <w:rFonts w:ascii="Arial" w:hAnsi="Arial" w:cs="Arial"/>
          <w:sz w:val="20"/>
          <w:szCs w:val="20"/>
        </w:rPr>
        <w:t xml:space="preserve">, </w:t>
      </w:r>
      <w:proofErr w:type="spellStart"/>
      <w:r w:rsidRPr="005163CB">
        <w:rPr>
          <w:rFonts w:ascii="Arial" w:hAnsi="Arial" w:cs="Arial"/>
          <w:sz w:val="20"/>
          <w:szCs w:val="20"/>
        </w:rPr>
        <w:t>Hepplestone</w:t>
      </w:r>
      <w:proofErr w:type="spellEnd"/>
      <w:r w:rsidR="005163CB" w:rsidRPr="005163CB">
        <w:rPr>
          <w:rFonts w:ascii="Arial" w:hAnsi="Arial" w:cs="Arial"/>
          <w:sz w:val="20"/>
          <w:szCs w:val="20"/>
        </w:rPr>
        <w:t>,</w:t>
      </w:r>
      <w:r w:rsidRPr="005163CB">
        <w:rPr>
          <w:rFonts w:ascii="Arial" w:hAnsi="Arial" w:cs="Arial"/>
          <w:sz w:val="20"/>
          <w:szCs w:val="20"/>
        </w:rPr>
        <w:t xml:space="preserve"> S</w:t>
      </w:r>
      <w:r w:rsidR="005163CB" w:rsidRPr="005163CB">
        <w:rPr>
          <w:rFonts w:ascii="Arial" w:hAnsi="Arial" w:cs="Arial"/>
          <w:sz w:val="20"/>
          <w:szCs w:val="20"/>
        </w:rPr>
        <w:t>.</w:t>
      </w:r>
      <w:r w:rsidRPr="005163CB">
        <w:rPr>
          <w:rFonts w:ascii="Arial" w:hAnsi="Arial" w:cs="Arial"/>
          <w:sz w:val="20"/>
          <w:szCs w:val="20"/>
        </w:rPr>
        <w:t>, Holden</w:t>
      </w:r>
      <w:r w:rsidR="005163CB" w:rsidRPr="005163CB">
        <w:rPr>
          <w:rFonts w:ascii="Arial" w:hAnsi="Arial" w:cs="Arial"/>
          <w:sz w:val="20"/>
          <w:szCs w:val="20"/>
        </w:rPr>
        <w:t>,</w:t>
      </w:r>
      <w:r w:rsidRPr="005163CB">
        <w:rPr>
          <w:rFonts w:ascii="Arial" w:hAnsi="Arial" w:cs="Arial"/>
          <w:sz w:val="20"/>
          <w:szCs w:val="20"/>
        </w:rPr>
        <w:t xml:space="preserve"> G</w:t>
      </w:r>
      <w:r w:rsidR="005163CB" w:rsidRPr="005163CB">
        <w:rPr>
          <w:rFonts w:ascii="Arial" w:hAnsi="Arial" w:cs="Arial"/>
          <w:sz w:val="20"/>
          <w:szCs w:val="20"/>
        </w:rPr>
        <w:t>.</w:t>
      </w:r>
      <w:r w:rsidRPr="005163CB">
        <w:rPr>
          <w:rFonts w:ascii="Arial" w:hAnsi="Arial" w:cs="Arial"/>
          <w:sz w:val="20"/>
          <w:szCs w:val="20"/>
        </w:rPr>
        <w:t>, Irwin</w:t>
      </w:r>
      <w:r w:rsidR="005163CB" w:rsidRPr="005163CB">
        <w:rPr>
          <w:rFonts w:ascii="Arial" w:hAnsi="Arial" w:cs="Arial"/>
          <w:sz w:val="20"/>
          <w:szCs w:val="20"/>
        </w:rPr>
        <w:t>,</w:t>
      </w:r>
      <w:r w:rsidRPr="005163CB">
        <w:rPr>
          <w:rFonts w:ascii="Arial" w:hAnsi="Arial" w:cs="Arial"/>
          <w:sz w:val="20"/>
          <w:szCs w:val="20"/>
        </w:rPr>
        <w:t xml:space="preserve"> B</w:t>
      </w:r>
      <w:r w:rsidR="005163CB" w:rsidRPr="005163CB">
        <w:rPr>
          <w:rFonts w:ascii="Arial" w:hAnsi="Arial" w:cs="Arial"/>
          <w:sz w:val="20"/>
          <w:szCs w:val="20"/>
        </w:rPr>
        <w:t>.</w:t>
      </w:r>
      <w:r w:rsidRPr="005163CB">
        <w:rPr>
          <w:rFonts w:ascii="Arial" w:hAnsi="Arial" w:cs="Arial"/>
          <w:sz w:val="20"/>
          <w:szCs w:val="20"/>
        </w:rPr>
        <w:t xml:space="preserve"> and Thorpe</w:t>
      </w:r>
      <w:r w:rsidR="005163CB" w:rsidRPr="005163CB">
        <w:rPr>
          <w:rFonts w:ascii="Arial" w:hAnsi="Arial" w:cs="Arial"/>
          <w:sz w:val="20"/>
          <w:szCs w:val="20"/>
        </w:rPr>
        <w:t>,</w:t>
      </w:r>
      <w:r w:rsidRPr="005163CB">
        <w:rPr>
          <w:rFonts w:ascii="Arial" w:hAnsi="Arial" w:cs="Arial"/>
          <w:sz w:val="20"/>
          <w:szCs w:val="20"/>
        </w:rPr>
        <w:t xml:space="preserve"> L</w:t>
      </w:r>
      <w:r w:rsidR="005163CB" w:rsidRPr="005163CB">
        <w:rPr>
          <w:rFonts w:ascii="Arial" w:hAnsi="Arial" w:cs="Arial"/>
          <w:sz w:val="20"/>
          <w:szCs w:val="20"/>
        </w:rPr>
        <w:t>.</w:t>
      </w:r>
      <w:r w:rsidRPr="005163CB">
        <w:rPr>
          <w:rFonts w:ascii="Arial" w:hAnsi="Arial" w:cs="Arial"/>
          <w:sz w:val="20"/>
          <w:szCs w:val="20"/>
        </w:rPr>
        <w:t xml:space="preserve"> (2012) </w:t>
      </w:r>
      <w:r w:rsidR="005163CB" w:rsidRPr="005163CB">
        <w:rPr>
          <w:rFonts w:ascii="Arial" w:hAnsi="Arial" w:cs="Arial"/>
          <w:sz w:val="20"/>
          <w:szCs w:val="20"/>
        </w:rPr>
        <w:t>‘</w:t>
      </w:r>
      <w:r w:rsidRPr="005163CB">
        <w:rPr>
          <w:rFonts w:ascii="Arial" w:hAnsi="Arial" w:cs="Arial"/>
          <w:sz w:val="20"/>
          <w:szCs w:val="20"/>
        </w:rPr>
        <w:t>A role for technology in enhancing students’ engagement with feedback</w:t>
      </w:r>
      <w:r w:rsidR="005163CB" w:rsidRPr="005163CB">
        <w:rPr>
          <w:rFonts w:ascii="Arial" w:hAnsi="Arial" w:cs="Arial"/>
          <w:sz w:val="20"/>
          <w:szCs w:val="20"/>
        </w:rPr>
        <w:t>’</w:t>
      </w:r>
      <w:r w:rsidRPr="005163CB">
        <w:rPr>
          <w:rFonts w:ascii="Arial" w:hAnsi="Arial" w:cs="Arial"/>
          <w:sz w:val="20"/>
          <w:szCs w:val="20"/>
        </w:rPr>
        <w:t>.</w:t>
      </w:r>
      <w:proofErr w:type="gramEnd"/>
      <w:r w:rsidRPr="005163CB">
        <w:rPr>
          <w:rFonts w:ascii="Arial" w:hAnsi="Arial" w:cs="Arial"/>
          <w:sz w:val="20"/>
          <w:szCs w:val="20"/>
        </w:rPr>
        <w:t xml:space="preserve"> </w:t>
      </w:r>
      <w:r w:rsidRPr="005163CB">
        <w:rPr>
          <w:rFonts w:ascii="Arial" w:hAnsi="Arial" w:cs="Arial"/>
          <w:i/>
          <w:sz w:val="20"/>
          <w:szCs w:val="20"/>
        </w:rPr>
        <w:t>Assessment &amp; Evaluation in Higher Education</w:t>
      </w:r>
      <w:r w:rsidR="005163CB" w:rsidRPr="005163CB">
        <w:rPr>
          <w:rFonts w:ascii="Arial" w:hAnsi="Arial" w:cs="Arial"/>
          <w:sz w:val="20"/>
          <w:szCs w:val="20"/>
        </w:rPr>
        <w:t>, 37(8), pp.</w:t>
      </w:r>
      <w:r w:rsidRPr="005163CB">
        <w:rPr>
          <w:rFonts w:ascii="Arial" w:hAnsi="Arial" w:cs="Arial"/>
          <w:sz w:val="20"/>
          <w:szCs w:val="20"/>
        </w:rPr>
        <w:t xml:space="preserve"> 963-973.</w:t>
      </w:r>
    </w:p>
    <w:p w:rsidR="00DF25EF" w:rsidRPr="005163CB" w:rsidRDefault="00DF25EF" w:rsidP="00234E39">
      <w:pPr>
        <w:pStyle w:val="NoSpacing"/>
        <w:spacing w:line="480" w:lineRule="auto"/>
        <w:ind w:left="567" w:hanging="567"/>
        <w:jc w:val="both"/>
        <w:rPr>
          <w:rFonts w:ascii="Arial" w:hAnsi="Arial" w:cs="Arial"/>
          <w:sz w:val="20"/>
          <w:szCs w:val="20"/>
        </w:rPr>
      </w:pPr>
      <w:proofErr w:type="gramStart"/>
      <w:r w:rsidRPr="005163CB">
        <w:rPr>
          <w:rFonts w:ascii="Arial" w:hAnsi="Arial" w:cs="Arial"/>
          <w:sz w:val="20"/>
          <w:szCs w:val="20"/>
        </w:rPr>
        <w:t>Pellegrino</w:t>
      </w:r>
      <w:r w:rsidR="005163CB" w:rsidRPr="005163CB">
        <w:rPr>
          <w:rFonts w:ascii="Arial" w:hAnsi="Arial" w:cs="Arial"/>
          <w:sz w:val="20"/>
          <w:szCs w:val="20"/>
        </w:rPr>
        <w:t>,</w:t>
      </w:r>
      <w:r w:rsidRPr="005163CB">
        <w:rPr>
          <w:rFonts w:ascii="Arial" w:hAnsi="Arial" w:cs="Arial"/>
          <w:sz w:val="20"/>
          <w:szCs w:val="20"/>
        </w:rPr>
        <w:t xml:space="preserve"> J</w:t>
      </w:r>
      <w:r w:rsidR="005163CB" w:rsidRPr="005163CB">
        <w:rPr>
          <w:rFonts w:ascii="Arial" w:hAnsi="Arial" w:cs="Arial"/>
          <w:sz w:val="20"/>
          <w:szCs w:val="20"/>
        </w:rPr>
        <w:t xml:space="preserve">. </w:t>
      </w:r>
      <w:r w:rsidRPr="005163CB">
        <w:rPr>
          <w:rFonts w:ascii="Arial" w:hAnsi="Arial" w:cs="Arial"/>
          <w:sz w:val="20"/>
          <w:szCs w:val="20"/>
        </w:rPr>
        <w:t>W</w:t>
      </w:r>
      <w:r w:rsidR="005163CB" w:rsidRPr="005163CB">
        <w:rPr>
          <w:rFonts w:ascii="Arial" w:hAnsi="Arial" w:cs="Arial"/>
          <w:sz w:val="20"/>
          <w:szCs w:val="20"/>
        </w:rPr>
        <w:t>.</w:t>
      </w:r>
      <w:r w:rsidRPr="005163CB">
        <w:rPr>
          <w:rFonts w:ascii="Arial" w:hAnsi="Arial" w:cs="Arial"/>
          <w:sz w:val="20"/>
          <w:szCs w:val="20"/>
        </w:rPr>
        <w:t xml:space="preserve"> and </w:t>
      </w:r>
      <w:proofErr w:type="spellStart"/>
      <w:r w:rsidRPr="005163CB">
        <w:rPr>
          <w:rFonts w:ascii="Arial" w:hAnsi="Arial" w:cs="Arial"/>
          <w:sz w:val="20"/>
          <w:szCs w:val="20"/>
        </w:rPr>
        <w:t>Quellmalz</w:t>
      </w:r>
      <w:proofErr w:type="spellEnd"/>
      <w:r w:rsidR="005163CB" w:rsidRPr="005163CB">
        <w:rPr>
          <w:rFonts w:ascii="Arial" w:hAnsi="Arial" w:cs="Arial"/>
          <w:sz w:val="20"/>
          <w:szCs w:val="20"/>
        </w:rPr>
        <w:t>,</w:t>
      </w:r>
      <w:r w:rsidRPr="005163CB">
        <w:rPr>
          <w:rFonts w:ascii="Arial" w:hAnsi="Arial" w:cs="Arial"/>
          <w:sz w:val="20"/>
          <w:szCs w:val="20"/>
        </w:rPr>
        <w:t xml:space="preserve"> E</w:t>
      </w:r>
      <w:r w:rsidR="005163CB" w:rsidRPr="005163CB">
        <w:rPr>
          <w:rFonts w:ascii="Arial" w:hAnsi="Arial" w:cs="Arial"/>
          <w:sz w:val="20"/>
          <w:szCs w:val="20"/>
        </w:rPr>
        <w:t xml:space="preserve">. </w:t>
      </w:r>
      <w:r w:rsidRPr="005163CB">
        <w:rPr>
          <w:rFonts w:ascii="Arial" w:hAnsi="Arial" w:cs="Arial"/>
          <w:sz w:val="20"/>
          <w:szCs w:val="20"/>
        </w:rPr>
        <w:t>S</w:t>
      </w:r>
      <w:r w:rsidR="005163CB" w:rsidRPr="005163CB">
        <w:rPr>
          <w:rFonts w:ascii="Arial" w:hAnsi="Arial" w:cs="Arial"/>
          <w:sz w:val="20"/>
          <w:szCs w:val="20"/>
        </w:rPr>
        <w:t>.</w:t>
      </w:r>
      <w:r w:rsidRPr="005163CB">
        <w:rPr>
          <w:rFonts w:ascii="Arial" w:hAnsi="Arial" w:cs="Arial"/>
          <w:sz w:val="20"/>
          <w:szCs w:val="20"/>
        </w:rPr>
        <w:t xml:space="preserve"> (2010) </w:t>
      </w:r>
      <w:r w:rsidR="005163CB" w:rsidRPr="005163CB">
        <w:rPr>
          <w:rFonts w:ascii="Arial" w:hAnsi="Arial" w:cs="Arial"/>
          <w:sz w:val="20"/>
          <w:szCs w:val="20"/>
        </w:rPr>
        <w:t>‘</w:t>
      </w:r>
      <w:r w:rsidRPr="005163CB">
        <w:rPr>
          <w:rFonts w:ascii="Arial" w:hAnsi="Arial" w:cs="Arial"/>
          <w:sz w:val="20"/>
          <w:szCs w:val="20"/>
        </w:rPr>
        <w:t>Perspectives on the integration of technology and assessment</w:t>
      </w:r>
      <w:r w:rsidR="005163CB" w:rsidRPr="005163CB">
        <w:rPr>
          <w:rFonts w:ascii="Arial" w:hAnsi="Arial" w:cs="Arial"/>
          <w:sz w:val="20"/>
          <w:szCs w:val="20"/>
        </w:rPr>
        <w:t>’</w:t>
      </w:r>
      <w:r w:rsidRPr="005163CB">
        <w:rPr>
          <w:rFonts w:ascii="Arial" w:hAnsi="Arial" w:cs="Arial"/>
          <w:sz w:val="20"/>
          <w:szCs w:val="20"/>
        </w:rPr>
        <w:t>.</w:t>
      </w:r>
      <w:proofErr w:type="gramEnd"/>
      <w:r w:rsidRPr="005163CB">
        <w:rPr>
          <w:rFonts w:ascii="Arial" w:hAnsi="Arial" w:cs="Arial"/>
          <w:sz w:val="20"/>
          <w:szCs w:val="20"/>
        </w:rPr>
        <w:t xml:space="preserve"> </w:t>
      </w:r>
      <w:r w:rsidRPr="005163CB">
        <w:rPr>
          <w:rFonts w:ascii="Arial" w:hAnsi="Arial" w:cs="Arial"/>
          <w:i/>
          <w:sz w:val="20"/>
          <w:szCs w:val="20"/>
        </w:rPr>
        <w:t>Journal of Research on Technology in Education</w:t>
      </w:r>
      <w:r w:rsidR="005163CB" w:rsidRPr="005163CB">
        <w:rPr>
          <w:rFonts w:ascii="Arial" w:hAnsi="Arial" w:cs="Arial"/>
          <w:sz w:val="20"/>
          <w:szCs w:val="20"/>
        </w:rPr>
        <w:t>, 43(2), pp.</w:t>
      </w:r>
      <w:r w:rsidRPr="005163CB">
        <w:rPr>
          <w:rFonts w:ascii="Arial" w:hAnsi="Arial" w:cs="Arial"/>
          <w:sz w:val="20"/>
          <w:szCs w:val="20"/>
        </w:rPr>
        <w:t xml:space="preserve"> 119-134.</w:t>
      </w:r>
    </w:p>
    <w:p w:rsidR="00C23138" w:rsidRPr="00F871C8" w:rsidRDefault="00C23138" w:rsidP="00234E39">
      <w:pPr>
        <w:pStyle w:val="NoSpacing"/>
        <w:spacing w:line="480" w:lineRule="auto"/>
        <w:ind w:left="567" w:hanging="567"/>
        <w:jc w:val="both"/>
        <w:rPr>
          <w:rFonts w:ascii="Arial" w:hAnsi="Arial" w:cs="Arial"/>
          <w:sz w:val="20"/>
          <w:szCs w:val="20"/>
        </w:rPr>
      </w:pPr>
      <w:proofErr w:type="spellStart"/>
      <w:proofErr w:type="gramStart"/>
      <w:r w:rsidRPr="00F871C8">
        <w:rPr>
          <w:rFonts w:ascii="Arial" w:hAnsi="Arial" w:cs="Arial"/>
          <w:sz w:val="20"/>
          <w:szCs w:val="20"/>
        </w:rPr>
        <w:t>Prensky</w:t>
      </w:r>
      <w:proofErr w:type="spellEnd"/>
      <w:r w:rsidR="00F871C8" w:rsidRPr="00F871C8">
        <w:rPr>
          <w:rFonts w:ascii="Arial" w:hAnsi="Arial" w:cs="Arial"/>
          <w:sz w:val="20"/>
          <w:szCs w:val="20"/>
        </w:rPr>
        <w:t>,</w:t>
      </w:r>
      <w:r w:rsidRPr="00F871C8">
        <w:rPr>
          <w:rFonts w:ascii="Arial" w:hAnsi="Arial" w:cs="Arial"/>
          <w:sz w:val="20"/>
          <w:szCs w:val="20"/>
        </w:rPr>
        <w:t xml:space="preserve"> M</w:t>
      </w:r>
      <w:r w:rsidR="00F871C8" w:rsidRPr="00F871C8">
        <w:rPr>
          <w:rFonts w:ascii="Arial" w:hAnsi="Arial" w:cs="Arial"/>
          <w:sz w:val="20"/>
          <w:szCs w:val="20"/>
        </w:rPr>
        <w:t>.</w:t>
      </w:r>
      <w:r w:rsidRPr="00F871C8">
        <w:rPr>
          <w:rFonts w:ascii="Arial" w:hAnsi="Arial" w:cs="Arial"/>
          <w:sz w:val="20"/>
          <w:szCs w:val="20"/>
        </w:rPr>
        <w:t xml:space="preserve"> (2012) </w:t>
      </w:r>
      <w:r w:rsidRPr="00F871C8">
        <w:rPr>
          <w:rFonts w:ascii="Arial" w:hAnsi="Arial" w:cs="Arial"/>
          <w:i/>
          <w:sz w:val="20"/>
          <w:szCs w:val="20"/>
        </w:rPr>
        <w:t>From Digital Natives to Digital Wisdom</w:t>
      </w:r>
      <w:r w:rsidRPr="00F871C8">
        <w:rPr>
          <w:rFonts w:ascii="Arial" w:hAnsi="Arial" w:cs="Arial"/>
          <w:sz w:val="20"/>
          <w:szCs w:val="20"/>
        </w:rPr>
        <w:t>.</w:t>
      </w:r>
      <w:proofErr w:type="gramEnd"/>
      <w:r w:rsidRPr="00F871C8">
        <w:rPr>
          <w:rFonts w:ascii="Arial" w:hAnsi="Arial" w:cs="Arial"/>
          <w:sz w:val="20"/>
          <w:szCs w:val="20"/>
        </w:rPr>
        <w:t xml:space="preserve"> Thousand Oaks: Corwin.</w:t>
      </w:r>
    </w:p>
    <w:p w:rsidR="00DF25EF" w:rsidRPr="00F871C8" w:rsidRDefault="00DF25EF" w:rsidP="00234E39">
      <w:pPr>
        <w:pStyle w:val="NoSpacing"/>
        <w:spacing w:line="480" w:lineRule="auto"/>
        <w:ind w:left="567" w:hanging="567"/>
        <w:jc w:val="both"/>
        <w:rPr>
          <w:rFonts w:ascii="Arial" w:hAnsi="Arial" w:cs="Arial"/>
          <w:sz w:val="20"/>
          <w:szCs w:val="20"/>
        </w:rPr>
      </w:pPr>
      <w:proofErr w:type="spellStart"/>
      <w:r w:rsidRPr="00F871C8">
        <w:rPr>
          <w:rFonts w:ascii="Arial" w:hAnsi="Arial" w:cs="Arial"/>
          <w:sz w:val="20"/>
          <w:szCs w:val="20"/>
        </w:rPr>
        <w:t>Sarkar</w:t>
      </w:r>
      <w:proofErr w:type="spellEnd"/>
      <w:r w:rsidR="00F871C8" w:rsidRPr="00F871C8">
        <w:rPr>
          <w:rFonts w:ascii="Arial" w:hAnsi="Arial" w:cs="Arial"/>
          <w:sz w:val="20"/>
          <w:szCs w:val="20"/>
        </w:rPr>
        <w:t>,</w:t>
      </w:r>
      <w:r w:rsidRPr="00F871C8">
        <w:rPr>
          <w:rFonts w:ascii="Arial" w:hAnsi="Arial" w:cs="Arial"/>
          <w:sz w:val="20"/>
          <w:szCs w:val="20"/>
        </w:rPr>
        <w:t xml:space="preserve"> S</w:t>
      </w:r>
      <w:r w:rsidR="00F871C8" w:rsidRPr="00F871C8">
        <w:rPr>
          <w:rFonts w:ascii="Arial" w:hAnsi="Arial" w:cs="Arial"/>
          <w:sz w:val="20"/>
          <w:szCs w:val="20"/>
        </w:rPr>
        <w:t>.</w:t>
      </w:r>
      <w:r w:rsidRPr="00F871C8">
        <w:rPr>
          <w:rFonts w:ascii="Arial" w:hAnsi="Arial" w:cs="Arial"/>
          <w:sz w:val="20"/>
          <w:szCs w:val="20"/>
        </w:rPr>
        <w:t xml:space="preserve"> (2012) </w:t>
      </w:r>
      <w:r w:rsidR="00F871C8" w:rsidRPr="00F871C8">
        <w:rPr>
          <w:rFonts w:ascii="Arial" w:hAnsi="Arial" w:cs="Arial"/>
          <w:sz w:val="20"/>
          <w:szCs w:val="20"/>
        </w:rPr>
        <w:t>‘</w:t>
      </w:r>
      <w:r w:rsidRPr="00F871C8">
        <w:rPr>
          <w:rFonts w:ascii="Arial" w:hAnsi="Arial" w:cs="Arial"/>
          <w:sz w:val="20"/>
          <w:szCs w:val="20"/>
        </w:rPr>
        <w:t>The role of information and communication technology (ICT) in higher education for the 21st century</w:t>
      </w:r>
      <w:r w:rsidR="00F871C8" w:rsidRPr="00F871C8">
        <w:rPr>
          <w:rFonts w:ascii="Arial" w:hAnsi="Arial" w:cs="Arial"/>
          <w:sz w:val="20"/>
          <w:szCs w:val="20"/>
        </w:rPr>
        <w:t>’</w:t>
      </w:r>
      <w:r w:rsidRPr="00F871C8">
        <w:rPr>
          <w:rFonts w:ascii="Arial" w:hAnsi="Arial" w:cs="Arial"/>
          <w:sz w:val="20"/>
          <w:szCs w:val="20"/>
        </w:rPr>
        <w:t xml:space="preserve">. </w:t>
      </w:r>
      <w:r w:rsidRPr="00F871C8">
        <w:rPr>
          <w:rFonts w:ascii="Arial" w:hAnsi="Arial" w:cs="Arial"/>
          <w:i/>
          <w:sz w:val="20"/>
          <w:szCs w:val="20"/>
        </w:rPr>
        <w:t>The Science Probe</w:t>
      </w:r>
      <w:r w:rsidR="00F871C8" w:rsidRPr="00F871C8">
        <w:rPr>
          <w:rFonts w:ascii="Arial" w:hAnsi="Arial" w:cs="Arial"/>
          <w:sz w:val="20"/>
          <w:szCs w:val="20"/>
        </w:rPr>
        <w:t>, 1(1), pp.</w:t>
      </w:r>
      <w:r w:rsidRPr="00F871C8">
        <w:rPr>
          <w:rFonts w:ascii="Arial" w:hAnsi="Arial" w:cs="Arial"/>
          <w:sz w:val="20"/>
          <w:szCs w:val="20"/>
        </w:rPr>
        <w:t xml:space="preserve"> 30-41.</w:t>
      </w:r>
    </w:p>
    <w:p w:rsidR="00561A04" w:rsidRPr="005640F7" w:rsidRDefault="007938C6" w:rsidP="00234E39">
      <w:pPr>
        <w:pStyle w:val="NoSpacing"/>
        <w:spacing w:line="480" w:lineRule="auto"/>
        <w:ind w:left="567" w:hanging="567"/>
        <w:jc w:val="both"/>
        <w:rPr>
          <w:rFonts w:ascii="Arial" w:hAnsi="Arial" w:cs="Arial"/>
          <w:sz w:val="20"/>
          <w:szCs w:val="20"/>
        </w:rPr>
      </w:pPr>
      <w:r w:rsidRPr="005640F7">
        <w:rPr>
          <w:rFonts w:ascii="Arial" w:hAnsi="Arial" w:cs="Arial"/>
          <w:sz w:val="20"/>
          <w:szCs w:val="20"/>
        </w:rPr>
        <w:t>Selwyn</w:t>
      </w:r>
      <w:r w:rsidR="005640F7" w:rsidRPr="005640F7">
        <w:rPr>
          <w:rFonts w:ascii="Arial" w:hAnsi="Arial" w:cs="Arial"/>
          <w:sz w:val="20"/>
          <w:szCs w:val="20"/>
        </w:rPr>
        <w:t>,</w:t>
      </w:r>
      <w:r w:rsidRPr="005640F7">
        <w:rPr>
          <w:rFonts w:ascii="Arial" w:hAnsi="Arial" w:cs="Arial"/>
          <w:sz w:val="20"/>
          <w:szCs w:val="20"/>
        </w:rPr>
        <w:t xml:space="preserve"> N</w:t>
      </w:r>
      <w:r w:rsidR="005640F7" w:rsidRPr="005640F7">
        <w:rPr>
          <w:rFonts w:ascii="Arial" w:hAnsi="Arial" w:cs="Arial"/>
          <w:sz w:val="20"/>
          <w:szCs w:val="20"/>
        </w:rPr>
        <w:t>.</w:t>
      </w:r>
      <w:r w:rsidRPr="005640F7">
        <w:rPr>
          <w:rFonts w:ascii="Arial" w:hAnsi="Arial" w:cs="Arial"/>
          <w:sz w:val="20"/>
          <w:szCs w:val="20"/>
        </w:rPr>
        <w:t xml:space="preserve"> (2016) </w:t>
      </w:r>
      <w:r w:rsidR="005640F7" w:rsidRPr="005640F7">
        <w:rPr>
          <w:rFonts w:ascii="Arial" w:hAnsi="Arial" w:cs="Arial"/>
          <w:sz w:val="20"/>
          <w:szCs w:val="20"/>
        </w:rPr>
        <w:t>‘</w:t>
      </w:r>
      <w:r w:rsidRPr="005640F7">
        <w:rPr>
          <w:rFonts w:ascii="Arial" w:hAnsi="Arial" w:cs="Arial"/>
          <w:sz w:val="20"/>
          <w:szCs w:val="20"/>
        </w:rPr>
        <w:t>Digital downsides: Exploring university students’ negative engagements with digital technology</w:t>
      </w:r>
      <w:r w:rsidR="005640F7" w:rsidRPr="005640F7">
        <w:rPr>
          <w:rFonts w:ascii="Arial" w:hAnsi="Arial" w:cs="Arial"/>
          <w:sz w:val="20"/>
          <w:szCs w:val="20"/>
        </w:rPr>
        <w:t>’</w:t>
      </w:r>
      <w:r w:rsidRPr="005640F7">
        <w:rPr>
          <w:rFonts w:ascii="Arial" w:hAnsi="Arial" w:cs="Arial"/>
          <w:sz w:val="20"/>
          <w:szCs w:val="20"/>
        </w:rPr>
        <w:t xml:space="preserve">. </w:t>
      </w:r>
      <w:proofErr w:type="gramStart"/>
      <w:r w:rsidRPr="005640F7">
        <w:rPr>
          <w:rFonts w:ascii="Arial" w:hAnsi="Arial" w:cs="Arial"/>
          <w:i/>
          <w:sz w:val="20"/>
          <w:szCs w:val="20"/>
        </w:rPr>
        <w:t>Teaching in Higher Education</w:t>
      </w:r>
      <w:r w:rsidR="005640F7" w:rsidRPr="005640F7">
        <w:rPr>
          <w:rFonts w:ascii="Arial" w:hAnsi="Arial" w:cs="Arial"/>
          <w:sz w:val="20"/>
          <w:szCs w:val="20"/>
        </w:rPr>
        <w:t>, 21(8), pp.</w:t>
      </w:r>
      <w:r w:rsidRPr="005640F7">
        <w:rPr>
          <w:rFonts w:ascii="Arial" w:hAnsi="Arial" w:cs="Arial"/>
          <w:sz w:val="20"/>
          <w:szCs w:val="20"/>
        </w:rPr>
        <w:t xml:space="preserve"> 1006-1021.</w:t>
      </w:r>
      <w:proofErr w:type="gramEnd"/>
    </w:p>
    <w:p w:rsidR="00B42C44" w:rsidRPr="005640F7" w:rsidRDefault="00561A04" w:rsidP="00234E39">
      <w:pPr>
        <w:pStyle w:val="NoSpacing"/>
        <w:spacing w:line="480" w:lineRule="auto"/>
        <w:ind w:left="567" w:hanging="567"/>
        <w:jc w:val="both"/>
        <w:rPr>
          <w:rFonts w:ascii="Arial" w:hAnsi="Arial" w:cs="Arial"/>
          <w:sz w:val="20"/>
          <w:szCs w:val="20"/>
        </w:rPr>
      </w:pPr>
      <w:r w:rsidRPr="005640F7">
        <w:rPr>
          <w:rFonts w:ascii="Arial" w:hAnsi="Arial" w:cs="Arial"/>
          <w:sz w:val="20"/>
          <w:szCs w:val="20"/>
        </w:rPr>
        <w:t>Shaw</w:t>
      </w:r>
      <w:r w:rsidR="005640F7" w:rsidRPr="005640F7">
        <w:rPr>
          <w:rFonts w:ascii="Arial" w:hAnsi="Arial" w:cs="Arial"/>
          <w:sz w:val="20"/>
          <w:szCs w:val="20"/>
        </w:rPr>
        <w:t>,</w:t>
      </w:r>
      <w:r w:rsidRPr="005640F7">
        <w:rPr>
          <w:rFonts w:ascii="Arial" w:hAnsi="Arial" w:cs="Arial"/>
          <w:sz w:val="20"/>
          <w:szCs w:val="20"/>
        </w:rPr>
        <w:t xml:space="preserve"> S</w:t>
      </w:r>
      <w:r w:rsidR="005640F7" w:rsidRPr="005640F7">
        <w:rPr>
          <w:rFonts w:ascii="Arial" w:hAnsi="Arial" w:cs="Arial"/>
          <w:sz w:val="20"/>
          <w:szCs w:val="20"/>
        </w:rPr>
        <w:t>.</w:t>
      </w:r>
      <w:r w:rsidRPr="005640F7">
        <w:rPr>
          <w:rFonts w:ascii="Arial" w:hAnsi="Arial" w:cs="Arial"/>
          <w:sz w:val="20"/>
          <w:szCs w:val="20"/>
        </w:rPr>
        <w:t xml:space="preserve"> (2008) </w:t>
      </w:r>
      <w:r w:rsidR="005640F7" w:rsidRPr="005640F7">
        <w:rPr>
          <w:rFonts w:ascii="Arial" w:hAnsi="Arial" w:cs="Arial"/>
          <w:sz w:val="20"/>
          <w:szCs w:val="20"/>
        </w:rPr>
        <w:t>‘</w:t>
      </w:r>
      <w:r w:rsidRPr="005640F7">
        <w:rPr>
          <w:rFonts w:ascii="Arial" w:hAnsi="Arial" w:cs="Arial"/>
          <w:sz w:val="20"/>
          <w:szCs w:val="20"/>
        </w:rPr>
        <w:t>Essay marking on-screen: Implications for assessment validity</w:t>
      </w:r>
      <w:r w:rsidR="005640F7" w:rsidRPr="005640F7">
        <w:rPr>
          <w:rFonts w:ascii="Arial" w:hAnsi="Arial" w:cs="Arial"/>
          <w:sz w:val="20"/>
          <w:szCs w:val="20"/>
        </w:rPr>
        <w:t>’</w:t>
      </w:r>
      <w:r w:rsidRPr="005640F7">
        <w:rPr>
          <w:rFonts w:ascii="Arial" w:hAnsi="Arial" w:cs="Arial"/>
          <w:sz w:val="20"/>
          <w:szCs w:val="20"/>
        </w:rPr>
        <w:t xml:space="preserve">. </w:t>
      </w:r>
      <w:r w:rsidRPr="005640F7">
        <w:rPr>
          <w:rFonts w:ascii="Arial" w:hAnsi="Arial" w:cs="Arial"/>
          <w:i/>
          <w:sz w:val="20"/>
          <w:szCs w:val="20"/>
        </w:rPr>
        <w:t>E-Learning and Digital Media</w:t>
      </w:r>
      <w:r w:rsidR="005640F7" w:rsidRPr="005640F7">
        <w:rPr>
          <w:rFonts w:ascii="Arial" w:hAnsi="Arial" w:cs="Arial"/>
          <w:sz w:val="20"/>
          <w:szCs w:val="20"/>
        </w:rPr>
        <w:t>, 5(3), pp.</w:t>
      </w:r>
      <w:r w:rsidRPr="005640F7">
        <w:rPr>
          <w:rFonts w:ascii="Arial" w:hAnsi="Arial" w:cs="Arial"/>
          <w:sz w:val="20"/>
          <w:szCs w:val="20"/>
        </w:rPr>
        <w:t xml:space="preserve"> 256-274.</w:t>
      </w:r>
    </w:p>
    <w:p w:rsidR="00B42C44" w:rsidRPr="005640F7" w:rsidRDefault="00B42C44" w:rsidP="00234E39">
      <w:pPr>
        <w:pStyle w:val="NoSpacing"/>
        <w:spacing w:line="480" w:lineRule="auto"/>
        <w:ind w:left="567" w:hanging="567"/>
        <w:jc w:val="both"/>
        <w:rPr>
          <w:rFonts w:ascii="Arial" w:hAnsi="Arial" w:cs="Arial"/>
          <w:sz w:val="20"/>
          <w:szCs w:val="20"/>
        </w:rPr>
      </w:pPr>
      <w:proofErr w:type="spellStart"/>
      <w:r w:rsidRPr="005640F7">
        <w:rPr>
          <w:rFonts w:ascii="Arial" w:hAnsi="Arial" w:cs="Arial"/>
          <w:sz w:val="20"/>
          <w:szCs w:val="20"/>
        </w:rPr>
        <w:t>Timmis</w:t>
      </w:r>
      <w:proofErr w:type="spellEnd"/>
      <w:r w:rsidR="005640F7" w:rsidRPr="005640F7">
        <w:rPr>
          <w:rFonts w:ascii="Arial" w:hAnsi="Arial" w:cs="Arial"/>
          <w:sz w:val="20"/>
          <w:szCs w:val="20"/>
        </w:rPr>
        <w:t>,</w:t>
      </w:r>
      <w:r w:rsidRPr="005640F7">
        <w:rPr>
          <w:rFonts w:ascii="Arial" w:hAnsi="Arial" w:cs="Arial"/>
          <w:sz w:val="20"/>
          <w:szCs w:val="20"/>
        </w:rPr>
        <w:t xml:space="preserve"> S</w:t>
      </w:r>
      <w:r w:rsidR="005640F7" w:rsidRPr="005640F7">
        <w:rPr>
          <w:rFonts w:ascii="Arial" w:hAnsi="Arial" w:cs="Arial"/>
          <w:sz w:val="20"/>
          <w:szCs w:val="20"/>
        </w:rPr>
        <w:t>.</w:t>
      </w:r>
      <w:r w:rsidRPr="005640F7">
        <w:rPr>
          <w:rFonts w:ascii="Arial" w:hAnsi="Arial" w:cs="Arial"/>
          <w:sz w:val="20"/>
          <w:szCs w:val="20"/>
        </w:rPr>
        <w:t xml:space="preserve">, </w:t>
      </w:r>
      <w:proofErr w:type="spellStart"/>
      <w:r w:rsidRPr="005640F7">
        <w:rPr>
          <w:rFonts w:ascii="Arial" w:hAnsi="Arial" w:cs="Arial"/>
          <w:sz w:val="20"/>
          <w:szCs w:val="20"/>
        </w:rPr>
        <w:t>Broadfoot</w:t>
      </w:r>
      <w:proofErr w:type="spellEnd"/>
      <w:r w:rsidR="005640F7" w:rsidRPr="005640F7">
        <w:rPr>
          <w:rFonts w:ascii="Arial" w:hAnsi="Arial" w:cs="Arial"/>
          <w:sz w:val="20"/>
          <w:szCs w:val="20"/>
        </w:rPr>
        <w:t>,</w:t>
      </w:r>
      <w:r w:rsidRPr="005640F7">
        <w:rPr>
          <w:rFonts w:ascii="Arial" w:hAnsi="Arial" w:cs="Arial"/>
          <w:sz w:val="20"/>
          <w:szCs w:val="20"/>
        </w:rPr>
        <w:t xml:space="preserve"> P</w:t>
      </w:r>
      <w:r w:rsidR="005640F7" w:rsidRPr="005640F7">
        <w:rPr>
          <w:rFonts w:ascii="Arial" w:hAnsi="Arial" w:cs="Arial"/>
          <w:sz w:val="20"/>
          <w:szCs w:val="20"/>
        </w:rPr>
        <w:t>.</w:t>
      </w:r>
      <w:r w:rsidRPr="005640F7">
        <w:rPr>
          <w:rFonts w:ascii="Arial" w:hAnsi="Arial" w:cs="Arial"/>
          <w:sz w:val="20"/>
          <w:szCs w:val="20"/>
        </w:rPr>
        <w:t>, Sutherland</w:t>
      </w:r>
      <w:r w:rsidR="005640F7" w:rsidRPr="005640F7">
        <w:rPr>
          <w:rFonts w:ascii="Arial" w:hAnsi="Arial" w:cs="Arial"/>
          <w:sz w:val="20"/>
          <w:szCs w:val="20"/>
        </w:rPr>
        <w:t>,</w:t>
      </w:r>
      <w:r w:rsidRPr="005640F7">
        <w:rPr>
          <w:rFonts w:ascii="Arial" w:hAnsi="Arial" w:cs="Arial"/>
          <w:sz w:val="20"/>
          <w:szCs w:val="20"/>
        </w:rPr>
        <w:t xml:space="preserve"> R</w:t>
      </w:r>
      <w:r w:rsidR="005640F7" w:rsidRPr="005640F7">
        <w:rPr>
          <w:rFonts w:ascii="Arial" w:hAnsi="Arial" w:cs="Arial"/>
          <w:sz w:val="20"/>
          <w:szCs w:val="20"/>
        </w:rPr>
        <w:t>.</w:t>
      </w:r>
      <w:r w:rsidRPr="005640F7">
        <w:rPr>
          <w:rFonts w:ascii="Arial" w:hAnsi="Arial" w:cs="Arial"/>
          <w:sz w:val="20"/>
          <w:szCs w:val="20"/>
        </w:rPr>
        <w:t xml:space="preserve"> and Oldfield</w:t>
      </w:r>
      <w:r w:rsidR="005640F7" w:rsidRPr="005640F7">
        <w:rPr>
          <w:rFonts w:ascii="Arial" w:hAnsi="Arial" w:cs="Arial"/>
          <w:sz w:val="20"/>
          <w:szCs w:val="20"/>
        </w:rPr>
        <w:t>,</w:t>
      </w:r>
      <w:r w:rsidRPr="005640F7">
        <w:rPr>
          <w:rFonts w:ascii="Arial" w:hAnsi="Arial" w:cs="Arial"/>
          <w:sz w:val="20"/>
          <w:szCs w:val="20"/>
        </w:rPr>
        <w:t xml:space="preserve"> A</w:t>
      </w:r>
      <w:r w:rsidR="005640F7" w:rsidRPr="005640F7">
        <w:rPr>
          <w:rFonts w:ascii="Arial" w:hAnsi="Arial" w:cs="Arial"/>
          <w:sz w:val="20"/>
          <w:szCs w:val="20"/>
        </w:rPr>
        <w:t>.</w:t>
      </w:r>
      <w:r w:rsidRPr="005640F7">
        <w:rPr>
          <w:rFonts w:ascii="Arial" w:hAnsi="Arial" w:cs="Arial"/>
          <w:sz w:val="20"/>
          <w:szCs w:val="20"/>
        </w:rPr>
        <w:t xml:space="preserve"> (2016) </w:t>
      </w:r>
      <w:r w:rsidR="005640F7" w:rsidRPr="005640F7">
        <w:rPr>
          <w:rFonts w:ascii="Arial" w:hAnsi="Arial" w:cs="Arial"/>
          <w:sz w:val="20"/>
          <w:szCs w:val="20"/>
        </w:rPr>
        <w:t>‘</w:t>
      </w:r>
      <w:proofErr w:type="gramStart"/>
      <w:r w:rsidRPr="005640F7">
        <w:rPr>
          <w:rFonts w:ascii="Arial" w:hAnsi="Arial" w:cs="Arial"/>
          <w:sz w:val="20"/>
          <w:szCs w:val="20"/>
        </w:rPr>
        <w:t>Rethinking</w:t>
      </w:r>
      <w:proofErr w:type="gramEnd"/>
      <w:r w:rsidRPr="005640F7">
        <w:rPr>
          <w:rFonts w:ascii="Arial" w:hAnsi="Arial" w:cs="Arial"/>
          <w:sz w:val="20"/>
          <w:szCs w:val="20"/>
        </w:rPr>
        <w:t xml:space="preserve"> assessment in a digital age: Opportunities, challenges and risks</w:t>
      </w:r>
      <w:r w:rsidR="005640F7" w:rsidRPr="005640F7">
        <w:rPr>
          <w:rFonts w:ascii="Arial" w:hAnsi="Arial" w:cs="Arial"/>
          <w:sz w:val="20"/>
          <w:szCs w:val="20"/>
        </w:rPr>
        <w:t>’</w:t>
      </w:r>
      <w:r w:rsidRPr="005640F7">
        <w:rPr>
          <w:rFonts w:ascii="Arial" w:hAnsi="Arial" w:cs="Arial"/>
          <w:sz w:val="20"/>
          <w:szCs w:val="20"/>
        </w:rPr>
        <w:t xml:space="preserve">. </w:t>
      </w:r>
      <w:r w:rsidRPr="005640F7">
        <w:rPr>
          <w:rFonts w:ascii="Arial" w:hAnsi="Arial" w:cs="Arial"/>
          <w:i/>
          <w:sz w:val="20"/>
          <w:szCs w:val="20"/>
        </w:rPr>
        <w:t>British Educational Research Journal</w:t>
      </w:r>
      <w:r w:rsidR="005640F7" w:rsidRPr="005640F7">
        <w:rPr>
          <w:rFonts w:ascii="Arial" w:hAnsi="Arial" w:cs="Arial"/>
          <w:sz w:val="20"/>
          <w:szCs w:val="20"/>
        </w:rPr>
        <w:t>, 42(3), pp.</w:t>
      </w:r>
      <w:r w:rsidRPr="005640F7">
        <w:rPr>
          <w:rFonts w:ascii="Arial" w:hAnsi="Arial" w:cs="Arial"/>
          <w:sz w:val="20"/>
          <w:szCs w:val="20"/>
        </w:rPr>
        <w:t xml:space="preserve"> 454-476.</w:t>
      </w:r>
    </w:p>
    <w:p w:rsidR="00B42C44" w:rsidRPr="005640F7" w:rsidRDefault="00B42C44" w:rsidP="00234E39">
      <w:pPr>
        <w:pStyle w:val="NoSpacing"/>
        <w:spacing w:line="480" w:lineRule="auto"/>
        <w:ind w:left="567" w:hanging="567"/>
        <w:jc w:val="both"/>
        <w:rPr>
          <w:rFonts w:ascii="Arial" w:hAnsi="Arial" w:cs="Arial"/>
          <w:sz w:val="20"/>
          <w:szCs w:val="20"/>
        </w:rPr>
      </w:pPr>
      <w:proofErr w:type="spellStart"/>
      <w:r w:rsidRPr="005640F7">
        <w:rPr>
          <w:rFonts w:ascii="Arial" w:hAnsi="Arial" w:cs="Arial"/>
          <w:sz w:val="20"/>
          <w:szCs w:val="20"/>
        </w:rPr>
        <w:t>Turney</w:t>
      </w:r>
      <w:proofErr w:type="spellEnd"/>
      <w:r w:rsidR="005640F7" w:rsidRPr="005640F7">
        <w:rPr>
          <w:rFonts w:ascii="Arial" w:hAnsi="Arial" w:cs="Arial"/>
          <w:sz w:val="20"/>
          <w:szCs w:val="20"/>
        </w:rPr>
        <w:t>,</w:t>
      </w:r>
      <w:r w:rsidRPr="005640F7">
        <w:rPr>
          <w:rFonts w:ascii="Arial" w:hAnsi="Arial" w:cs="Arial"/>
          <w:sz w:val="20"/>
          <w:szCs w:val="20"/>
        </w:rPr>
        <w:t xml:space="preserve"> C</w:t>
      </w:r>
      <w:r w:rsidR="005640F7" w:rsidRPr="005640F7">
        <w:rPr>
          <w:rFonts w:ascii="Arial" w:hAnsi="Arial" w:cs="Arial"/>
          <w:sz w:val="20"/>
          <w:szCs w:val="20"/>
        </w:rPr>
        <w:t xml:space="preserve">. </w:t>
      </w:r>
      <w:r w:rsidRPr="005640F7">
        <w:rPr>
          <w:rFonts w:ascii="Arial" w:hAnsi="Arial" w:cs="Arial"/>
          <w:sz w:val="20"/>
          <w:szCs w:val="20"/>
        </w:rPr>
        <w:t>S</w:t>
      </w:r>
      <w:r w:rsidR="005640F7" w:rsidRPr="005640F7">
        <w:rPr>
          <w:rFonts w:ascii="Arial" w:hAnsi="Arial" w:cs="Arial"/>
          <w:sz w:val="20"/>
          <w:szCs w:val="20"/>
        </w:rPr>
        <w:t xml:space="preserve">. </w:t>
      </w:r>
      <w:r w:rsidRPr="005640F7">
        <w:rPr>
          <w:rFonts w:ascii="Arial" w:hAnsi="Arial" w:cs="Arial"/>
          <w:sz w:val="20"/>
          <w:szCs w:val="20"/>
        </w:rPr>
        <w:t>M</w:t>
      </w:r>
      <w:r w:rsidR="005640F7" w:rsidRPr="005640F7">
        <w:rPr>
          <w:rFonts w:ascii="Arial" w:hAnsi="Arial" w:cs="Arial"/>
          <w:sz w:val="20"/>
          <w:szCs w:val="20"/>
        </w:rPr>
        <w:t>.</w:t>
      </w:r>
      <w:r w:rsidRPr="005640F7">
        <w:rPr>
          <w:rFonts w:ascii="Arial" w:hAnsi="Arial" w:cs="Arial"/>
          <w:sz w:val="20"/>
          <w:szCs w:val="20"/>
        </w:rPr>
        <w:t>, Robinson</w:t>
      </w:r>
      <w:r w:rsidR="005640F7" w:rsidRPr="005640F7">
        <w:rPr>
          <w:rFonts w:ascii="Arial" w:hAnsi="Arial" w:cs="Arial"/>
          <w:sz w:val="20"/>
          <w:szCs w:val="20"/>
        </w:rPr>
        <w:t>,</w:t>
      </w:r>
      <w:r w:rsidRPr="005640F7">
        <w:rPr>
          <w:rFonts w:ascii="Arial" w:hAnsi="Arial" w:cs="Arial"/>
          <w:sz w:val="20"/>
          <w:szCs w:val="20"/>
        </w:rPr>
        <w:t xml:space="preserve"> D</w:t>
      </w:r>
      <w:r w:rsidR="005640F7" w:rsidRPr="005640F7">
        <w:rPr>
          <w:rFonts w:ascii="Arial" w:hAnsi="Arial" w:cs="Arial"/>
          <w:sz w:val="20"/>
          <w:szCs w:val="20"/>
        </w:rPr>
        <w:t>.</w:t>
      </w:r>
      <w:r w:rsidRPr="005640F7">
        <w:rPr>
          <w:rFonts w:ascii="Arial" w:hAnsi="Arial" w:cs="Arial"/>
          <w:sz w:val="20"/>
          <w:szCs w:val="20"/>
        </w:rPr>
        <w:t>, Lee</w:t>
      </w:r>
      <w:r w:rsidR="005640F7" w:rsidRPr="005640F7">
        <w:rPr>
          <w:rFonts w:ascii="Arial" w:hAnsi="Arial" w:cs="Arial"/>
          <w:sz w:val="20"/>
          <w:szCs w:val="20"/>
        </w:rPr>
        <w:t>,</w:t>
      </w:r>
      <w:r w:rsidRPr="005640F7">
        <w:rPr>
          <w:rFonts w:ascii="Arial" w:hAnsi="Arial" w:cs="Arial"/>
          <w:sz w:val="20"/>
          <w:szCs w:val="20"/>
        </w:rPr>
        <w:t xml:space="preserve"> M</w:t>
      </w:r>
      <w:r w:rsidR="005640F7" w:rsidRPr="005640F7">
        <w:rPr>
          <w:rFonts w:ascii="Arial" w:hAnsi="Arial" w:cs="Arial"/>
          <w:sz w:val="20"/>
          <w:szCs w:val="20"/>
        </w:rPr>
        <w:t>.</w:t>
      </w:r>
      <w:r w:rsidRPr="005640F7">
        <w:rPr>
          <w:rFonts w:ascii="Arial" w:hAnsi="Arial" w:cs="Arial"/>
          <w:sz w:val="20"/>
          <w:szCs w:val="20"/>
        </w:rPr>
        <w:t xml:space="preserve"> and </w:t>
      </w:r>
      <w:proofErr w:type="spellStart"/>
      <w:r w:rsidRPr="005640F7">
        <w:rPr>
          <w:rFonts w:ascii="Arial" w:hAnsi="Arial" w:cs="Arial"/>
          <w:sz w:val="20"/>
          <w:szCs w:val="20"/>
        </w:rPr>
        <w:t>Soutar</w:t>
      </w:r>
      <w:proofErr w:type="spellEnd"/>
      <w:r w:rsidR="005640F7" w:rsidRPr="005640F7">
        <w:rPr>
          <w:rFonts w:ascii="Arial" w:hAnsi="Arial" w:cs="Arial"/>
          <w:sz w:val="20"/>
          <w:szCs w:val="20"/>
        </w:rPr>
        <w:t>,</w:t>
      </w:r>
      <w:r w:rsidRPr="005640F7">
        <w:rPr>
          <w:rFonts w:ascii="Arial" w:hAnsi="Arial" w:cs="Arial"/>
          <w:sz w:val="20"/>
          <w:szCs w:val="20"/>
        </w:rPr>
        <w:t xml:space="preserve"> A</w:t>
      </w:r>
      <w:r w:rsidR="005640F7" w:rsidRPr="005640F7">
        <w:rPr>
          <w:rFonts w:ascii="Arial" w:hAnsi="Arial" w:cs="Arial"/>
          <w:sz w:val="20"/>
          <w:szCs w:val="20"/>
        </w:rPr>
        <w:t>.</w:t>
      </w:r>
      <w:r w:rsidRPr="005640F7">
        <w:rPr>
          <w:rFonts w:ascii="Arial" w:hAnsi="Arial" w:cs="Arial"/>
          <w:sz w:val="20"/>
          <w:szCs w:val="20"/>
        </w:rPr>
        <w:t xml:space="preserve"> (2009) </w:t>
      </w:r>
      <w:r w:rsidR="005640F7" w:rsidRPr="005640F7">
        <w:rPr>
          <w:rFonts w:ascii="Arial" w:hAnsi="Arial" w:cs="Arial"/>
          <w:sz w:val="20"/>
          <w:szCs w:val="20"/>
        </w:rPr>
        <w:t>‘</w:t>
      </w:r>
      <w:r w:rsidRPr="005640F7">
        <w:rPr>
          <w:rFonts w:ascii="Arial" w:hAnsi="Arial" w:cs="Arial"/>
          <w:sz w:val="20"/>
          <w:szCs w:val="20"/>
        </w:rPr>
        <w:t>Using technology to direct learning in higher education: The way forward?</w:t>
      </w:r>
      <w:proofErr w:type="gramStart"/>
      <w:r w:rsidR="005640F7" w:rsidRPr="005640F7">
        <w:rPr>
          <w:rFonts w:ascii="Arial" w:hAnsi="Arial" w:cs="Arial"/>
          <w:sz w:val="20"/>
          <w:szCs w:val="20"/>
        </w:rPr>
        <w:t>’.</w:t>
      </w:r>
      <w:proofErr w:type="gramEnd"/>
      <w:r w:rsidRPr="005640F7">
        <w:rPr>
          <w:rFonts w:ascii="Arial" w:hAnsi="Arial" w:cs="Arial"/>
          <w:sz w:val="20"/>
          <w:szCs w:val="20"/>
        </w:rPr>
        <w:t xml:space="preserve"> </w:t>
      </w:r>
      <w:r w:rsidRPr="005640F7">
        <w:rPr>
          <w:rFonts w:ascii="Arial" w:hAnsi="Arial" w:cs="Arial"/>
          <w:i/>
          <w:sz w:val="20"/>
          <w:szCs w:val="20"/>
        </w:rPr>
        <w:t>Active Learning in Higher Education</w:t>
      </w:r>
      <w:r w:rsidR="005640F7" w:rsidRPr="005640F7">
        <w:rPr>
          <w:rFonts w:ascii="Arial" w:hAnsi="Arial" w:cs="Arial"/>
          <w:sz w:val="20"/>
          <w:szCs w:val="20"/>
        </w:rPr>
        <w:t>, 10(1), pp.</w:t>
      </w:r>
      <w:r w:rsidRPr="005640F7">
        <w:rPr>
          <w:rFonts w:ascii="Arial" w:hAnsi="Arial" w:cs="Arial"/>
          <w:sz w:val="20"/>
          <w:szCs w:val="20"/>
        </w:rPr>
        <w:t xml:space="preserve"> 71-83.</w:t>
      </w:r>
    </w:p>
    <w:p w:rsidR="00DF25EF" w:rsidRPr="00D815A7" w:rsidRDefault="00D509A2" w:rsidP="00234E39">
      <w:pPr>
        <w:pStyle w:val="NoSpacing"/>
        <w:spacing w:line="480" w:lineRule="auto"/>
        <w:ind w:left="567" w:hanging="567"/>
        <w:jc w:val="both"/>
        <w:rPr>
          <w:rFonts w:ascii="Arial" w:hAnsi="Arial" w:cs="Arial"/>
          <w:sz w:val="20"/>
          <w:szCs w:val="20"/>
        </w:rPr>
      </w:pPr>
      <w:r w:rsidRPr="00D815A7">
        <w:rPr>
          <w:rFonts w:ascii="Arial" w:hAnsi="Arial" w:cs="Arial"/>
          <w:sz w:val="20"/>
          <w:szCs w:val="20"/>
        </w:rPr>
        <w:t>Universities and Colleges Admissions Service (</w:t>
      </w:r>
      <w:r w:rsidR="001979B9" w:rsidRPr="00D815A7">
        <w:rPr>
          <w:rFonts w:ascii="Arial" w:hAnsi="Arial" w:cs="Arial"/>
          <w:sz w:val="20"/>
          <w:szCs w:val="20"/>
        </w:rPr>
        <w:t>UCAS</w:t>
      </w:r>
      <w:r w:rsidRPr="00D815A7">
        <w:rPr>
          <w:rFonts w:ascii="Arial" w:hAnsi="Arial" w:cs="Arial"/>
          <w:sz w:val="20"/>
          <w:szCs w:val="20"/>
        </w:rPr>
        <w:t>)</w:t>
      </w:r>
      <w:r w:rsidR="001979B9" w:rsidRPr="00D815A7">
        <w:rPr>
          <w:rFonts w:ascii="Arial" w:hAnsi="Arial" w:cs="Arial"/>
          <w:sz w:val="20"/>
          <w:szCs w:val="20"/>
        </w:rPr>
        <w:t xml:space="preserve"> (2017) </w:t>
      </w:r>
      <w:r w:rsidR="00FF14F1" w:rsidRPr="00D815A7">
        <w:rPr>
          <w:rFonts w:ascii="Arial" w:hAnsi="Arial" w:cs="Arial"/>
          <w:i/>
          <w:sz w:val="20"/>
          <w:szCs w:val="20"/>
        </w:rPr>
        <w:t>Mature Students’ G</w:t>
      </w:r>
      <w:r w:rsidR="001979B9" w:rsidRPr="00D815A7">
        <w:rPr>
          <w:rFonts w:ascii="Arial" w:hAnsi="Arial" w:cs="Arial"/>
          <w:i/>
          <w:sz w:val="20"/>
          <w:szCs w:val="20"/>
        </w:rPr>
        <w:t>uide</w:t>
      </w:r>
      <w:r w:rsidRPr="00D815A7">
        <w:rPr>
          <w:rFonts w:ascii="Arial" w:hAnsi="Arial" w:cs="Arial"/>
          <w:sz w:val="20"/>
          <w:szCs w:val="20"/>
        </w:rPr>
        <w:t>.</w:t>
      </w:r>
      <w:r w:rsidR="001979B9" w:rsidRPr="00D815A7">
        <w:rPr>
          <w:rFonts w:ascii="Arial" w:hAnsi="Arial" w:cs="Arial"/>
          <w:sz w:val="20"/>
          <w:szCs w:val="20"/>
        </w:rPr>
        <w:t xml:space="preserve"> Available at: </w:t>
      </w:r>
      <w:hyperlink r:id="rId9" w:history="1">
        <w:r w:rsidR="001979B9" w:rsidRPr="00D815A7">
          <w:rPr>
            <w:rStyle w:val="Hyperlink"/>
            <w:rFonts w:ascii="Arial" w:hAnsi="Arial" w:cs="Arial"/>
            <w:sz w:val="20"/>
            <w:szCs w:val="20"/>
          </w:rPr>
          <w:t>https://www.ucas.com/file/35436/download?token=2Q6wiw-L</w:t>
        </w:r>
      </w:hyperlink>
      <w:r w:rsidR="001979B9" w:rsidRPr="00D815A7">
        <w:rPr>
          <w:rFonts w:ascii="Arial" w:hAnsi="Arial" w:cs="Arial"/>
          <w:sz w:val="20"/>
          <w:szCs w:val="20"/>
        </w:rPr>
        <w:t xml:space="preserve"> </w:t>
      </w:r>
      <w:r w:rsidR="00D815A7" w:rsidRPr="00D815A7">
        <w:rPr>
          <w:rFonts w:ascii="Arial" w:hAnsi="Arial" w:cs="Arial"/>
          <w:sz w:val="20"/>
          <w:szCs w:val="20"/>
        </w:rPr>
        <w:t>(A</w:t>
      </w:r>
      <w:r w:rsidR="001979B9" w:rsidRPr="00D815A7">
        <w:rPr>
          <w:rFonts w:ascii="Arial" w:hAnsi="Arial" w:cs="Arial"/>
          <w:sz w:val="20"/>
          <w:szCs w:val="20"/>
        </w:rPr>
        <w:t>ccessed</w:t>
      </w:r>
      <w:r w:rsidR="00D815A7" w:rsidRPr="00D815A7">
        <w:rPr>
          <w:rFonts w:ascii="Arial" w:hAnsi="Arial" w:cs="Arial"/>
          <w:sz w:val="20"/>
          <w:szCs w:val="20"/>
        </w:rPr>
        <w:t>:</w:t>
      </w:r>
      <w:r w:rsidR="001979B9" w:rsidRPr="00D815A7">
        <w:rPr>
          <w:rFonts w:ascii="Arial" w:hAnsi="Arial" w:cs="Arial"/>
          <w:sz w:val="20"/>
          <w:szCs w:val="20"/>
        </w:rPr>
        <w:t xml:space="preserve"> 21 </w:t>
      </w:r>
      <w:r w:rsidR="00D1230B" w:rsidRPr="00D815A7">
        <w:rPr>
          <w:rFonts w:ascii="Arial" w:hAnsi="Arial" w:cs="Arial"/>
          <w:sz w:val="20"/>
          <w:szCs w:val="20"/>
        </w:rPr>
        <w:t>April</w:t>
      </w:r>
      <w:r w:rsidR="001979B9" w:rsidRPr="00D815A7">
        <w:rPr>
          <w:rFonts w:ascii="Arial" w:hAnsi="Arial" w:cs="Arial"/>
          <w:sz w:val="20"/>
          <w:szCs w:val="20"/>
        </w:rPr>
        <w:t xml:space="preserve"> 2017</w:t>
      </w:r>
      <w:r w:rsidRPr="00D815A7">
        <w:rPr>
          <w:rFonts w:ascii="Arial" w:hAnsi="Arial" w:cs="Arial"/>
          <w:sz w:val="20"/>
          <w:szCs w:val="20"/>
        </w:rPr>
        <w:t>)</w:t>
      </w:r>
      <w:r w:rsidR="001979B9" w:rsidRPr="00D815A7">
        <w:rPr>
          <w:rFonts w:ascii="Arial" w:hAnsi="Arial" w:cs="Arial"/>
          <w:sz w:val="20"/>
          <w:szCs w:val="20"/>
        </w:rPr>
        <w:t>.</w:t>
      </w:r>
    </w:p>
    <w:p w:rsidR="00D815A7" w:rsidRPr="0031323F" w:rsidRDefault="00DF25EF" w:rsidP="00D815A7">
      <w:pPr>
        <w:pStyle w:val="NoSpacing"/>
        <w:spacing w:line="480" w:lineRule="auto"/>
        <w:ind w:left="567" w:hanging="567"/>
        <w:jc w:val="both"/>
        <w:rPr>
          <w:rFonts w:ascii="Arial" w:hAnsi="Arial" w:cs="Arial"/>
          <w:sz w:val="20"/>
          <w:szCs w:val="20"/>
        </w:rPr>
      </w:pPr>
      <w:r w:rsidRPr="005640F7">
        <w:rPr>
          <w:rFonts w:ascii="Arial" w:hAnsi="Arial" w:cs="Arial"/>
          <w:sz w:val="20"/>
          <w:szCs w:val="20"/>
        </w:rPr>
        <w:t>Walker</w:t>
      </w:r>
      <w:r w:rsidR="005640F7" w:rsidRPr="005640F7">
        <w:rPr>
          <w:rFonts w:ascii="Arial" w:hAnsi="Arial" w:cs="Arial"/>
          <w:sz w:val="20"/>
          <w:szCs w:val="20"/>
        </w:rPr>
        <w:t>,</w:t>
      </w:r>
      <w:r w:rsidRPr="005640F7">
        <w:rPr>
          <w:rFonts w:ascii="Arial" w:hAnsi="Arial" w:cs="Arial"/>
          <w:sz w:val="20"/>
          <w:szCs w:val="20"/>
        </w:rPr>
        <w:t xml:space="preserve"> R</w:t>
      </w:r>
      <w:r w:rsidR="005640F7" w:rsidRPr="005640F7">
        <w:rPr>
          <w:rFonts w:ascii="Arial" w:hAnsi="Arial" w:cs="Arial"/>
          <w:sz w:val="20"/>
          <w:szCs w:val="20"/>
        </w:rPr>
        <w:t>.</w:t>
      </w:r>
      <w:r w:rsidRPr="005640F7">
        <w:rPr>
          <w:rFonts w:ascii="Arial" w:hAnsi="Arial" w:cs="Arial"/>
          <w:sz w:val="20"/>
          <w:szCs w:val="20"/>
        </w:rPr>
        <w:t>, Voce</w:t>
      </w:r>
      <w:r w:rsidR="005640F7" w:rsidRPr="005640F7">
        <w:rPr>
          <w:rFonts w:ascii="Arial" w:hAnsi="Arial" w:cs="Arial"/>
          <w:sz w:val="20"/>
          <w:szCs w:val="20"/>
        </w:rPr>
        <w:t>,</w:t>
      </w:r>
      <w:r w:rsidRPr="005640F7">
        <w:rPr>
          <w:rFonts w:ascii="Arial" w:hAnsi="Arial" w:cs="Arial"/>
          <w:sz w:val="20"/>
          <w:szCs w:val="20"/>
        </w:rPr>
        <w:t xml:space="preserve"> J</w:t>
      </w:r>
      <w:r w:rsidR="005640F7" w:rsidRPr="005640F7">
        <w:rPr>
          <w:rFonts w:ascii="Arial" w:hAnsi="Arial" w:cs="Arial"/>
          <w:sz w:val="20"/>
          <w:szCs w:val="20"/>
        </w:rPr>
        <w:t>.</w:t>
      </w:r>
      <w:r w:rsidRPr="005640F7">
        <w:rPr>
          <w:rFonts w:ascii="Arial" w:hAnsi="Arial" w:cs="Arial"/>
          <w:sz w:val="20"/>
          <w:szCs w:val="20"/>
        </w:rPr>
        <w:t xml:space="preserve"> and Ahmed</w:t>
      </w:r>
      <w:r w:rsidR="005640F7" w:rsidRPr="005640F7">
        <w:rPr>
          <w:rFonts w:ascii="Arial" w:hAnsi="Arial" w:cs="Arial"/>
          <w:sz w:val="20"/>
          <w:szCs w:val="20"/>
        </w:rPr>
        <w:t>,</w:t>
      </w:r>
      <w:r w:rsidRPr="005640F7">
        <w:rPr>
          <w:rFonts w:ascii="Arial" w:hAnsi="Arial" w:cs="Arial"/>
          <w:sz w:val="20"/>
          <w:szCs w:val="20"/>
        </w:rPr>
        <w:t xml:space="preserve"> J</w:t>
      </w:r>
      <w:r w:rsidR="005640F7" w:rsidRPr="005640F7">
        <w:rPr>
          <w:rFonts w:ascii="Arial" w:hAnsi="Arial" w:cs="Arial"/>
          <w:sz w:val="20"/>
          <w:szCs w:val="20"/>
        </w:rPr>
        <w:t>.</w:t>
      </w:r>
      <w:r w:rsidRPr="005640F7">
        <w:rPr>
          <w:rFonts w:ascii="Arial" w:hAnsi="Arial" w:cs="Arial"/>
          <w:sz w:val="20"/>
          <w:szCs w:val="20"/>
        </w:rPr>
        <w:t xml:space="preserve"> (2012) </w:t>
      </w:r>
      <w:r w:rsidRPr="005640F7">
        <w:rPr>
          <w:rFonts w:ascii="Arial" w:hAnsi="Arial" w:cs="Arial"/>
          <w:i/>
          <w:sz w:val="20"/>
          <w:szCs w:val="20"/>
        </w:rPr>
        <w:t>2012 Survey of Technology Enhanced Learning for Higher Education in the UK</w:t>
      </w:r>
      <w:r w:rsidRPr="005640F7">
        <w:rPr>
          <w:rFonts w:ascii="Arial" w:hAnsi="Arial" w:cs="Arial"/>
          <w:sz w:val="20"/>
          <w:szCs w:val="20"/>
        </w:rPr>
        <w:t>. Oxford: UCISA.</w:t>
      </w:r>
    </w:p>
    <w:sectPr w:rsidR="00D815A7" w:rsidRPr="0031323F" w:rsidSect="00D815A7">
      <w:headerReference w:type="default" r:id="rId10"/>
      <w:pgSz w:w="11906" w:h="16838" w:code="9"/>
      <w:pgMar w:top="1440" w:right="1440" w:bottom="1440" w:left="1440" w:header="709" w:footer="709" w:gutter="0"/>
      <w:lnNumType w:countBy="1" w:distance="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AD3" w:rsidRDefault="00FC5AD3" w:rsidP="00E57004">
      <w:r>
        <w:separator/>
      </w:r>
    </w:p>
  </w:endnote>
  <w:endnote w:type="continuationSeparator" w:id="0">
    <w:p w:rsidR="00FC5AD3" w:rsidRDefault="00FC5AD3" w:rsidP="00E5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AD3" w:rsidRDefault="00FC5AD3" w:rsidP="00E57004">
      <w:r>
        <w:separator/>
      </w:r>
    </w:p>
  </w:footnote>
  <w:footnote w:type="continuationSeparator" w:id="0">
    <w:p w:rsidR="00FC5AD3" w:rsidRDefault="00FC5AD3" w:rsidP="00E57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189643450"/>
      <w:docPartObj>
        <w:docPartGallery w:val="Page Numbers (Top of Page)"/>
        <w:docPartUnique/>
      </w:docPartObj>
    </w:sdtPr>
    <w:sdtEndPr>
      <w:rPr>
        <w:noProof/>
      </w:rPr>
    </w:sdtEndPr>
    <w:sdtContent>
      <w:p w:rsidR="00381908" w:rsidRPr="00381908" w:rsidRDefault="009442CB" w:rsidP="00381908">
        <w:pPr>
          <w:pStyle w:val="Header"/>
          <w:jc w:val="right"/>
          <w:rPr>
            <w:rFonts w:ascii="Arial" w:hAnsi="Arial" w:cs="Arial"/>
            <w:sz w:val="20"/>
            <w:szCs w:val="20"/>
          </w:rPr>
        </w:pPr>
        <w:r>
          <w:rPr>
            <w:rFonts w:ascii="Arial" w:hAnsi="Arial" w:cs="Arial"/>
            <w:sz w:val="20"/>
            <w:szCs w:val="20"/>
          </w:rPr>
          <w:t xml:space="preserve">EVALUATION OF </w:t>
        </w:r>
        <w:r w:rsidR="00381908" w:rsidRPr="00381908">
          <w:rPr>
            <w:rFonts w:ascii="Arial" w:hAnsi="Arial" w:cs="Arial"/>
            <w:sz w:val="20"/>
            <w:szCs w:val="20"/>
          </w:rPr>
          <w:t xml:space="preserve">ONLINE FEEDBACK TRAINING </w:t>
        </w:r>
        <w:r w:rsidR="00381908" w:rsidRPr="00381908">
          <w:rPr>
            <w:rFonts w:ascii="Arial" w:hAnsi="Arial" w:cs="Arial"/>
            <w:sz w:val="20"/>
            <w:szCs w:val="20"/>
          </w:rPr>
          <w:fldChar w:fldCharType="begin"/>
        </w:r>
        <w:r w:rsidR="00381908" w:rsidRPr="00381908">
          <w:rPr>
            <w:rFonts w:ascii="Arial" w:hAnsi="Arial" w:cs="Arial"/>
            <w:sz w:val="20"/>
            <w:szCs w:val="20"/>
          </w:rPr>
          <w:instrText xml:space="preserve"> PAGE   \* MERGEFORMAT </w:instrText>
        </w:r>
        <w:r w:rsidR="00381908" w:rsidRPr="00381908">
          <w:rPr>
            <w:rFonts w:ascii="Arial" w:hAnsi="Arial" w:cs="Arial"/>
            <w:sz w:val="20"/>
            <w:szCs w:val="20"/>
          </w:rPr>
          <w:fldChar w:fldCharType="separate"/>
        </w:r>
        <w:r w:rsidR="00211E0E">
          <w:rPr>
            <w:rFonts w:ascii="Arial" w:hAnsi="Arial" w:cs="Arial"/>
            <w:noProof/>
            <w:sz w:val="20"/>
            <w:szCs w:val="20"/>
          </w:rPr>
          <w:t>10</w:t>
        </w:r>
        <w:r w:rsidR="00381908" w:rsidRPr="00381908">
          <w:rPr>
            <w:rFonts w:ascii="Arial" w:hAnsi="Arial" w:cs="Arial"/>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070B34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92F67F6C"/>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1FA6954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7AA632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CC1C0C76"/>
    <w:lvl w:ilvl="0">
      <w:start w:val="1"/>
      <w:numFmt w:val="bullet"/>
      <w:lvlText w:val=""/>
      <w:lvlJc w:val="left"/>
      <w:pPr>
        <w:tabs>
          <w:tab w:val="num" w:pos="360"/>
        </w:tabs>
        <w:ind w:left="360" w:hanging="360"/>
      </w:pPr>
      <w:rPr>
        <w:rFonts w:ascii="Symbol" w:hAnsi="Symbol" w:hint="default"/>
      </w:rPr>
    </w:lvl>
  </w:abstractNum>
  <w:abstractNum w:abstractNumId="5">
    <w:nsid w:val="2F824C78"/>
    <w:multiLevelType w:val="hybridMultilevel"/>
    <w:tmpl w:val="904068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1F21F8"/>
    <w:multiLevelType w:val="hybridMultilevel"/>
    <w:tmpl w:val="EF0AD962"/>
    <w:lvl w:ilvl="0" w:tplc="0C241EA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B33221"/>
    <w:multiLevelType w:val="hybridMultilevel"/>
    <w:tmpl w:val="A928F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704899"/>
    <w:multiLevelType w:val="multilevel"/>
    <w:tmpl w:val="BD38A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B9064DC"/>
    <w:multiLevelType w:val="multilevel"/>
    <w:tmpl w:val="2A22B54A"/>
    <w:lvl w:ilvl="0">
      <w:start w:val="3"/>
      <w:numFmt w:val="decimal"/>
      <w:lvlText w:val="%1"/>
      <w:lvlJc w:val="left"/>
      <w:pPr>
        <w:ind w:left="360" w:hanging="360"/>
      </w:pPr>
      <w:rPr>
        <w:rFonts w:hint="default"/>
        <w:b w:val="0"/>
        <w:i/>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0">
    <w:nsid w:val="5BEB07A6"/>
    <w:multiLevelType w:val="hybridMultilevel"/>
    <w:tmpl w:val="484E4758"/>
    <w:lvl w:ilvl="0" w:tplc="057E14B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C55691"/>
    <w:multiLevelType w:val="hybridMultilevel"/>
    <w:tmpl w:val="EC309D64"/>
    <w:lvl w:ilvl="0" w:tplc="AAA281F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103E63"/>
    <w:multiLevelType w:val="hybridMultilevel"/>
    <w:tmpl w:val="5A7A8624"/>
    <w:lvl w:ilvl="0" w:tplc="7A8CD02E">
      <w:start w:val="1"/>
      <w:numFmt w:val="bullet"/>
      <w:lvlText w:val="•"/>
      <w:lvlJc w:val="left"/>
      <w:pPr>
        <w:tabs>
          <w:tab w:val="num" w:pos="720"/>
        </w:tabs>
        <w:ind w:left="720" w:hanging="360"/>
      </w:pPr>
      <w:rPr>
        <w:rFonts w:ascii="Times New Roman" w:hAnsi="Times New Roman" w:hint="default"/>
      </w:rPr>
    </w:lvl>
    <w:lvl w:ilvl="1" w:tplc="22965B96" w:tentative="1">
      <w:start w:val="1"/>
      <w:numFmt w:val="bullet"/>
      <w:lvlText w:val="•"/>
      <w:lvlJc w:val="left"/>
      <w:pPr>
        <w:tabs>
          <w:tab w:val="num" w:pos="1440"/>
        </w:tabs>
        <w:ind w:left="1440" w:hanging="360"/>
      </w:pPr>
      <w:rPr>
        <w:rFonts w:ascii="Times New Roman" w:hAnsi="Times New Roman" w:hint="default"/>
      </w:rPr>
    </w:lvl>
    <w:lvl w:ilvl="2" w:tplc="EA4ADF80" w:tentative="1">
      <w:start w:val="1"/>
      <w:numFmt w:val="bullet"/>
      <w:lvlText w:val="•"/>
      <w:lvlJc w:val="left"/>
      <w:pPr>
        <w:tabs>
          <w:tab w:val="num" w:pos="2160"/>
        </w:tabs>
        <w:ind w:left="2160" w:hanging="360"/>
      </w:pPr>
      <w:rPr>
        <w:rFonts w:ascii="Times New Roman" w:hAnsi="Times New Roman" w:hint="default"/>
      </w:rPr>
    </w:lvl>
    <w:lvl w:ilvl="3" w:tplc="DE4E1AD6" w:tentative="1">
      <w:start w:val="1"/>
      <w:numFmt w:val="bullet"/>
      <w:lvlText w:val="•"/>
      <w:lvlJc w:val="left"/>
      <w:pPr>
        <w:tabs>
          <w:tab w:val="num" w:pos="2880"/>
        </w:tabs>
        <w:ind w:left="2880" w:hanging="360"/>
      </w:pPr>
      <w:rPr>
        <w:rFonts w:ascii="Times New Roman" w:hAnsi="Times New Roman" w:hint="default"/>
      </w:rPr>
    </w:lvl>
    <w:lvl w:ilvl="4" w:tplc="C4581970" w:tentative="1">
      <w:start w:val="1"/>
      <w:numFmt w:val="bullet"/>
      <w:lvlText w:val="•"/>
      <w:lvlJc w:val="left"/>
      <w:pPr>
        <w:tabs>
          <w:tab w:val="num" w:pos="3600"/>
        </w:tabs>
        <w:ind w:left="3600" w:hanging="360"/>
      </w:pPr>
      <w:rPr>
        <w:rFonts w:ascii="Times New Roman" w:hAnsi="Times New Roman" w:hint="default"/>
      </w:rPr>
    </w:lvl>
    <w:lvl w:ilvl="5" w:tplc="3AE855BC" w:tentative="1">
      <w:start w:val="1"/>
      <w:numFmt w:val="bullet"/>
      <w:lvlText w:val="•"/>
      <w:lvlJc w:val="left"/>
      <w:pPr>
        <w:tabs>
          <w:tab w:val="num" w:pos="4320"/>
        </w:tabs>
        <w:ind w:left="4320" w:hanging="360"/>
      </w:pPr>
      <w:rPr>
        <w:rFonts w:ascii="Times New Roman" w:hAnsi="Times New Roman" w:hint="default"/>
      </w:rPr>
    </w:lvl>
    <w:lvl w:ilvl="6" w:tplc="9BF0D2AC" w:tentative="1">
      <w:start w:val="1"/>
      <w:numFmt w:val="bullet"/>
      <w:lvlText w:val="•"/>
      <w:lvlJc w:val="left"/>
      <w:pPr>
        <w:tabs>
          <w:tab w:val="num" w:pos="5040"/>
        </w:tabs>
        <w:ind w:left="5040" w:hanging="360"/>
      </w:pPr>
      <w:rPr>
        <w:rFonts w:ascii="Times New Roman" w:hAnsi="Times New Roman" w:hint="default"/>
      </w:rPr>
    </w:lvl>
    <w:lvl w:ilvl="7" w:tplc="90965FF2" w:tentative="1">
      <w:start w:val="1"/>
      <w:numFmt w:val="bullet"/>
      <w:lvlText w:val="•"/>
      <w:lvlJc w:val="left"/>
      <w:pPr>
        <w:tabs>
          <w:tab w:val="num" w:pos="5760"/>
        </w:tabs>
        <w:ind w:left="5760" w:hanging="360"/>
      </w:pPr>
      <w:rPr>
        <w:rFonts w:ascii="Times New Roman" w:hAnsi="Times New Roman" w:hint="default"/>
      </w:rPr>
    </w:lvl>
    <w:lvl w:ilvl="8" w:tplc="2A4CEAC4"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1"/>
  </w:num>
  <w:num w:numId="3">
    <w:abstractNumId w:val="10"/>
  </w:num>
  <w:num w:numId="4">
    <w:abstractNumId w:val="9"/>
  </w:num>
  <w:num w:numId="5">
    <w:abstractNumId w:val="8"/>
  </w:num>
  <w:num w:numId="6">
    <w:abstractNumId w:val="5"/>
  </w:num>
  <w:num w:numId="7">
    <w:abstractNumId w:val="6"/>
  </w:num>
  <w:num w:numId="8">
    <w:abstractNumId w:val="12"/>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E43"/>
    <w:rsid w:val="00001CD6"/>
    <w:rsid w:val="00023DBE"/>
    <w:rsid w:val="00033002"/>
    <w:rsid w:val="000407CE"/>
    <w:rsid w:val="000418FF"/>
    <w:rsid w:val="00054F27"/>
    <w:rsid w:val="0005751C"/>
    <w:rsid w:val="00064ACA"/>
    <w:rsid w:val="00092612"/>
    <w:rsid w:val="000964CE"/>
    <w:rsid w:val="000A014B"/>
    <w:rsid w:val="000A196A"/>
    <w:rsid w:val="000B218F"/>
    <w:rsid w:val="000B4AAA"/>
    <w:rsid w:val="000D3D8C"/>
    <w:rsid w:val="000E6A10"/>
    <w:rsid w:val="000F0402"/>
    <w:rsid w:val="000F0FDA"/>
    <w:rsid w:val="000F3A26"/>
    <w:rsid w:val="00107E52"/>
    <w:rsid w:val="00122649"/>
    <w:rsid w:val="00122FDB"/>
    <w:rsid w:val="0012604F"/>
    <w:rsid w:val="00142910"/>
    <w:rsid w:val="00171987"/>
    <w:rsid w:val="00186022"/>
    <w:rsid w:val="00191AD3"/>
    <w:rsid w:val="001979B9"/>
    <w:rsid w:val="001A4166"/>
    <w:rsid w:val="001C2C24"/>
    <w:rsid w:val="001D1FC1"/>
    <w:rsid w:val="001E772A"/>
    <w:rsid w:val="001F391C"/>
    <w:rsid w:val="002035DF"/>
    <w:rsid w:val="00211E0E"/>
    <w:rsid w:val="00224A40"/>
    <w:rsid w:val="00225FE2"/>
    <w:rsid w:val="00233DA5"/>
    <w:rsid w:val="00234E39"/>
    <w:rsid w:val="002374DF"/>
    <w:rsid w:val="00241F3E"/>
    <w:rsid w:val="00242963"/>
    <w:rsid w:val="00253204"/>
    <w:rsid w:val="002671C2"/>
    <w:rsid w:val="00267968"/>
    <w:rsid w:val="0028667B"/>
    <w:rsid w:val="002A4FA2"/>
    <w:rsid w:val="002C267F"/>
    <w:rsid w:val="002D6713"/>
    <w:rsid w:val="002F053C"/>
    <w:rsid w:val="002F6EA4"/>
    <w:rsid w:val="00301FDF"/>
    <w:rsid w:val="0031046C"/>
    <w:rsid w:val="003114CF"/>
    <w:rsid w:val="0031323F"/>
    <w:rsid w:val="0031347C"/>
    <w:rsid w:val="00336FD5"/>
    <w:rsid w:val="003666E0"/>
    <w:rsid w:val="00372165"/>
    <w:rsid w:val="00381908"/>
    <w:rsid w:val="003A3A1A"/>
    <w:rsid w:val="003A6281"/>
    <w:rsid w:val="003B43AE"/>
    <w:rsid w:val="003C4072"/>
    <w:rsid w:val="003D2BF6"/>
    <w:rsid w:val="003D5D70"/>
    <w:rsid w:val="003E36D3"/>
    <w:rsid w:val="003F0A6B"/>
    <w:rsid w:val="003F3E0E"/>
    <w:rsid w:val="00420B7C"/>
    <w:rsid w:val="00430E65"/>
    <w:rsid w:val="0045063A"/>
    <w:rsid w:val="00460AC4"/>
    <w:rsid w:val="00467C71"/>
    <w:rsid w:val="00483EFA"/>
    <w:rsid w:val="004869DF"/>
    <w:rsid w:val="004A6159"/>
    <w:rsid w:val="004C255E"/>
    <w:rsid w:val="004F736E"/>
    <w:rsid w:val="00502B20"/>
    <w:rsid w:val="00505B71"/>
    <w:rsid w:val="00514E8A"/>
    <w:rsid w:val="005163CB"/>
    <w:rsid w:val="00533A59"/>
    <w:rsid w:val="005500A7"/>
    <w:rsid w:val="00561A04"/>
    <w:rsid w:val="005640F7"/>
    <w:rsid w:val="0057417A"/>
    <w:rsid w:val="005808DE"/>
    <w:rsid w:val="00583EAE"/>
    <w:rsid w:val="005957B1"/>
    <w:rsid w:val="005A37BB"/>
    <w:rsid w:val="005B174F"/>
    <w:rsid w:val="005D0072"/>
    <w:rsid w:val="005E1174"/>
    <w:rsid w:val="005F27EB"/>
    <w:rsid w:val="005F29DB"/>
    <w:rsid w:val="0063499C"/>
    <w:rsid w:val="006471A3"/>
    <w:rsid w:val="00647566"/>
    <w:rsid w:val="00671D8C"/>
    <w:rsid w:val="006734E8"/>
    <w:rsid w:val="00697A8A"/>
    <w:rsid w:val="006B09C8"/>
    <w:rsid w:val="006B44EB"/>
    <w:rsid w:val="006B5A74"/>
    <w:rsid w:val="006D3374"/>
    <w:rsid w:val="006D52D8"/>
    <w:rsid w:val="006D6325"/>
    <w:rsid w:val="006F62F5"/>
    <w:rsid w:val="007005E1"/>
    <w:rsid w:val="00721F53"/>
    <w:rsid w:val="00741CB9"/>
    <w:rsid w:val="00745557"/>
    <w:rsid w:val="00750FDF"/>
    <w:rsid w:val="00752FDC"/>
    <w:rsid w:val="00773D56"/>
    <w:rsid w:val="00777AEB"/>
    <w:rsid w:val="007938C6"/>
    <w:rsid w:val="00795F63"/>
    <w:rsid w:val="007A0106"/>
    <w:rsid w:val="007A4BF2"/>
    <w:rsid w:val="007A5F41"/>
    <w:rsid w:val="007B0183"/>
    <w:rsid w:val="007B109D"/>
    <w:rsid w:val="007D6254"/>
    <w:rsid w:val="007D688F"/>
    <w:rsid w:val="007E1382"/>
    <w:rsid w:val="008154B1"/>
    <w:rsid w:val="00822EA2"/>
    <w:rsid w:val="00823E44"/>
    <w:rsid w:val="008311A7"/>
    <w:rsid w:val="00850080"/>
    <w:rsid w:val="00863FB5"/>
    <w:rsid w:val="00872938"/>
    <w:rsid w:val="00892F5C"/>
    <w:rsid w:val="008C386A"/>
    <w:rsid w:val="008C69C6"/>
    <w:rsid w:val="008D10C6"/>
    <w:rsid w:val="008E1B0E"/>
    <w:rsid w:val="008F50C0"/>
    <w:rsid w:val="0092691D"/>
    <w:rsid w:val="00927329"/>
    <w:rsid w:val="00927DC8"/>
    <w:rsid w:val="0093224D"/>
    <w:rsid w:val="00934271"/>
    <w:rsid w:val="009366BA"/>
    <w:rsid w:val="009442CB"/>
    <w:rsid w:val="00966217"/>
    <w:rsid w:val="00976F42"/>
    <w:rsid w:val="009829AE"/>
    <w:rsid w:val="00993FC3"/>
    <w:rsid w:val="009A6635"/>
    <w:rsid w:val="009C09DE"/>
    <w:rsid w:val="009C7A93"/>
    <w:rsid w:val="009E1751"/>
    <w:rsid w:val="009F3370"/>
    <w:rsid w:val="00A01F6A"/>
    <w:rsid w:val="00A052E2"/>
    <w:rsid w:val="00A07DDE"/>
    <w:rsid w:val="00A21C7E"/>
    <w:rsid w:val="00A353A2"/>
    <w:rsid w:val="00A6065C"/>
    <w:rsid w:val="00A6441C"/>
    <w:rsid w:val="00A73ECE"/>
    <w:rsid w:val="00A96A61"/>
    <w:rsid w:val="00AA02E7"/>
    <w:rsid w:val="00AA0BD1"/>
    <w:rsid w:val="00AC767B"/>
    <w:rsid w:val="00AC796C"/>
    <w:rsid w:val="00AD14AA"/>
    <w:rsid w:val="00AE3ADA"/>
    <w:rsid w:val="00AE5CD0"/>
    <w:rsid w:val="00AF6AC2"/>
    <w:rsid w:val="00B02640"/>
    <w:rsid w:val="00B10684"/>
    <w:rsid w:val="00B124FA"/>
    <w:rsid w:val="00B13696"/>
    <w:rsid w:val="00B16A16"/>
    <w:rsid w:val="00B25818"/>
    <w:rsid w:val="00B26946"/>
    <w:rsid w:val="00B40258"/>
    <w:rsid w:val="00B42C44"/>
    <w:rsid w:val="00B5077A"/>
    <w:rsid w:val="00B53613"/>
    <w:rsid w:val="00B5708E"/>
    <w:rsid w:val="00B71C57"/>
    <w:rsid w:val="00B8592A"/>
    <w:rsid w:val="00B87C3D"/>
    <w:rsid w:val="00B97A6F"/>
    <w:rsid w:val="00BB1403"/>
    <w:rsid w:val="00BB386A"/>
    <w:rsid w:val="00BC4E98"/>
    <w:rsid w:val="00BC5193"/>
    <w:rsid w:val="00BD723C"/>
    <w:rsid w:val="00BD7A5D"/>
    <w:rsid w:val="00BE4FD4"/>
    <w:rsid w:val="00BF38B3"/>
    <w:rsid w:val="00BF3A80"/>
    <w:rsid w:val="00C04FD9"/>
    <w:rsid w:val="00C11590"/>
    <w:rsid w:val="00C12363"/>
    <w:rsid w:val="00C21F49"/>
    <w:rsid w:val="00C23138"/>
    <w:rsid w:val="00C23302"/>
    <w:rsid w:val="00C247C0"/>
    <w:rsid w:val="00C45463"/>
    <w:rsid w:val="00C475E8"/>
    <w:rsid w:val="00C5107A"/>
    <w:rsid w:val="00C56FE3"/>
    <w:rsid w:val="00C57742"/>
    <w:rsid w:val="00C60D3A"/>
    <w:rsid w:val="00C670CA"/>
    <w:rsid w:val="00C67C61"/>
    <w:rsid w:val="00C71E8F"/>
    <w:rsid w:val="00C72FD0"/>
    <w:rsid w:val="00C92ECB"/>
    <w:rsid w:val="00CB396F"/>
    <w:rsid w:val="00CC68F9"/>
    <w:rsid w:val="00CD3D90"/>
    <w:rsid w:val="00CD4014"/>
    <w:rsid w:val="00CE7EAC"/>
    <w:rsid w:val="00D02334"/>
    <w:rsid w:val="00D057C8"/>
    <w:rsid w:val="00D11B6E"/>
    <w:rsid w:val="00D1230B"/>
    <w:rsid w:val="00D137E1"/>
    <w:rsid w:val="00D3494A"/>
    <w:rsid w:val="00D509A2"/>
    <w:rsid w:val="00D520C8"/>
    <w:rsid w:val="00D75D72"/>
    <w:rsid w:val="00D815A7"/>
    <w:rsid w:val="00D9593D"/>
    <w:rsid w:val="00DB4848"/>
    <w:rsid w:val="00DC399D"/>
    <w:rsid w:val="00DC5D79"/>
    <w:rsid w:val="00DF084F"/>
    <w:rsid w:val="00DF25EF"/>
    <w:rsid w:val="00DF5396"/>
    <w:rsid w:val="00E13922"/>
    <w:rsid w:val="00E160D2"/>
    <w:rsid w:val="00E26017"/>
    <w:rsid w:val="00E27CF7"/>
    <w:rsid w:val="00E514F2"/>
    <w:rsid w:val="00E57004"/>
    <w:rsid w:val="00E61CEA"/>
    <w:rsid w:val="00E714F5"/>
    <w:rsid w:val="00E735DD"/>
    <w:rsid w:val="00E94FBD"/>
    <w:rsid w:val="00E97B28"/>
    <w:rsid w:val="00EA6E77"/>
    <w:rsid w:val="00EC39F5"/>
    <w:rsid w:val="00EC7048"/>
    <w:rsid w:val="00ED3BB1"/>
    <w:rsid w:val="00ED5407"/>
    <w:rsid w:val="00ED629D"/>
    <w:rsid w:val="00EE23A5"/>
    <w:rsid w:val="00EE7548"/>
    <w:rsid w:val="00EF094C"/>
    <w:rsid w:val="00EF0D33"/>
    <w:rsid w:val="00EF2378"/>
    <w:rsid w:val="00EF6628"/>
    <w:rsid w:val="00EF6C9E"/>
    <w:rsid w:val="00F0374E"/>
    <w:rsid w:val="00F20F67"/>
    <w:rsid w:val="00F24B9C"/>
    <w:rsid w:val="00F36C08"/>
    <w:rsid w:val="00F5034A"/>
    <w:rsid w:val="00F55017"/>
    <w:rsid w:val="00F626C6"/>
    <w:rsid w:val="00F656C7"/>
    <w:rsid w:val="00F71B90"/>
    <w:rsid w:val="00F7761A"/>
    <w:rsid w:val="00F77B32"/>
    <w:rsid w:val="00F871C8"/>
    <w:rsid w:val="00F87BDD"/>
    <w:rsid w:val="00F93900"/>
    <w:rsid w:val="00FB1474"/>
    <w:rsid w:val="00FB70E8"/>
    <w:rsid w:val="00FC4E51"/>
    <w:rsid w:val="00FC5AD3"/>
    <w:rsid w:val="00FD3D2D"/>
    <w:rsid w:val="00FD4E43"/>
    <w:rsid w:val="00FD5292"/>
    <w:rsid w:val="00FE14AE"/>
    <w:rsid w:val="00FE23D7"/>
    <w:rsid w:val="00FE2EBC"/>
    <w:rsid w:val="00FF1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E44"/>
    <w:pPr>
      <w:spacing w:after="0" w:line="240" w:lineRule="auto"/>
    </w:pPr>
    <w:rPr>
      <w:rFonts w:ascii="Times New Roman" w:eastAsia="Times New Roman" w:hAnsi="Times New Roman" w:cs="Calibri"/>
      <w:sz w:val="24"/>
    </w:rPr>
  </w:style>
  <w:style w:type="paragraph" w:styleId="Heading1">
    <w:name w:val="heading 1"/>
    <w:basedOn w:val="Normal"/>
    <w:next w:val="Normal"/>
    <w:link w:val="Heading1Char"/>
    <w:uiPriority w:val="9"/>
    <w:qFormat/>
    <w:rsid w:val="00122F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2F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E51"/>
    <w:pPr>
      <w:spacing w:after="0" w:line="240" w:lineRule="auto"/>
    </w:pPr>
  </w:style>
  <w:style w:type="character" w:styleId="Hyperlink">
    <w:name w:val="Hyperlink"/>
    <w:basedOn w:val="DefaultParagraphFont"/>
    <w:uiPriority w:val="99"/>
    <w:unhideWhenUsed/>
    <w:rsid w:val="001979B9"/>
    <w:rPr>
      <w:color w:val="0000FF" w:themeColor="hyperlink"/>
      <w:u w:val="single"/>
    </w:rPr>
  </w:style>
  <w:style w:type="character" w:styleId="FollowedHyperlink">
    <w:name w:val="FollowedHyperlink"/>
    <w:basedOn w:val="DefaultParagraphFont"/>
    <w:uiPriority w:val="99"/>
    <w:semiHidden/>
    <w:unhideWhenUsed/>
    <w:rsid w:val="001979B9"/>
    <w:rPr>
      <w:color w:val="800080" w:themeColor="followedHyperlink"/>
      <w:u w:val="single"/>
    </w:rPr>
  </w:style>
  <w:style w:type="character" w:customStyle="1" w:styleId="Heading1Char">
    <w:name w:val="Heading 1 Char"/>
    <w:basedOn w:val="DefaultParagraphFont"/>
    <w:link w:val="Heading1"/>
    <w:uiPriority w:val="9"/>
    <w:rsid w:val="00122F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2FD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7761A"/>
    <w:pPr>
      <w:ind w:left="720"/>
      <w:contextualSpacing/>
    </w:pPr>
  </w:style>
  <w:style w:type="character" w:styleId="CommentReference">
    <w:name w:val="annotation reference"/>
    <w:basedOn w:val="DefaultParagraphFont"/>
    <w:uiPriority w:val="99"/>
    <w:semiHidden/>
    <w:unhideWhenUsed/>
    <w:rsid w:val="00E13922"/>
    <w:rPr>
      <w:sz w:val="16"/>
      <w:szCs w:val="16"/>
    </w:rPr>
  </w:style>
  <w:style w:type="paragraph" w:styleId="CommentText">
    <w:name w:val="annotation text"/>
    <w:basedOn w:val="Normal"/>
    <w:link w:val="CommentTextChar"/>
    <w:uiPriority w:val="99"/>
    <w:semiHidden/>
    <w:unhideWhenUsed/>
    <w:rsid w:val="00E13922"/>
    <w:rPr>
      <w:sz w:val="20"/>
      <w:szCs w:val="20"/>
    </w:rPr>
  </w:style>
  <w:style w:type="character" w:customStyle="1" w:styleId="CommentTextChar">
    <w:name w:val="Comment Text Char"/>
    <w:basedOn w:val="DefaultParagraphFont"/>
    <w:link w:val="CommentText"/>
    <w:uiPriority w:val="99"/>
    <w:semiHidden/>
    <w:rsid w:val="00E13922"/>
    <w:rPr>
      <w:rFonts w:ascii="Times New Roman" w:eastAsia="Times New Roman" w:hAnsi="Times New Roman" w:cs="Calibri"/>
      <w:sz w:val="20"/>
      <w:szCs w:val="20"/>
    </w:rPr>
  </w:style>
  <w:style w:type="paragraph" w:styleId="CommentSubject">
    <w:name w:val="annotation subject"/>
    <w:basedOn w:val="CommentText"/>
    <w:next w:val="CommentText"/>
    <w:link w:val="CommentSubjectChar"/>
    <w:uiPriority w:val="99"/>
    <w:semiHidden/>
    <w:unhideWhenUsed/>
    <w:rsid w:val="00E13922"/>
    <w:rPr>
      <w:b/>
      <w:bCs/>
    </w:rPr>
  </w:style>
  <w:style w:type="character" w:customStyle="1" w:styleId="CommentSubjectChar">
    <w:name w:val="Comment Subject Char"/>
    <w:basedOn w:val="CommentTextChar"/>
    <w:link w:val="CommentSubject"/>
    <w:uiPriority w:val="99"/>
    <w:semiHidden/>
    <w:rsid w:val="00E13922"/>
    <w:rPr>
      <w:rFonts w:ascii="Times New Roman" w:eastAsia="Times New Roman" w:hAnsi="Times New Roman" w:cs="Calibri"/>
      <w:b/>
      <w:bCs/>
      <w:sz w:val="20"/>
      <w:szCs w:val="20"/>
    </w:rPr>
  </w:style>
  <w:style w:type="paragraph" w:styleId="BalloonText">
    <w:name w:val="Balloon Text"/>
    <w:basedOn w:val="Normal"/>
    <w:link w:val="BalloonTextChar"/>
    <w:uiPriority w:val="99"/>
    <w:semiHidden/>
    <w:unhideWhenUsed/>
    <w:rsid w:val="00E13922"/>
    <w:rPr>
      <w:rFonts w:ascii="Tahoma" w:hAnsi="Tahoma" w:cs="Tahoma"/>
      <w:sz w:val="16"/>
      <w:szCs w:val="16"/>
    </w:rPr>
  </w:style>
  <w:style w:type="character" w:customStyle="1" w:styleId="BalloonTextChar">
    <w:name w:val="Balloon Text Char"/>
    <w:basedOn w:val="DefaultParagraphFont"/>
    <w:link w:val="BalloonText"/>
    <w:uiPriority w:val="99"/>
    <w:semiHidden/>
    <w:rsid w:val="00E13922"/>
    <w:rPr>
      <w:rFonts w:ascii="Tahoma" w:eastAsia="Times New Roman" w:hAnsi="Tahoma" w:cs="Tahoma"/>
      <w:sz w:val="16"/>
      <w:szCs w:val="16"/>
    </w:rPr>
  </w:style>
  <w:style w:type="paragraph" w:styleId="Header">
    <w:name w:val="header"/>
    <w:basedOn w:val="Normal"/>
    <w:link w:val="HeaderChar"/>
    <w:uiPriority w:val="99"/>
    <w:unhideWhenUsed/>
    <w:rsid w:val="00E57004"/>
    <w:pPr>
      <w:tabs>
        <w:tab w:val="center" w:pos="4513"/>
        <w:tab w:val="right" w:pos="9026"/>
      </w:tabs>
    </w:pPr>
  </w:style>
  <w:style w:type="character" w:customStyle="1" w:styleId="HeaderChar">
    <w:name w:val="Header Char"/>
    <w:basedOn w:val="DefaultParagraphFont"/>
    <w:link w:val="Header"/>
    <w:uiPriority w:val="99"/>
    <w:rsid w:val="00E57004"/>
    <w:rPr>
      <w:rFonts w:ascii="Times New Roman" w:eastAsia="Times New Roman" w:hAnsi="Times New Roman" w:cs="Calibri"/>
      <w:sz w:val="24"/>
    </w:rPr>
  </w:style>
  <w:style w:type="paragraph" w:styleId="Footer">
    <w:name w:val="footer"/>
    <w:basedOn w:val="Normal"/>
    <w:link w:val="FooterChar"/>
    <w:uiPriority w:val="99"/>
    <w:unhideWhenUsed/>
    <w:rsid w:val="00E57004"/>
    <w:pPr>
      <w:tabs>
        <w:tab w:val="center" w:pos="4513"/>
        <w:tab w:val="right" w:pos="9026"/>
      </w:tabs>
    </w:pPr>
  </w:style>
  <w:style w:type="character" w:customStyle="1" w:styleId="FooterChar">
    <w:name w:val="Footer Char"/>
    <w:basedOn w:val="DefaultParagraphFont"/>
    <w:link w:val="Footer"/>
    <w:uiPriority w:val="99"/>
    <w:rsid w:val="00E57004"/>
    <w:rPr>
      <w:rFonts w:ascii="Times New Roman" w:eastAsia="Times New Roman" w:hAnsi="Times New Roman" w:cs="Calibri"/>
      <w:sz w:val="24"/>
    </w:rPr>
  </w:style>
  <w:style w:type="paragraph" w:styleId="Title">
    <w:name w:val="Title"/>
    <w:basedOn w:val="Normal"/>
    <w:next w:val="Normal"/>
    <w:link w:val="TitleChar"/>
    <w:uiPriority w:val="10"/>
    <w:qFormat/>
    <w:rsid w:val="00E570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7004"/>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DC399D"/>
    <w:rPr>
      <w:sz w:val="20"/>
      <w:szCs w:val="20"/>
    </w:rPr>
  </w:style>
  <w:style w:type="character" w:customStyle="1" w:styleId="FootnoteTextChar">
    <w:name w:val="Footnote Text Char"/>
    <w:basedOn w:val="DefaultParagraphFont"/>
    <w:link w:val="FootnoteText"/>
    <w:uiPriority w:val="99"/>
    <w:semiHidden/>
    <w:rsid w:val="00DC399D"/>
    <w:rPr>
      <w:rFonts w:ascii="Times New Roman" w:eastAsia="Times New Roman" w:hAnsi="Times New Roman" w:cs="Calibri"/>
      <w:sz w:val="20"/>
      <w:szCs w:val="20"/>
    </w:rPr>
  </w:style>
  <w:style w:type="character" w:styleId="FootnoteReference">
    <w:name w:val="footnote reference"/>
    <w:basedOn w:val="DefaultParagraphFont"/>
    <w:uiPriority w:val="99"/>
    <w:semiHidden/>
    <w:unhideWhenUsed/>
    <w:rsid w:val="00DC399D"/>
    <w:rPr>
      <w:vertAlign w:val="superscript"/>
    </w:rPr>
  </w:style>
  <w:style w:type="character" w:styleId="LineNumber">
    <w:name w:val="line number"/>
    <w:basedOn w:val="DefaultParagraphFont"/>
    <w:uiPriority w:val="99"/>
    <w:unhideWhenUsed/>
    <w:rsid w:val="00823E44"/>
    <w:rPr>
      <w:rFonts w:ascii="Arial" w:hAnsi="Arial"/>
      <w:sz w:val="20"/>
    </w:rPr>
  </w:style>
  <w:style w:type="paragraph" w:styleId="NormalWeb">
    <w:name w:val="Normal (Web)"/>
    <w:basedOn w:val="Normal"/>
    <w:uiPriority w:val="99"/>
    <w:semiHidden/>
    <w:unhideWhenUsed/>
    <w:rsid w:val="0031046C"/>
    <w:pPr>
      <w:spacing w:before="100" w:beforeAutospacing="1" w:after="100" w:afterAutospacing="1"/>
    </w:pPr>
    <w:rPr>
      <w:rFonts w:cs="Times New Roman"/>
      <w:szCs w:val="24"/>
      <w:lang w:eastAsia="en-GB"/>
    </w:rPr>
  </w:style>
  <w:style w:type="character" w:styleId="Emphasis">
    <w:name w:val="Emphasis"/>
    <w:basedOn w:val="DefaultParagraphFont"/>
    <w:uiPriority w:val="20"/>
    <w:qFormat/>
    <w:rsid w:val="003104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E44"/>
    <w:pPr>
      <w:spacing w:after="0" w:line="240" w:lineRule="auto"/>
    </w:pPr>
    <w:rPr>
      <w:rFonts w:ascii="Times New Roman" w:eastAsia="Times New Roman" w:hAnsi="Times New Roman" w:cs="Calibri"/>
      <w:sz w:val="24"/>
    </w:rPr>
  </w:style>
  <w:style w:type="paragraph" w:styleId="Heading1">
    <w:name w:val="heading 1"/>
    <w:basedOn w:val="Normal"/>
    <w:next w:val="Normal"/>
    <w:link w:val="Heading1Char"/>
    <w:uiPriority w:val="9"/>
    <w:qFormat/>
    <w:rsid w:val="00122F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2F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E51"/>
    <w:pPr>
      <w:spacing w:after="0" w:line="240" w:lineRule="auto"/>
    </w:pPr>
  </w:style>
  <w:style w:type="character" w:styleId="Hyperlink">
    <w:name w:val="Hyperlink"/>
    <w:basedOn w:val="DefaultParagraphFont"/>
    <w:uiPriority w:val="99"/>
    <w:unhideWhenUsed/>
    <w:rsid w:val="001979B9"/>
    <w:rPr>
      <w:color w:val="0000FF" w:themeColor="hyperlink"/>
      <w:u w:val="single"/>
    </w:rPr>
  </w:style>
  <w:style w:type="character" w:styleId="FollowedHyperlink">
    <w:name w:val="FollowedHyperlink"/>
    <w:basedOn w:val="DefaultParagraphFont"/>
    <w:uiPriority w:val="99"/>
    <w:semiHidden/>
    <w:unhideWhenUsed/>
    <w:rsid w:val="001979B9"/>
    <w:rPr>
      <w:color w:val="800080" w:themeColor="followedHyperlink"/>
      <w:u w:val="single"/>
    </w:rPr>
  </w:style>
  <w:style w:type="character" w:customStyle="1" w:styleId="Heading1Char">
    <w:name w:val="Heading 1 Char"/>
    <w:basedOn w:val="DefaultParagraphFont"/>
    <w:link w:val="Heading1"/>
    <w:uiPriority w:val="9"/>
    <w:rsid w:val="00122F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2FD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7761A"/>
    <w:pPr>
      <w:ind w:left="720"/>
      <w:contextualSpacing/>
    </w:pPr>
  </w:style>
  <w:style w:type="character" w:styleId="CommentReference">
    <w:name w:val="annotation reference"/>
    <w:basedOn w:val="DefaultParagraphFont"/>
    <w:uiPriority w:val="99"/>
    <w:semiHidden/>
    <w:unhideWhenUsed/>
    <w:rsid w:val="00E13922"/>
    <w:rPr>
      <w:sz w:val="16"/>
      <w:szCs w:val="16"/>
    </w:rPr>
  </w:style>
  <w:style w:type="paragraph" w:styleId="CommentText">
    <w:name w:val="annotation text"/>
    <w:basedOn w:val="Normal"/>
    <w:link w:val="CommentTextChar"/>
    <w:uiPriority w:val="99"/>
    <w:semiHidden/>
    <w:unhideWhenUsed/>
    <w:rsid w:val="00E13922"/>
    <w:rPr>
      <w:sz w:val="20"/>
      <w:szCs w:val="20"/>
    </w:rPr>
  </w:style>
  <w:style w:type="character" w:customStyle="1" w:styleId="CommentTextChar">
    <w:name w:val="Comment Text Char"/>
    <w:basedOn w:val="DefaultParagraphFont"/>
    <w:link w:val="CommentText"/>
    <w:uiPriority w:val="99"/>
    <w:semiHidden/>
    <w:rsid w:val="00E13922"/>
    <w:rPr>
      <w:rFonts w:ascii="Times New Roman" w:eastAsia="Times New Roman" w:hAnsi="Times New Roman" w:cs="Calibri"/>
      <w:sz w:val="20"/>
      <w:szCs w:val="20"/>
    </w:rPr>
  </w:style>
  <w:style w:type="paragraph" w:styleId="CommentSubject">
    <w:name w:val="annotation subject"/>
    <w:basedOn w:val="CommentText"/>
    <w:next w:val="CommentText"/>
    <w:link w:val="CommentSubjectChar"/>
    <w:uiPriority w:val="99"/>
    <w:semiHidden/>
    <w:unhideWhenUsed/>
    <w:rsid w:val="00E13922"/>
    <w:rPr>
      <w:b/>
      <w:bCs/>
    </w:rPr>
  </w:style>
  <w:style w:type="character" w:customStyle="1" w:styleId="CommentSubjectChar">
    <w:name w:val="Comment Subject Char"/>
    <w:basedOn w:val="CommentTextChar"/>
    <w:link w:val="CommentSubject"/>
    <w:uiPriority w:val="99"/>
    <w:semiHidden/>
    <w:rsid w:val="00E13922"/>
    <w:rPr>
      <w:rFonts w:ascii="Times New Roman" w:eastAsia="Times New Roman" w:hAnsi="Times New Roman" w:cs="Calibri"/>
      <w:b/>
      <w:bCs/>
      <w:sz w:val="20"/>
      <w:szCs w:val="20"/>
    </w:rPr>
  </w:style>
  <w:style w:type="paragraph" w:styleId="BalloonText">
    <w:name w:val="Balloon Text"/>
    <w:basedOn w:val="Normal"/>
    <w:link w:val="BalloonTextChar"/>
    <w:uiPriority w:val="99"/>
    <w:semiHidden/>
    <w:unhideWhenUsed/>
    <w:rsid w:val="00E13922"/>
    <w:rPr>
      <w:rFonts w:ascii="Tahoma" w:hAnsi="Tahoma" w:cs="Tahoma"/>
      <w:sz w:val="16"/>
      <w:szCs w:val="16"/>
    </w:rPr>
  </w:style>
  <w:style w:type="character" w:customStyle="1" w:styleId="BalloonTextChar">
    <w:name w:val="Balloon Text Char"/>
    <w:basedOn w:val="DefaultParagraphFont"/>
    <w:link w:val="BalloonText"/>
    <w:uiPriority w:val="99"/>
    <w:semiHidden/>
    <w:rsid w:val="00E13922"/>
    <w:rPr>
      <w:rFonts w:ascii="Tahoma" w:eastAsia="Times New Roman" w:hAnsi="Tahoma" w:cs="Tahoma"/>
      <w:sz w:val="16"/>
      <w:szCs w:val="16"/>
    </w:rPr>
  </w:style>
  <w:style w:type="paragraph" w:styleId="Header">
    <w:name w:val="header"/>
    <w:basedOn w:val="Normal"/>
    <w:link w:val="HeaderChar"/>
    <w:uiPriority w:val="99"/>
    <w:unhideWhenUsed/>
    <w:rsid w:val="00E57004"/>
    <w:pPr>
      <w:tabs>
        <w:tab w:val="center" w:pos="4513"/>
        <w:tab w:val="right" w:pos="9026"/>
      </w:tabs>
    </w:pPr>
  </w:style>
  <w:style w:type="character" w:customStyle="1" w:styleId="HeaderChar">
    <w:name w:val="Header Char"/>
    <w:basedOn w:val="DefaultParagraphFont"/>
    <w:link w:val="Header"/>
    <w:uiPriority w:val="99"/>
    <w:rsid w:val="00E57004"/>
    <w:rPr>
      <w:rFonts w:ascii="Times New Roman" w:eastAsia="Times New Roman" w:hAnsi="Times New Roman" w:cs="Calibri"/>
      <w:sz w:val="24"/>
    </w:rPr>
  </w:style>
  <w:style w:type="paragraph" w:styleId="Footer">
    <w:name w:val="footer"/>
    <w:basedOn w:val="Normal"/>
    <w:link w:val="FooterChar"/>
    <w:uiPriority w:val="99"/>
    <w:unhideWhenUsed/>
    <w:rsid w:val="00E57004"/>
    <w:pPr>
      <w:tabs>
        <w:tab w:val="center" w:pos="4513"/>
        <w:tab w:val="right" w:pos="9026"/>
      </w:tabs>
    </w:pPr>
  </w:style>
  <w:style w:type="character" w:customStyle="1" w:styleId="FooterChar">
    <w:name w:val="Footer Char"/>
    <w:basedOn w:val="DefaultParagraphFont"/>
    <w:link w:val="Footer"/>
    <w:uiPriority w:val="99"/>
    <w:rsid w:val="00E57004"/>
    <w:rPr>
      <w:rFonts w:ascii="Times New Roman" w:eastAsia="Times New Roman" w:hAnsi="Times New Roman" w:cs="Calibri"/>
      <w:sz w:val="24"/>
    </w:rPr>
  </w:style>
  <w:style w:type="paragraph" w:styleId="Title">
    <w:name w:val="Title"/>
    <w:basedOn w:val="Normal"/>
    <w:next w:val="Normal"/>
    <w:link w:val="TitleChar"/>
    <w:uiPriority w:val="10"/>
    <w:qFormat/>
    <w:rsid w:val="00E570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7004"/>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DC399D"/>
    <w:rPr>
      <w:sz w:val="20"/>
      <w:szCs w:val="20"/>
    </w:rPr>
  </w:style>
  <w:style w:type="character" w:customStyle="1" w:styleId="FootnoteTextChar">
    <w:name w:val="Footnote Text Char"/>
    <w:basedOn w:val="DefaultParagraphFont"/>
    <w:link w:val="FootnoteText"/>
    <w:uiPriority w:val="99"/>
    <w:semiHidden/>
    <w:rsid w:val="00DC399D"/>
    <w:rPr>
      <w:rFonts w:ascii="Times New Roman" w:eastAsia="Times New Roman" w:hAnsi="Times New Roman" w:cs="Calibri"/>
      <w:sz w:val="20"/>
      <w:szCs w:val="20"/>
    </w:rPr>
  </w:style>
  <w:style w:type="character" w:styleId="FootnoteReference">
    <w:name w:val="footnote reference"/>
    <w:basedOn w:val="DefaultParagraphFont"/>
    <w:uiPriority w:val="99"/>
    <w:semiHidden/>
    <w:unhideWhenUsed/>
    <w:rsid w:val="00DC399D"/>
    <w:rPr>
      <w:vertAlign w:val="superscript"/>
    </w:rPr>
  </w:style>
  <w:style w:type="character" w:styleId="LineNumber">
    <w:name w:val="line number"/>
    <w:basedOn w:val="DefaultParagraphFont"/>
    <w:uiPriority w:val="99"/>
    <w:unhideWhenUsed/>
    <w:rsid w:val="00823E44"/>
    <w:rPr>
      <w:rFonts w:ascii="Arial" w:hAnsi="Arial"/>
      <w:sz w:val="20"/>
    </w:rPr>
  </w:style>
  <w:style w:type="paragraph" w:styleId="NormalWeb">
    <w:name w:val="Normal (Web)"/>
    <w:basedOn w:val="Normal"/>
    <w:uiPriority w:val="99"/>
    <w:semiHidden/>
    <w:unhideWhenUsed/>
    <w:rsid w:val="0031046C"/>
    <w:pPr>
      <w:spacing w:before="100" w:beforeAutospacing="1" w:after="100" w:afterAutospacing="1"/>
    </w:pPr>
    <w:rPr>
      <w:rFonts w:cs="Times New Roman"/>
      <w:szCs w:val="24"/>
      <w:lang w:eastAsia="en-GB"/>
    </w:rPr>
  </w:style>
  <w:style w:type="character" w:styleId="Emphasis">
    <w:name w:val="Emphasis"/>
    <w:basedOn w:val="DefaultParagraphFont"/>
    <w:uiPriority w:val="20"/>
    <w:qFormat/>
    <w:rsid w:val="003104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2315">
      <w:bodyDiv w:val="1"/>
      <w:marLeft w:val="0"/>
      <w:marRight w:val="0"/>
      <w:marTop w:val="0"/>
      <w:marBottom w:val="0"/>
      <w:divBdr>
        <w:top w:val="none" w:sz="0" w:space="0" w:color="auto"/>
        <w:left w:val="none" w:sz="0" w:space="0" w:color="auto"/>
        <w:bottom w:val="none" w:sz="0" w:space="0" w:color="auto"/>
        <w:right w:val="none" w:sz="0" w:space="0" w:color="auto"/>
      </w:divBdr>
    </w:div>
    <w:div w:id="5064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ucas.com/file/35436/download?token=2Q6wi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4805C-7A45-45F8-8A3C-35850E04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12</Pages>
  <Words>4211</Words>
  <Characters>24008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244</cp:revision>
  <dcterms:created xsi:type="dcterms:W3CDTF">2017-04-11T13:30:00Z</dcterms:created>
  <dcterms:modified xsi:type="dcterms:W3CDTF">2017-07-11T19:11:00Z</dcterms:modified>
</cp:coreProperties>
</file>