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7A" w:rsidRDefault="00B44E7A" w:rsidP="00B44E7A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color w:val="000000"/>
          <w:sz w:val="18"/>
          <w:szCs w:val="18"/>
        </w:rPr>
      </w:pPr>
      <w:r>
        <w:rPr>
          <w:rFonts w:ascii="Garamond-LightCondensed" w:hAnsi="Garamond-LightCondensed" w:cs="Garamond-LightCondensed"/>
          <w:color w:val="000000"/>
          <w:sz w:val="18"/>
          <w:szCs w:val="18"/>
        </w:rPr>
        <w:t>Review of Business Management, São Paulo, v.21, n.4, p.607-627, oct/</w:t>
      </w:r>
      <w:proofErr w:type="spellStart"/>
      <w:r>
        <w:rPr>
          <w:rFonts w:ascii="Garamond-LightCondensed" w:hAnsi="Garamond-LightCondensed" w:cs="Garamond-LightCondensed"/>
          <w:color w:val="000000"/>
          <w:sz w:val="18"/>
          <w:szCs w:val="18"/>
        </w:rPr>
        <w:t>dec.</w:t>
      </w:r>
      <w:proofErr w:type="spellEnd"/>
      <w:r>
        <w:rPr>
          <w:rFonts w:ascii="Garamond-LightCondensed" w:hAnsi="Garamond-LightCondensed" w:cs="Garamond-LightCondensed"/>
          <w:color w:val="000000"/>
          <w:sz w:val="18"/>
          <w:szCs w:val="18"/>
        </w:rPr>
        <w:t xml:space="preserve"> 2019.</w:t>
      </w:r>
    </w:p>
    <w:p w:rsidR="00B44E7A" w:rsidRDefault="00B44E7A" w:rsidP="00B44E7A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color w:val="000000"/>
          <w:sz w:val="20"/>
          <w:szCs w:val="20"/>
        </w:rPr>
      </w:pPr>
      <w:r>
        <w:rPr>
          <w:rFonts w:ascii="Garamond-LightCondensed" w:hAnsi="Garamond-LightCondensed" w:cs="Garamond-LightCondensed"/>
          <w:color w:val="000000"/>
          <w:sz w:val="20"/>
          <w:szCs w:val="20"/>
        </w:rPr>
        <w:t>Global Value Chains, Business Networks, Strategy, and International Business: Convergences</w:t>
      </w:r>
    </w:p>
    <w:p w:rsidR="00B44E7A" w:rsidRDefault="00B44E7A" w:rsidP="00B44E7A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color w:val="000000"/>
          <w:sz w:val="20"/>
          <w:szCs w:val="20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GatineauPlain" w:hAnsi="GatineauPlain" w:cs="GatineauPlain"/>
          <w:color w:val="000000"/>
          <w:sz w:val="46"/>
          <w:szCs w:val="46"/>
        </w:rPr>
      </w:pPr>
      <w:r>
        <w:rPr>
          <w:rFonts w:ascii="GatineauPlain" w:hAnsi="GatineauPlain" w:cs="GatineauPlain"/>
          <w:color w:val="000000"/>
          <w:sz w:val="46"/>
          <w:szCs w:val="46"/>
        </w:rPr>
        <w:t>Global Value Chains, Business Networks,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GatineauPlain" w:hAnsi="GatineauPlain" w:cs="GatineauPlain"/>
          <w:color w:val="000000"/>
          <w:sz w:val="46"/>
          <w:szCs w:val="46"/>
        </w:rPr>
      </w:pPr>
      <w:r>
        <w:rPr>
          <w:rFonts w:ascii="GatineauPlain" w:hAnsi="GatineauPlain" w:cs="GatineauPlain"/>
          <w:color w:val="000000"/>
          <w:sz w:val="46"/>
          <w:szCs w:val="46"/>
        </w:rPr>
        <w:t>Strategy, and International Business: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GatineauPlain" w:hAnsi="GatineauPlain" w:cs="GatineauPlain"/>
          <w:color w:val="000000"/>
          <w:sz w:val="46"/>
          <w:szCs w:val="46"/>
        </w:rPr>
      </w:pPr>
      <w:r>
        <w:rPr>
          <w:rFonts w:ascii="GatineauPlain" w:hAnsi="GatineauPlain" w:cs="GatineauPlain"/>
          <w:color w:val="000000"/>
          <w:sz w:val="46"/>
          <w:szCs w:val="46"/>
        </w:rPr>
        <w:t>Convergences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4"/>
          <w:szCs w:val="1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John Humphrey</w:t>
      </w: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1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1</w:t>
      </w:r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University of Sussex Business School, Brighton BN1 9SL, UK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4"/>
          <w:szCs w:val="1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Emanuela Todeva</w:t>
      </w: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2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2</w:t>
      </w:r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St. Mary’s University Twickenham London, The School of Management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</w:pPr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and Social Sciences (MSS), Twickenham TW1 4SX, UK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4"/>
          <w:szCs w:val="1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Eduardo Armando</w:t>
      </w: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3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3</w:t>
      </w:r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 xml:space="preserve">FIA Business School, </w:t>
      </w:r>
      <w:proofErr w:type="spellStart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ProCED</w:t>
      </w:r>
      <w:proofErr w:type="spellEnd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 xml:space="preserve"> Graduate Programs, Sao Paulo, S.P., Brazil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4"/>
          <w:szCs w:val="1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Ernesto Giglio</w:t>
      </w: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4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4"/>
          <w:szCs w:val="14"/>
        </w:rPr>
        <w:t>4</w:t>
      </w:r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 xml:space="preserve">UNIP - </w:t>
      </w:r>
      <w:proofErr w:type="spellStart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Universidade</w:t>
      </w:r>
      <w:proofErr w:type="spellEnd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Paulista</w:t>
      </w:r>
      <w:proofErr w:type="spellEnd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Masters</w:t>
      </w:r>
      <w:proofErr w:type="spellEnd"/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 xml:space="preserve"> Program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</w:pPr>
      <w:r>
        <w:rPr>
          <w:rFonts w:ascii="AGaramondPro-Italic" w:hAnsi="AGaramondPro-Italic" w:cs="AGaramondPro-Italic"/>
          <w:i/>
          <w:iCs/>
          <w:color w:val="000000"/>
          <w:sz w:val="18"/>
          <w:szCs w:val="18"/>
        </w:rPr>
        <w:t>in Business, Sao Paulo, S.P., Brazil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Abstract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 xml:space="preserve">Purpose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– The purpose of this paper is to clarify the distinction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Global Value Chains and selected strands of the business literature: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networks, strategy, and international business. These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research areas have starting questions that are often different and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audiences they address also differ. There have been attempts to establish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links across these theories, but these are exceptions rather than the rule.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 xml:space="preserve">Design/methodology/approach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– The basic principles and concepts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four areas are identified. The results are used to develop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summary matrix of the approaches. The methodological path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inductive and inferential, as the task involves searching for similarities,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complementarities, and overlaps across the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four social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science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disciplines.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 xml:space="preserve">Findings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–The literature of the studied fields overlaps on the issues they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trying to understand, even if they do not use identical terminology.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four areas advocate the same principle in understanding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organizational field: complexity. Firms are triggered to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enter into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exchange with other companies.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 xml:space="preserve">Originality/value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– The theoretical contribution of this article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based on the idea that although the four research fields – GVC,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Networks, Strategy, and International Business – advance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independently from each other, common origins can be observed,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allowing for a set of common propositions.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 xml:space="preserve">Keywords –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Convergence, Global Value Chains, Business Networks,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Strategy, International Business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MrsEavesBold" w:hAnsi="MrsEavesBold" w:cs="MrsEavesBold"/>
          <w:b/>
          <w:bCs/>
          <w:color w:val="000000"/>
          <w:sz w:val="28"/>
          <w:szCs w:val="28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MrsEavesBold" w:hAnsi="MrsEavesBold" w:cs="MrsEavesBold"/>
          <w:b/>
          <w:bCs/>
          <w:color w:val="000000"/>
          <w:sz w:val="28"/>
          <w:szCs w:val="28"/>
        </w:rPr>
        <w:t xml:space="preserve">1 </w:t>
      </w: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Introduction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Over the past three decades, global trade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has grown and many new exporting countries,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particularly in Asia, have been incorporated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into the global economy. This growth has been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accompanied by two important structural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transformations. The first is the expansion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what Baldwin and Lopez-Gonzalez (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2015) call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supply-chain trade. Production has become more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fragmented and the share of trade in finished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products declined in the 1990s and the first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decade of the 21</w:t>
      </w:r>
      <w:r>
        <w:rPr>
          <w:rFonts w:ascii="AGaramondPro-Regular" w:hAnsi="AGaramondPro-Regular" w:cs="AGaramondPro-Regular"/>
          <w:color w:val="000000"/>
          <w:sz w:val="12"/>
          <w:szCs w:val="12"/>
        </w:rPr>
        <w:t xml:space="preserve">st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century, while the share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trade in parts has increased (Baldwin &amp; Lopez-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Gonzalez, 2015). Second, even in sectors in which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activity of trading final products continues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dominate (for example, food, clothing,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shoes), the shift of production to developing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emerging economies has been accompanied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by increased outsourcing and the role of firms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specializing in design, marketing, and retail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structuring international trade. This trend has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been described with terms such as “manufacturers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without factories” (Gereffi, 1999, p. 46)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factoryless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goods producing firms” (Bernard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Fort, 2015, p. 518).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Various theoretical approaches have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attempted to understand these changes in terms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what they imply for both businesses and countries.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Global Value Chain (GVC) literature emerged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an attempt to understand these questions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identify their implications for developing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countries. Equally, however, some strands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and management literature, notably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research on business networks, strategy,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business,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have addressed these issues.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example, the international business literature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has used the concept of the “global factory”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describe how multinational firms have integrated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production activities in Asia into their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strategies and what the consequences might be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newly-integrated economies (Buckley, 2009).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These differing approaches have much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common. They are all concerned with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fragmentation across borders (offshoring);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fragmentation across businesses (outsourcing);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strategies for coordinating in the presence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fragmentation. Equally, they tend to draw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similar theoretical foundations, including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transaction cost economics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knowledgebased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resource-based theories of the firm,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are concerned with how firms try to remain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competitive in the global economy.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Nevertheless, the four research areas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do not engage with each other as much 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they should. Their starting questions are often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different, as recent research has recognized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(Strange &amp; Humphrey, 2018), and the audiences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they address also differ. It is certainly true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have been attempts to establish links across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the theories, but these are exceptions rather than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rule. For this reason, this special issue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RBGN has been devoted to the interface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 theory and three strands of the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 that have also developed theory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areas of globalization, competitiveness, and how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businesses manage links with other firms. Thus,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this collection of papers is a further attempt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promote dialogue and develop theory in these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four research areas.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This overview frames the papers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special issue through an analysis of the areas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interaction between the four themes: GVCs,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networks, strategy, and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business. In both the special issue and this paper,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general terms, the following questions 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addressed: (1) What is the intersection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 on GVCs, strategy, business networks,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international business, and where has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conceptual clarity and consensus already emerged?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(2) In what ways might emergent research themes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– for example, the circular economy,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multistakeholder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governance, and internationalization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knowledge and technology – use common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knowledge across the four areas as an analytical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tool to sharpen the understanding of these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phenomena? (3) How might GVC analysis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issues such as innovation make effective use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concepts developed by business networks, strategy,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international business literature?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Specifically, in this paper, we focus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answering the question that follows: What is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distinction between the GVC literature and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selected strands of the business literature, i.e.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networks, strategy, and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business? Although there is a variety of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literature, we chose only these three strands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consideration. By answering this question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developing a theoretical synthesis, the basic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principles and concepts of the four areas 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identified. The results are used to develop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summary matrix of the approaches (Tables 1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2).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paper is divided into four sections.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following section explains the logic behind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theoretical development. The main contribution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paper lies in evidencing the convergences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between the four fields studied, showing what they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aim to explain, the scope of analysis of each field,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well as identifying the most investigated topics.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We also make a methodological contribution by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unveiling aspects that are common to the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Section three, the literature review,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examines the most frequently referenced articles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relating to each of the four approaches and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attempts to link them. The section concludes with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table that provides an interdisciplinary synthesis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covering each of the approaches investigated.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fourth section presents the theoretical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outcomes of this article, its foundations,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justifications, internal logic, theoretical coherence,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explanatory competence, which are compared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 other efforts. The conclusion revisits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initial questions, presents the results, comments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the limitations of the theoretical enquiry,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examines the contributions of the article.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MrsEavesBold" w:hAnsi="MrsEavesBold" w:cs="MrsEavesBold"/>
          <w:b/>
          <w:bCs/>
          <w:color w:val="000000"/>
          <w:sz w:val="28"/>
          <w:szCs w:val="28"/>
        </w:rPr>
        <w:t xml:space="preserve">2 </w:t>
      </w: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Logic behind the Theoretical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When writing a theoretical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article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it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important to explain the starting points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analysis and the principles used for a critical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review of the literature. Our methodological path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is inductive and inferential, as the task involves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searching for similarities, complementarities,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overlaps across the four social science disciplines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referred to above.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inductive classification is the result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searching for evidence and the convergence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indicators among the four research fields,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presenting conclusions on the overlaps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similarities for analysis and the treatment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empirical observations. The inferential approach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comes from bringing together ideas encapsulated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concepts of the four academic disciplines,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based on the content put forward by the relevant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literature. For example, the concepts of dynamic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competencies in the strategy field and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capital in relation to business networks show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significant conceptual similarity. From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conceptual definitions, it is possible to infer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both categories refer to the creation of resources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collective action and through learning feedback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loops, therefore no existing actors, persons, 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organizations act in isolation.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order to apply this inferential approach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systematically, we adopted a scientific categorization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framework based on the paradigmatic 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raised by Kuhn (1962) and Popper and Hansen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(2014) for the analysis of distinctive scientific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fields. This framework is composed of eight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categories that describe the contributions from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each scientific discipline. These eight categories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enable a systematic comparison across 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interdisciplinary field: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• What are the dominant assumptions? –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This is an enquiry into basic assumptions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are accepted without discussion by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scientific community. For example,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in both GVC and network theory it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assumed that the human being is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needs to live in a group. Assumptions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give direction to scientific enquiry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facilitate researchers in identifying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objects of their enquiry and the direction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argumentation, asking questions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different from their assumptions.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• What are the dominant theories? –</w:t>
      </w:r>
    </w:p>
    <w:p w:rsidR="00B44E7A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Particularly in relation to other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social theories such as economics,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sociology, psychology, anthropology, 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communications. For example, game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theory applies to both economics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strategy. Dominant theories already cut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across multidisciplinary social enquiries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bring with them a portfolio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research questions.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• What are the variants of contemporary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theories? – The current 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basic theoretical frameworks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explanatory models within a discipline.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example, within network 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are hypotheses relating to social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capital,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governance, and group management.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proliferation of theoretical frameworks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within an academic discipline as a field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enquiry shows new emergent discourses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give rise to new concepts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methodological tools.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• What is the phenomenon to be explained?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– Refers to the object of analysis in 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academic field of enquiry. For example,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within networks one of the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core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investigative concepts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is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structure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ties. The definition of the phenomenon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constitutes the objects of scientific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enquiry influences much of the following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methodologies and scientific practices.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• What is the scope of analysis? – Indicates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level of enquiry, whether the scope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people, groups, organizations, regions,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states, or nations. For example, within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networks, there are three distinctive levels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analysis – the actors, the relationships,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the whole network. The same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analytical reasoning can be applied to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 field. Some disciplines and scientific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 of enquiry are broader in scope,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connect multiple theories, and examine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multiple objects of enquiry.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• What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are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most frequent search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topics? – Concerned with specific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investigative categories and whether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they refer to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behaviors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processes,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decisions, relationships, cost analysis,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modes of production and sales, modes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competition, the analysis of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groups, or other core concepts.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example, core concepts and investigative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questions related to networks include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structure, relationships, strategies, results,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benefits.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• What is the dominant mode of knowledge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construction? – These could vary from (1)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logical transition from observational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facts to the construction of a theory;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 (2) a transition from theoretical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constructs to empirical testing in the field.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It may be argued that the field of strategy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predominantly uses the path from 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practice and the field of networks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path from practice to theory. Scientists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each discipline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develop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certain preferences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towards one or another methodology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knowledge construction.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• What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are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dominant research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techniques? – These could vary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questionnaires, interviews, follow-up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monitoring, secondary data, big data,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 focus group discussions. Examples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empirical techniques for data collection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networks include interviews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questionnaires, along with the snowball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sampling technique, which are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dominant methods.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These categories enabled us to compare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across different scientific fields of enquiry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search for common grounds in order to work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towards a theoretical synthesis. We searched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most cited authors within the four fields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selected information on the main contributions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their works and those of their followers. We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used Scopus to select the most cited authors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completed the selection of publications as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intersection between the key expression search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(GVC, Strategy, Networks, and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Business) with the author search. We selected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10 most cited articles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analyzed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content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their theoretical statements. From this, we derived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categorization of the disciplinary frameworks.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MrsEavesBold" w:hAnsi="MrsEavesBold" w:cs="MrsEavesBold"/>
          <w:b/>
          <w:bCs/>
          <w:color w:val="000000"/>
          <w:sz w:val="28"/>
          <w:szCs w:val="28"/>
        </w:rPr>
        <w:t xml:space="preserve">3 </w:t>
      </w: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Literature Review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characteristics of present society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simultaneity, complexity, connectivity,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interdependence, and plurality of power (Castells,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1996; Deleuze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Guattari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2004; Morin, 1990).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Many of these characteristics are not substantiated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by facts and evidence, but they are discussed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a number of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theoretical and paradigmatic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frameworks.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science, these characteristics result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increasingly intense multidisciplinary movements,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conjunctions, and overlaps where before there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was focus and distinction. For example: What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area of science deals with the planet sustainability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phenomena? Currently, it is possible to find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disciplines in universities and congresses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combine segments of biology, geology,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sciences, engineering, and medical sciences. Thus,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effort to integrate the four aforementioned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areas of knowledge in the social sciences – GVCs,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strategy, business networks, and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– makes sense. We start with efforts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integrate the four areas of knowledge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then present the literature on each of these.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final part of this section provides Table 1, with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synthesis of the literature using the logic presented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section 2.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MrsEavesBold" w:hAnsi="MrsEavesBold" w:cs="MrsEavesBold"/>
          <w:b/>
          <w:bCs/>
          <w:color w:val="000000"/>
          <w:sz w:val="24"/>
          <w:szCs w:val="24"/>
        </w:rPr>
        <w:t xml:space="preserve">3.1 </w:t>
      </w: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Efforts to integrate the four areas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key step in the investigation was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find publications that tried to integrate the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 addressed in this article – GVCs, strategy,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networks, and international business.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Gereffi, Humphrey, and Sturgeon (2005) try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integrate the strategy and GVC fields using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governance framework for business-to-business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linkages. While it should be noted that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approach suggested by these authors incorporates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resource-based views of the firm alongside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knowledge-based and transaction cost approaches,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it has been criticized for ignoring intra-industry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variations in governance across firms, time,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locations (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Sako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Zylberberg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2017).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Sako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Zylberberg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(2017) propose refinements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involve injecting management theories into GVC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research, presenting a modified framework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corporate strategy in GVCs.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have been other attempts to link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 and business theory (De Marchi, Di Maria,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&amp; Ponte, 2014; Humphrey, 2014;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Lema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2014;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Narula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Wahed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2017), along with efforts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connect GVC and innovation theory (De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Marchi, Giuliani,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Rabellotti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2017;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Keijser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Iizuka, 2018;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Pietrobelli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Staritz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2018;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Tajoli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&amp; Felice, 2018), but there are differences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two approaches. Whereas business theories,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particularly the strategy approach, emphasize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agency, this is a weak point in the GVC literature,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which puts greater emphasis on structure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constraints on action. As a result, business theories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(for example, internalization theory) focus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multinational firm and its strategic choices,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while GVC theory is more concerned with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characteristics and choices typical of sectors 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whole.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are also efforts to bring together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GVC and network principles in the public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policy field (Todeva &amp; Rakhmatullin, 2016a).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agencies such as the Organization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Economic Cooperation and 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(OECD), the World Trade Organization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(WTO), and the World Bank have recognized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promoted the importance of increased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participation in the global economy through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 linkages for developing countries, pointing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positive impacts on homegrown businesses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terms of enhancing competitiveness (OECD,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WTO, &amp; World Bank Group, 2014).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argument here is that the disaggregation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production into separate stages allows firms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gain easier access to the globalization ladder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ascend it as their capabilities improve. In this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view, GVCs encourage such upward movement by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rewarding skills, learning, and innovation, as well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through learning from value chain partners.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other words, better positions and higher rents 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assured for companies in developing countries if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they enter GVCs.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This view is very controversial. Critics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highlight the risks faced by domestic firms from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developing countries through exposure to a “race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bottom” as new supply locations are integrated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into the global economy (Kaplinsky, 2000; United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Nations Industrial Development Organization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[UNIDO], 2009; United Nations Conference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Trade and Development [UNCTAD],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2013). Furthermore, it has been argued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lead firms may actively prevent their suppliers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upgrading, instead tending to outsource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activities where there is, or where they can create,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competition among suppliers, making it difficult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capture rents (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Pietrobelli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Staritz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2018).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discussion about upgrading also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reveals a structure/agency distinction, although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this time within GVC approaches. While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Pietrobelli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Staritz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(2018) refer to individual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firms, there is a strong public policy approach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GVC literature that views upgrading 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interesting if insertion into the global economy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improves incomes and livelihoods in developing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countries. For Kaplinsky, Morris,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Readman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(2002, p. 1160), “upgrading is an essential aspect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ensuring a sustainable trajectory to economic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development”.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discussion about the different ways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which developing country businesses can benefit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participation in GVCs frequently links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business network literature, and particularly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so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with respect to localities and clusters, but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 a focus on how external linkages shape local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contexts. Humphrey and Schmitz (2002) discuss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linkages between the cluster and value chain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literatures. The issue is that the GVC approach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prioritizes vertical, transnational links as sources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knowledge, whereas the cluster approach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emphasizes horizontal links between firms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local institutions. Both strands of the literature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provide a partial picture, but it must be noted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there has been some interesting work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clusters and their links to the global economy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(Gereffi &amp; Lee, 2016; Lorenzen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Mudambi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2013; Morrison,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Rabellotti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Zirulia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2012),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analysis of cross-national links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different clusters (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Nadvi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&amp; Halder, 2005; Meyer-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Stamer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Maggi, &amp; Seibel, 2004). Some GVC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papers emphasize the role of locality (Crescenzi,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Pietrobelli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Rabellotti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2014;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Nadvi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2008;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Sturgeon, Van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Biesebroeck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&amp; Gereffi, 2008).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is more recently published research as well,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but in both strands of the literature, since only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three most cited articles were selected, there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is a bias towards older publications.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This is probably the strongest argument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bringing together different literatures, although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they begin with different questions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assumptions, this is not an easy task.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institutions have acknowledged that GVCs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constitute a complex network of investment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trade flows and that multinational enterprises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(MNEs) drive all vehicles for integrating countries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domestic firms into GVCs, including foreign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market operations of MNEs, domestic firm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exports, and redirecting GVC flows through new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regions, clusters, and countries that offer new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opportunities (UNCTAD, 2013).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Positions in the expanded middle of value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chains, through the market and vertical integration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within MNEs, have become more popular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several industries where the business models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firms incorporate a nexus of foreign ownership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international business networks of operations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(Todeva, 2006; Todeva &amp; Rakhmatullin, 2016b).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conclude, there is evidence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complementarity among the four fields; however,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according to our understanding, an 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effort is necessary based on the principles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theory of knowledge, as described in item 2. Next,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we present the ten most cited articles for each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areas of the literature in order to perform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this task.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MrsEavesBold" w:hAnsi="MrsEavesBold" w:cs="MrsEavesBold"/>
          <w:b/>
          <w:bCs/>
          <w:color w:val="000000"/>
          <w:sz w:val="24"/>
          <w:szCs w:val="24"/>
        </w:rPr>
        <w:t xml:space="preserve">3.2 </w:t>
      </w: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GVC literature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field of study entitled Global Value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Chain is increasingly important within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organizational and management field, because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expands beyond its local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boundaries – whether in production, marketing,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 service delivery – into global chains (Kaplinsky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&amp; Morris, 2002). In order to create models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theories concerning global value chains,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considering the wide scope that encompasses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different countries, regions, cultures, and sociodemographic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profiles, the area is characterized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being interdisciplinary. According to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organizational objects under analysis, it may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 necessary to link models and theories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involving global strategies, consumer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behavior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social networks, culture, value, and ethics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consumption, to name just a few.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search for the 10 most cited articles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the Scopus platform, using the expression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“global value chain” with a filter in the title,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resulted in the following list: 1. Gereffi et al.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(2005), on governance in GVCs; 2. Frohlich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Westbrook (2001), regarding the integration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global strategies; 3. Humphrey and Schmitz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(2002), on GVCs and industrial clusters; 4.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Rugman and Verbeke (2004), who show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differences between the internalization 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approach and the GVC approach (the questions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assumptions are different rather than similar);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5.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Manuj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 Mentzer (2008), on rich strategies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global supply chain; 6. Horvath (2001),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who write about collaboration in global chains;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7. Andersen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Skjoett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-Larsen (2009), who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focus on social responsibility in global chains;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8. Barrientos, Gereffi, and Rossi (2011), on new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paradigms in production networks; 9. Gereffi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Lee (2012), on the growing importance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GVCs; and, finally, 10.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Saliola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Zanfei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(2009),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regarding GVCs and knowledge transfer. Here, it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is important to point out that although the criteria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we used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were exactly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same for the four research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areas, there is a problem with the widespread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differential use of the term value chain. 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 example, in Frohlich and Westbrook’s (2001)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article, although highly cited under the adopted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criteria, the term value chain only appears once,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one of the items listed in the references.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list illustrates that most of these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articles were written in the current century,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when the subject matter became important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and academia. The second observation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concerns the emphasis placed by these articles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strategies and networks. The data indicate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integration effort can be observed from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early stages of the academic discourse on GVCs,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the aim of this article to provide a systematic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synthesis is justified and consistent with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academic production.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Reading the key parts of these articles,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i.e., the abstract, introduction, and basic concept,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enabled us to develop a representation of the GVC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a scientific field, as described in Table 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The GVC literature converges around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common definition of their “object of analysis”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following way: “Value chains contain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fragmented, modularized activities across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inputoutput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markets, and describe interconnected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industrial processes. They are typically presented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the sequence of: product (service) design, supply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 input materials, production, marketing,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distribution, post-sales services to consumers,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disposal after use” (Todeva &amp; Rakhmatullin,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2016a). As such, the GVC literature encompasses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much of the organization and management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knowledge on interconnected business activities,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renders itself closer to the strategy literature,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where the concept of connected and dynamic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capabilities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receives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 more thorough treatment.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MrsEavesBold" w:hAnsi="MrsEavesBold" w:cs="MrsEavesBold"/>
          <w:b/>
          <w:bCs/>
          <w:color w:val="000000"/>
          <w:sz w:val="24"/>
          <w:szCs w:val="24"/>
        </w:rPr>
        <w:t xml:space="preserve">3.3 </w:t>
      </w: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Strategy literature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literature on entrepreneurship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management began with the work of Penrose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(1959), whose ideas subsequently gave rise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so-called Resource-Based View (Barney,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1991). The original ideas encapsulate a process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inbound and outbound resource flows. Porter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(1985) adds to this analytical tool the notion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value chains and value systems, which details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resources and capabilities that can be owned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developed by companies and the internal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external connectivity of resource and activity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flows. One addition is the representation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activities that add value to the production chain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(Todeva &amp; Rakhmatullin, 2016a).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search was run in the Scopus platform,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using the expression “strategy” to find articles.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Additionally, the search was run with a filter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title, to select articles that had the word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“strategy” – or “strategies” – in their title. 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expression “strategy” is popular in many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areas of knowledge, in order to have a consistent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selection of articles, it was necessary to add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focus on business in the platform’s range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possibilities. The 10 most cited articles on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Scopus platform with the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aforementioned filters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resulted in the following list: 1. Dyer and Singh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(1998), who examine cooperation as a strategy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organizations; 2. Grant (1991), on resource-based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theory and strategy formulation; 3. Porter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Kramer (2006), on strategy, society, competitive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advantage, and corporate social responsibility;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4. Hansen,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Nohria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and Tierney (1999),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relation to knowledge management practices; 5.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Porter (2001), on strategy and the internet; 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Hoskisson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Eden, Lau, and Wright (2000),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strategy in emerging economies; 7. Mintzberg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Waters (1985), on strategy types (deliberate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emergent); 8. Teece (2010), regarding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models, business strategy, and innovation; 9.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Porter (1991), on a dynamic theory of strategy;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10. Frohlich and Westbrook (2001), on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study of supply chain strategies. This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shows a concentration of articles around the turn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century.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Looking at the titles and abstracts, we can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find some approaches regarding global chains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(Frohlich &amp; Westbrook, 2001) and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(Dyer &amp; Singh, 1998). Other publications, not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top ten, also present these approaches. When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discussing, for example, upgrading in GVCs,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notion of dynamic capabilities is implicit (Teece,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Pisano,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Shuen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1997), allowing the company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evolve within the chains. It has been known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some time that capabilities required by a firm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often depend upon its connection to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locations (Marshall, 1890), again showing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connection between strategy and networks.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Academics accept that relationships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information flows drive the learning that enables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dynamic training. Resource and knowledge flows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linked to the location in which the company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operates, as well as reacting to global competitive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forces (Todeva, 2006). Often, subsidiaries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multinational companies are locally connected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clusters. Recently, it has been recognized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 that the relationship with the location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should be considered within the strategy, even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case of multinationals (Verbeke, Kano,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Yuan, 2016). Clusters are ultimately dynamic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environments that concentrate one 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few capabilities on a regional basis (Todeva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Rakhmatullin, 2016a).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Reading the key sections of the articles,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i.e., the abstract, introduction, and basic concept,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enabled us to develop a representation of strategy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a scientific field, as described in Table 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Overall, the strategy literature extends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scientific knowledge into the realm of how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decisions and strategic choices lead to inter-firm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connectivity, which further mobilizes network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cluster capabilities for enhanced firm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performance. The literature also acknowledges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value chains are determined by production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technologies, manufacturing processes,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product/service markets. Large firms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are able to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control their own value chains and coordinate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value-added activities by managing both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their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own operations and supplier networks, alliance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partnerships, and governance platforms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outsourcing and inbound/outbound logistics,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leading to a dynamic value chain configuration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process (Todeva, 2006; Todeva &amp; Rakhmatullin,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2016a).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MrsEavesBold" w:hAnsi="MrsEavesBold" w:cs="MrsEavesBold"/>
          <w:b/>
          <w:bCs/>
          <w:color w:val="000000"/>
          <w:sz w:val="24"/>
          <w:szCs w:val="24"/>
        </w:rPr>
        <w:lastRenderedPageBreak/>
        <w:t xml:space="preserve">3.4 </w:t>
      </w: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Business networks literature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study of networks is increasingly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important in the organizational field as a result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of: (a) the growth of collective phenomena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and society; (b) recognition by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scientific community that the network format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is not a fad, but rather an alternative course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of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action for organizations; (c) the growing interest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researchers regarding the subject of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Nohria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1992).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Since its acceptance and legitimacy as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scientific field in the 1990s, the academic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managerial publications on the topic of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have become broad and diffuse, with no 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paradigm (Oliver &amp; Ebers, 1998).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are various concepts of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use principles from a variety of areas, such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economics, biology, sociology, anthropology,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psychology, and communications. The resulting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definitions can value economic aspects (Williamson,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1979) or focus on rational and strategic actions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(Gulati, 1998), social characteristics (DiMaggio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Powell, 1991), political processes (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Börzel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1998),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structural relationships (Burt, 1982;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Uzzi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1997),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networks as governance (Grandori, 2006).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search for the 10 most cited articles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Scopus platform using the expressions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“networks”, “business networks”, and “concept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networks”, without a time filter, resulted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following list: 1. Freeman (1978), who wrote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about centrality in social networks; 2.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Nahapiet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Ghoshal (1998), concerning social capital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and organizational advantage; 3.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Portes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(1998),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who focused on social capital; 4. Dyer and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Singh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(1998), regarding relationship and competitive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advantage; 5.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Uzzi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(1997), in relation to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structure and competition; 6. Powell,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Koput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Smith-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Doerr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(1996), concerning collaboration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innovation; 7. Adler and Kwon (2002),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regarding social capital; 8.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Uzzi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(1996), in relation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embeddedness and economic performance; 9.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Tsai and Ghoshal (1998), on the topic of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capital and value creation; and 10. Gulati (1998),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regarding alliances and networks.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From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analyzing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list, it is evident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most articles were published in the 1990s, just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the field of networks was becoming legitimate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academic and business circles following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changing forms of global competition.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second observation relates to the dominance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expression “social capital” in the whole list,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although it appears most in an article on structural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analysis.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field of networks remains deeply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embedded in organizational theory and thus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does not show a specific interest in relation to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globalization problem or the issues that emerge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 cross-country and cross-cultural network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interactions, which are well depicted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business literature.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Although we did not find any 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network theory, it is possible to infer that statements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about structural analysis and relationship analysis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the most frequently used in the research.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key words are “interdependence”, “complexity”,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“exchanges”. The first two (interdependence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and complexity) also appear when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analyzing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 field.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Reading the key parts of these articles,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i.e., the abstract, introduction, and basic concept,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enabled us to develop a representation of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a scientific field, as described in Table 1.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MrsEavesBold" w:hAnsi="MrsEavesBold" w:cs="MrsEavesBold"/>
          <w:b/>
          <w:bCs/>
          <w:color w:val="000000"/>
          <w:sz w:val="24"/>
          <w:szCs w:val="24"/>
        </w:rPr>
        <w:t xml:space="preserve">3.5 </w:t>
      </w: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International business literature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transition from value chains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global value chains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has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not taken place smoothly.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Although the international business field has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explored a broad range of modes of firm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internationalization and strategic alliance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formation, it has, until recently, tended to focus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the market-hierarchy dichotomy rather than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intermediate forms. Most of the research has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focused on modes of internationalization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foreign market entry, utilizing the assumption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firms as independent strategic agents, autonomous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input and output markets (Dunning, 1980,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1988, 1998; Johanson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Vahlne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1977).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significant number of articles have focused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strategic alliances and partnerships,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joint ventures, and mergers and acquisitions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without exploring the distribution of value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added within these inter-firm relationships.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business strategy literature explores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motives for and drivers of strategic alliances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partnerships, with a focus on performance rather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than value added. The discussion on knowledge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learning very often treats these concepts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assets and resources, rather than dynamic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capabilities (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Kogut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&amp; Zander, 1992).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a result, the strategic motives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drivers of cross-border operations are often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explained through a value capture, rather than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value-added argument, and chains are mainly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examined in terms of inter-firm relationships.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multinational enterprise as an object of analysis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international business literature is discussed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terms of ownership and control and through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governance lenses, or the economic lenses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intra-firm trade. These arguments rarely look 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intra-firm and inter-firm trade as a global chain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intermediate products and a strategic portfolio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ultimate global owners (parents) and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their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subsidiaries, but rather as the internalization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value added. This is one of the main reasons why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literature on GVCs and international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exhibits crossovers and cross-citation.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search for the 10 most cited articles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Scopus platform, using the expressions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“international business”, without a time filter,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resulted in the following list: 1. Johanson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Vahlne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(1977), on the internationalization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process of firms through knowledge 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increasing foreign market commitments; 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Kogut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 Singh (1988), on the effect of 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culture on the choice of entry mode; 3.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Kogut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Zander (1993), whose work examines knowledge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firm and the evolutionary theory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multinational corporation; 4. Dunning (1988),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regarding the eclectic paradigm of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production; 5. Dunning (1995), on the eclectic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paradigm in an age of alliance capitalism; 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Oviatt and McDougall (1994), who offer a 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new international ventures; 7. Hofstede (1983),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regarding the cultural relativity of 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practices and theories; 8. Agarwal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Ramaswami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(1992), on the choice of foreign-market entry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mode; 9.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Parkhe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(1991), regarding inter-firm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diversity, organizational learning, and longevity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global strategic alliances; and 10. Knight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Cavusgil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(2004), on innovation, 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capabilities, and the born-global firm.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Reading the abstracts, we can see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information, cooperation, and commitment 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consistent expressions.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One rarely discussed issue is value added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resulting from activities flows in and out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companies and regions through foreign trade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foreign investment linkages. This process is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hands of MNEs and is affected by multiple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stakeholders.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MrsEavesBold" w:hAnsi="MrsEavesBold" w:cs="MrsEavesBold"/>
          <w:b/>
          <w:bCs/>
          <w:color w:val="000000"/>
          <w:sz w:val="24"/>
          <w:szCs w:val="24"/>
        </w:rPr>
        <w:t xml:space="preserve">3.6 </w:t>
      </w: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Synthesis of the literature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Reading the key points of the selected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articles, i.e., the abstract, introduction, and basic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concept, enabled us to develop a representation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four fields, as proposed, which is shown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Table 1.</w:t>
      </w:r>
    </w:p>
    <w:p w:rsidR="00353ABC" w:rsidRDefault="00353ABC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Table 1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>The content of scientific categories across the literature on global value chains, strategy, networks,</w:t>
      </w:r>
      <w:r w:rsidR="00353ABC"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 xml:space="preserve"> </w:t>
      </w: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>and international business</w:t>
      </w:r>
    </w:p>
    <w:p w:rsidR="00353ABC" w:rsidRDefault="00353ABC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Synthesis in the literature field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>Category GVC Strategy Business Networks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>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assumption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No company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self-sufficient, so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lastRenderedPageBreak/>
        <w:t>relationships matter.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The performance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firm depends on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capabilities it can develop.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The complexity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contemporary 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field creates interdependence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and supports collective action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by enterprises.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internationalization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of firms is driven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by the comparative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advantage of host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countries, conditions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domestic market,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and global competitive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forces.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All production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processes are connected,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drawing on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channels of input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output markets.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Dynamic capabilities,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meaning that capacities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are not static, but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instead dynamic; that is,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they are influenced by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company strategy.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relationships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(exchanges) created give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access to resources.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MNEs, with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their motives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internationalization,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are mainly driven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by performance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maximization.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Variants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contemporary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theories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Global capabilities;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network chain.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Value systems; interfirm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networks.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Social capital; network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governance.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Internationalization;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foreign market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entry; foreign direct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investment.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phenomenon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to be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explained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global division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labor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and links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firms.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Connections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lastRenderedPageBreak/>
        <w:t>business strategy,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local networks,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such as clusters,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performance in GVCs.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Collective action,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independent of the goals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to be achieved.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Portfolio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operations of MNEs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and the impact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of environmental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conditions.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scope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analysis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whole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organizational field.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Capabilities that firms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develop or obtain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within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to which they 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connected.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People or organizations;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one actor in the network,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two actors (dyadic),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many actors (the whole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network).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MNEs, subsidiaries,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and portfolio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operations.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most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frequent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search topics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Process,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production models,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structure of channels.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Strategic decisions,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capability development,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acquisition of resources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 networks.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Social capital, solutions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around resource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dependence, strategies,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and social variables.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Motives for and drivers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of internationalization,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 impact of culture,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foreign market entry,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and market knowledge.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mode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knowledge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construction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Moving from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situation of case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description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generalizations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theory formation. Tests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of models have already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been carried out.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lastRenderedPageBreak/>
        <w:t xml:space="preserve">Empirical,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analyzing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cases of success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failure.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No dominant theoretical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position; case studies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with some generalizations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accepted by academic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community.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Comparative case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studies.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research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techniques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Process follow-up,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quantitative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qualitative studies.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Interviews, application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of questionnaires,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model tests.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Qualitative, with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interviews;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quantitative, with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structural analysis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connections and positions;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growing importance of big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data analysis.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Global surveys,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econometric models,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secondary data,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business statistics.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MrsEavesBold" w:hAnsi="MrsEavesBold" w:cs="MrsEavesBold"/>
          <w:b/>
          <w:bCs/>
          <w:color w:val="000000"/>
          <w:sz w:val="28"/>
          <w:szCs w:val="28"/>
        </w:rPr>
        <w:t xml:space="preserve">4 </w:t>
      </w: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The Convergence of the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Categories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Having completed the analysis within each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field, the next step was to search for coincident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occurrences across all four fields. The search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“GVC–Network–Strategy–International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Business” in the title generated no results. Next,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we ran the search in pairs of these words, with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third one as a general filter. Thus, as an example,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we looked for “GVC” and “Network”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title and “Strategy” as a general filter. In the next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paragraphs, we describe and briefly comment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results of these searches.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When running the search in pairs,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keeping “GVC” and “Strategy” in the title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using the expression “Network” as a general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filter, 12 documents were found; one of these was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work of Brennan and Rakhmatullin (2017)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examining the role of global value chains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context of smart specialization strategies.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Running the search using “GVC”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“Network” in the title and “Strategy” as a general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filter resulted in 18 documents. Three are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interest: Horner (2017), who discussed actors’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roles in GVCs; De Marchi et al. (2014), regarding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 management of global networks;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Parrilli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Nadvi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and Yeung (2013), who focused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comparing local and regional development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global value chain, production networks,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innovation networks.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search using the words “Network”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“Strategy” in the title and “GVC”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general filter yielded eight publications. Two 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interest for this paper: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Rudberg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Olhager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(2003), who combine manufacturing networks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supply chains in a strategy perspective;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Chang (2012), whose work concerns strategy,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network structure, channels, and global leaders.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Running the search using “International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Business” and “Strategy” resulted in 110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documents. Adding a third expression such 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 or Network resulted in no documents.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reason why no articles arise when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searching using the three (and, of course, four)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keywords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remains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unanswered. It is intriguing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because when the search is conducted in pairs,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are approximations that can be juxtaposed.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 an example, when running the search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pairs, convergences appear with the keywords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“complexity”, “interdependence”, “exchange”,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“new form of competition” (global and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groups). For other terms, when searching using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three words instead of two, no results (articles)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came up. However, when we read the articles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resulted from the search in pairs we saw that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their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content was convergent with the other themes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(words) searched. Thus, although the articles’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research was convergent, maybe due to different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terminology, they did not appear in some searches.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Clearly, these literatures overlap on the issues they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trying to understand, even if they do not use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identical terminology.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example, apparent complexity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used in the four areas, relating to uncertainty,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unpredictability, multiple specialty requirements,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mutability of phenomena, and the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behavior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people in the organizational field. In this context,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interdependence arises. As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Rusbult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and Arriaga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(1997) note, interdependence means that no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person or organization holds all the resources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necessary to carry out tasks; thus, associations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 other parties are required. Recognition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interdependence on the part of entrepreneurs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leads to the necessary exchange of resources.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exchange results from understanding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complex organizational field and the condition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interdependence.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Thus, the four areas advocate the same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principle in understanding the 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field: complexity. Mirroring the interdependence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people, firms are driven to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enter into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exchanges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with other companies. The starting action,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therefore, is the collective system of exchange: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seek some protection against a complex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environment and solve resource dependencies.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 analysis of the statements presented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tables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raises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possibility of inferring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convergences between the four fields. These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are presented in Table 2. One example of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our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inferential reasoning is the following: in the GVC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field, a central research topic is described by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word “integration”; in the area of strategy, it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“partnership”; while in the area of networks, it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“commitment”. The concept related to all three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results from the same principle of needing others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order to complement resources. This point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placed as a dominant statement in Table 2.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Table 2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>The convergence between principles in the fields of GVCs, strategy, networks, and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>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Category Synthesis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The Dominant Assumption Complex environment created interdependence, demanding cooperation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exchange among organizations.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The Dominant Theory Resource dependence.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To address dependence, networks and exchange are identified as resources.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What is the phenomenon to be explained? The modes and operations of exchange between actors.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 xml:space="preserve">What is the scope of analysis? The relationships and </w:t>
      </w:r>
      <w:proofErr w:type="spellStart"/>
      <w:r>
        <w:rPr>
          <w:rFonts w:ascii="AGaramondPro-Regular" w:hAnsi="AGaramondPro-Regular" w:cs="AGaramondPro-Regular"/>
          <w:color w:val="000000"/>
          <w:sz w:val="18"/>
          <w:szCs w:val="18"/>
        </w:rPr>
        <w:t>behavior</w:t>
      </w:r>
      <w:proofErr w:type="spellEnd"/>
      <w:r>
        <w:rPr>
          <w:rFonts w:ascii="AGaramondPro-Regular" w:hAnsi="AGaramondPro-Regular" w:cs="AGaramondPro-Regular"/>
          <w:color w:val="000000"/>
          <w:sz w:val="18"/>
          <w:szCs w:val="18"/>
        </w:rPr>
        <w:t xml:space="preserve"> of individuals and/or organizations.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Organizational modes of exchange and competition.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What are the most frequent search topics? Exchange, relationships, value creation, and network strategy.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Dominant mode of knowledge construction Empirical, with case studies to search for and deduce generalizations, even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recognizing the specificity of each network.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Dominant research techniques Case studies, from conjunction variable modes, in research designs of causal,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corresponding, or systemic relationships.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Qualitative research with interviews; quantitative research with flow analysis,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structural analysis, and secondary data.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this analysis and synthesis, we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observe that there are some interactions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different strands of the literature. As examples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synthesis, the idea of the complex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environment comes from strategy, as does resource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dependence. The concepts of exchange, actors,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relationships are present in the network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literature. These, in addition to value creation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influence of resources, are present in the GVC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literature. However, such interactions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different literatures have been mostly between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one another, and there are not enough for it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 systematic. Although we are aware that there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is a long road ahead, this paper does advance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in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direction of systematically studying the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 of literature.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MrsEavesBold" w:hAnsi="MrsEavesBold" w:cs="MrsEavesBold"/>
          <w:b/>
          <w:bCs/>
          <w:color w:val="000000"/>
          <w:sz w:val="28"/>
          <w:szCs w:val="28"/>
        </w:rPr>
        <w:t xml:space="preserve">5 </w:t>
      </w: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Final comments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consideration of the theme of this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special issue, this paper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analyzed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interfaces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between the four fields using the categories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define a scientific area. The result was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convergence appeared such that it can be asserted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the four fields may move towards integration.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interdisciplinary movement seems to be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scientific one that is coherent with the integration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social phenomena (such as the internet).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networked society, connected by new values,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ethics, rituals, and social practices – including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practices – requires theories capable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dealing with the complexity, unpredictability,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global scope of these phenomena.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the analysis of the most cited articles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the four fields investigated – GVCs, Strategy,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Networks, and International Business – we find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principles that are applicable to all. However,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analysis also showed that integration efforts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rare. One of the reasons, as interpreted based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the research experience of the authors, is that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positivist methodology, with its division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analysis of components, is still very strong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widespread within academia, making it difficult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find unity.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Our attention now returns to the questions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posed in the introduction of this paper: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(1) What is the intersection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 on GVCs, strategy, business networks,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international business where conceptual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clarity and consensus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has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already emerged? In this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paper, we demonstrated the intersection in Table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2. While full clarity was not obtained, it does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throw light on the convergences that exist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literature, at least in the most cited papers in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Scopus database. In terms of consensus, although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it is not explicit, we can see that the 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assumption regarding the complex environment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created interdependence is consensual. Also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consensual is the fact that such interdependence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demands cooperation among organizations.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is conceptual clarity and consensus on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dominant theory as well, pointing to resource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dependence (as shown in Table 2). All four fields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try to explain modes and operations of exchange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between actors. In terms of the scope of analysis,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most cited articles in all four fields focus 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 relationships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behavior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of individuals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organizations, and on organizational modes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exchange and competition. In all four fields,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most investigated topics are exchange,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relationships, value creation, and network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strategy. Also, in all four fields, the dominant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mode of knowledge construction is empirical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terms of research techniques, case studies are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mostly used in all four using qualitative methods.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(2) In what ways might emergent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research themes – for example, the circular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economy, multi-stakeholder governance, and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internationalization of knowledge and technology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– use common knowledge from the four areas as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 analytical tool to sharpen our understanding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these phenomena? The convergences found,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while they do not allow us to address these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issues directly, may bring some light to these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new research themes. The first point relates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the dominant assumption that, currently,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environmental complexity is not diminishing;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perhaps on the contrary, the world is becoming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more and more complex, creating more and more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interdependence, and demanding more and more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cooperation and exchange among organizations.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increase in complexity derives from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three examples in the question: the circular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economy, multi-stakeholder governance, and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internationalization of knowledge and technology.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circular economy makes the issue of resources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more complex, probably leading to a revision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concept. Multi-stakeholder governance will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doubtless also lead to a revision of the concept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resources as well as their acquisition. These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phenomena can likely be better explained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dealt with by the dominant theory in the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 of literature: resource dependence.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fact,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with regard to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the circular economy, actors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behave differently from how they used to. Multistakeholder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governance brings more actors to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table, thus requiring more sophisticated forms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explaining their modes and operations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exchange, which the common knowledge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four areas can probably do.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(3) How might GVC analysis in issues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such as innovation make effective use of concepts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developed by the business networks, strategy,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business literature? As we can see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Tables 1 and 2, each field can take advantage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effectively use the propositions and models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the other fields. As an example, the concept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network orchestration (Perks,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Kowalkowski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Witell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&amp; Gustafsson, 2017) may be useful when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investigating global chains in the supportive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economy, using the GVC perspective.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theoretical contribution of this article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is based on the idea that although the four research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 – GVCs, Business Networks, Strategy,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International Business – advance independently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each other, common origins can be observed,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thus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enabling a set of common propositions.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starting point of the proposed integration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presented in Table 2 and one possible next step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may be to refine these convergences, using clear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wording in a way that can be understood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applied by researchers in any of the investigated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fields. As with any intellectual effort, this one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has its limitations. One of these that deserves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mentioning relates to the selection of the articles.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Although we used the same criteria for the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research areas, there is the possibility that 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important article may have been left out of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selection. The opposite is also possible, as we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may have included a paper that is not considered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very important by the community of researchers,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despite meeting the proposed criteria.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article also makes a methodological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contribution, putting forward the proposition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that there are theoretical and methodological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aspects that are common to the four fields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synthetizing them, thus allowing for replications,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new conjectures, and the possibility of migrating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research that was developed in one field to another.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Thus, as an example, GVC research on the circular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economy may be replicated or complemented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by researchers who base their investigations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strategy or international business literature.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One research opportunity that this study did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not explore is examining in greater depth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commonalities and differences between the four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areas. One concrete suggestion in this regard 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 systematically explore the content of Table 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There have, in fact, already been efforts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integrate the fields, namely the 2030 Agenda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Sustainable Development (United Nations, 2015).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principles on which some of these initiatives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are based prioritize exchanges, relationships,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collective value creation. These words refer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collective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endeavors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which are the converging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focus of analysis in the four fields of GVCs,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 Networks, Strategy, and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Business.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8"/>
          <w:szCs w:val="28"/>
        </w:rPr>
      </w:pPr>
      <w:r>
        <w:rPr>
          <w:rFonts w:ascii="AGaramondPro-Bold" w:hAnsi="AGaramondPro-Bold" w:cs="AGaramondPro-Bold"/>
          <w:b/>
          <w:bCs/>
          <w:color w:val="000000"/>
          <w:sz w:val="28"/>
          <w:szCs w:val="28"/>
        </w:rPr>
        <w:t>References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Adler, P. S., &amp; Kwon, S.-W. (2002).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capital: Prospects for a new concept.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Academy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Management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17-40.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Agarwal, S.,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Ramaswami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S. (1992). Choice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foreign-market entry mode – impact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ownership, location and internalization factors.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1-27.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Andersen, M.,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Skjoett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-Larsen, T. (2009).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Corporate social responsibility in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supply chains.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Supply Chain Management: 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Journal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14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75-86.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Baldwin, R., &amp; Lopez-Gonzalez, J. (2015).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Supply-chain trade: A portrait of global patterns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and several testable hypotheses.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World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Economy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(11), 1682-721.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Barney, J. B. (1991). Firm resources and sustained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competitive advantage.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Management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99-120.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Barrientos, S., Gereffi, G., &amp; Rossi, A. (2011).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Economic and social upgrading in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production networks: A new paradigm for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changing world.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Labour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150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(3-4), 319-340.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Bernard, A. B., &amp; Fort, T. C. (2015).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Factoryless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goods producing firms.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American Economic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Review: Papers &amp; Proceedings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105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(5), 518-523.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Börzel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T. A. (1998). Organizing Babylon ‐ On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different conceptions of policy networks.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Public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Administration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76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253-273.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Brennan, L., &amp; Rakhmatullin, R. (2017).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Transnationalizing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smart specialization strategy. In 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Radosevic, A.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Curaj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R.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Gheorghiu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L. Andreescu, &amp; I.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Wade (Eds.).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Advances in the theory and practice of smart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specialization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(pp. 249 – 268). London: Elsevier.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Buckley, P. J. (2009). The impact of the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factory on economic development.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World Business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44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131-43.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Burt, R. S. (1982).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Toward a structural theory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action network models of social structure, perception,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and action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New York: Academic Press Inc.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Castells, M. (1996).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rise of networks society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Malden, MA: John Wiley &amp; Sons Ltd.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Chang, Y. (2012). Strategy, structure and channel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for global leaders of industrial service: A flow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chart analysis of the expanded value network.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Journal of Services Technology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Management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(2-4), 138-162.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Crescenzi, R.,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Pietrobelli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C.,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Rabellotti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R.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(2014). Innovation drivers, value chains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geography of multinational corporations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Europe.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Economic Geography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14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(6),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1053-1086.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 Marchi, V., Di Maria, E., &amp; Ponte, S. (2014).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Multinational firms and the management of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networks: Insights from global value chain studies.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 T. Pedersen, M.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Venzin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T. M.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Devinney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&amp; L.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Tihanyi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(Eds.).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Orchestration of the global network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organization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(Vol. 27, pp. 463-486). Bingley: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Emerald Group Publishing Limited.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De Marchi, V., Giuliani, E.,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Rabellotti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R.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(2017). Do global value chains offer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developing</w:t>
      </w:r>
      <w:proofErr w:type="gram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countries learning and innovation opportunities?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European Journal of Development Research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30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389-407.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Deleuze, </w:t>
      </w:r>
      <w:proofErr w:type="gramStart"/>
      <w:r>
        <w:rPr>
          <w:rFonts w:ascii="AGaramondPro-Regular" w:hAnsi="AGaramondPro-Regular" w:cs="AGaramondPro-Regular"/>
          <w:color w:val="000000"/>
          <w:sz w:val="21"/>
          <w:szCs w:val="21"/>
        </w:rPr>
        <w:t>G..</w:t>
      </w:r>
      <w:proofErr w:type="gram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Guattari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F. (2004)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 thousands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plateaus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London: Continuum.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DiMaggio, P. J., &amp; Powell, W. W. (1991).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Introduction. In W. W. Powell, &amp; P. J. DiMaggio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(Eds).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New Institutionalism in 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Analysis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(pp. 1-38). London and Chicago: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University of Chicago Press.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Dunning, J. H. (1980). Toward an eclectic 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international production: Some empirical tests.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9-31.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Dunning, J. H. (1988). The eclectic paradigm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of international production – a restatement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some possible extensions.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1-31.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Dunning, J. H. (1995). Reappraising the eclectic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paradigm in an age of alliance capitalism.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of 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26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461-491.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Dunning, J. H. (1998). Location and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multinational enterprise: A neglected factor?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45-66.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Dyer, J., &amp; Singh, H. (1998). The relational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view: Cooperative strategy and sources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interorganizational competitive advantage.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Academy of Management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(4), 660-679.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Freeman, L. C. (1978). Centrality in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networks conceptual clarification.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Social Networks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215-239</w:t>
      </w:r>
      <w:r>
        <w:rPr>
          <w:rFonts w:ascii="AGaramondPro-Bold" w:hAnsi="AGaramondPro-Bold" w:cs="AGaramondPro-Bold"/>
          <w:b/>
          <w:bCs/>
          <w:color w:val="000000"/>
          <w:sz w:val="21"/>
          <w:szCs w:val="21"/>
        </w:rPr>
        <w:t>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Frohlich, M., &amp; Westbrook, R. (2001). Arcs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integration: An international study of supply chain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strategies.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Operations Management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185-200.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Gereffi, G. (1999). International trade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industrial upgrading in the apparel commodity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chain.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Economics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37–70.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Gereffi, G., Humphrey, J. &amp; Sturgeon, T. (2005).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 governance of global value chains.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Review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Political Economy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12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78–104.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Gereffi, G., &amp; Lee, J. (2012). Why the world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suddenly cares about global supply chains.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of Supply Management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24-32.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Gereffi, G., &amp; Lee, J. (2016). Economic and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upgrading in global value chains and industrial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clusters: Why governance matters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. J Bus Ethics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133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25-38.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Grandori, A. (2006). Uncertainty, innovation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relational governance: A typology.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Industry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Innovation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127-133.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Grant, R. (1991). The resource-based theory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competitive advantage: Implications for strategy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formulation.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California Management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114-135.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Gulati, R. (1998). Alliances and networks.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Strategic Management Journal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(4), 293-317.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Hansen, M.,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Nohria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N., &amp; Tierney, T. (1999).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What’s your strategy for managing knowledge?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Harvard Business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77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106-116.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Hofstede, G. (1983). The cultural relativity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organizational practices and theories.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14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75-89.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Horner, R. (2017). Beyond facilitator? State roles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global value chains and global production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networks.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Geography Compass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1-13.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Horvath, L. (2001). Collaboration: The key to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value creation in supply chain management.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Supply Chain Management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6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(5), 205-2017.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Hoskisson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R., Eden, L., Lau, C., &amp; Wright, M.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(2000). Strategy in emerging economies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Academy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of Management Journal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249-267.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Humphrey, J. (2014). Internalisation theory,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global value chain theory and sustainability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standards. In Van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Tulder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R., Verbeke, A.,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Strange, R. (Eds.).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Business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Sustainable Development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(pp. 91-114). Bingley,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UK: Emerald Group Publishing Limited.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Humphrey, J., &amp; Schmitz, H. (2002). How does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insertion in global value chains affect upgrading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 industrial clusters?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Regional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36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(9),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1017-1027.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Johanson, J.,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Vahlne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J. (1977). Internationalization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process of firm - model of knowledge development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increasing foreign market commitments.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23-32.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Kaplinsky, R. (2000). Globalisation and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unequalisation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what can be learned from value chain analysis?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Development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117-146.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Kaplinsky, R., &amp; Morris, M. (2002).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 handbook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for value chain research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Institute of 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Studies (IDS), Brighton, United Kingdom.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Retrieved from http://www.ids.ac.uk/ids/global/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pdfs/VchNov01.pdf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Kaplinsky, R., Morris, M.,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Readman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J.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(2002). The globalization of product markets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immiserizing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growth: Lessons from the South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African furniture industry.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World Development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30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(7), 1159–1177.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Keijser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C., &amp; Iizuka, M. (2018). Looking beyond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global value chains in capacity development: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case of the IT-enabled services (ITES) Sector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South Africa.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European Journal of 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Research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30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442-461.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Knight, G.,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Cavusgil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S. (2004). Innovation,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organizational capabilities, and the born-global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firm.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35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 124-141.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Kogut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B., &amp; Singh, H. (1988). The effect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national culture on the choice of entry mode.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411-432.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Kogut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B., &amp; Zander, U. (1992). Knowledge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firm. Combinative capabilities, and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replication of technology.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Organization Science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383-397.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Kogut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B., &amp; Zander, U. (1993). Knowledge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the firm and the evolutionary–theory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 multinational–corporation.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24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(4), 625-645.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Kuhn, T. (1962).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structure of scientific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revolutions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Chicago: University of Chicago Press.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Lema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R. (2014). Offshore outsourcing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innovation capabilities in the supply base: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evidence from software firms in Bangalore.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lastRenderedPageBreak/>
        <w:t>Int. J. Technological Learning, Innovation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Development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19-46.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Lorenzen, M.,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Mudambi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R. (2013). Clusters,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connectivity and catch-up: Bollywood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Bangalore in the global economy.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Economic Geography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501-534.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Manuj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I., &amp; Mentzer, J. (2008). Global supply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chain risk management.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Logistics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133-155.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Marshall, A. (1890).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Principles of economics book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four: The agents of production: Land, Labour, capital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and organization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(Electronic version). Retrieved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https://www.marxists.org/reference/subject/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economics/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marshall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/bk4ch10.htm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Meyer-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Stamer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. J., Maggi, C., &amp; Seibel, S. (2004).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Upgrading in the tile industry of Italy, Spain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and Brazil: Insights from cluster and value chain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analysis. In H Schmitz (Ed.).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Local Enterprises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the Global Economy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(pp. 174-99). Cheltenham: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Edward Elgar.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Mintzberg, H., &amp; Waters, J. (1985). Of strategies,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deliberate and emergent.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Strategic Management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6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257-272.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Morin, E. (1990).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Introduction à la pensée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complexe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. Paris: ESF.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Morrison, A.,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Rabellotti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R.,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Zirulia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L. (2012).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When do global pipelines enhance the diffusion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knowledge in clusters?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Economic Geography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89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77-96.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Nadvi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K. (2008). Global standards,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governance and the organization of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value chains,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Economic Geography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323–343.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Nadvi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K., &amp; Halder, G. (2005). Local clusters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global value chains: Exploring dynamic linkages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between Germany and Pakistan.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Entrepreneurship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&amp; Regional Development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(5), 339-363.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Nahapiet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J., &amp; Ghoshal, S. (1998). Social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capital, intellectual capital, and the 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advantage.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Academy of Management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242-266.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Narula, R.,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Wahed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M. S. (2017).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dominant presence of MNEs in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Agro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-Food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GVCs: Implications for developing countries.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In G.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Mergos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&amp; M.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Papanastassiou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(Eds.).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Food security and sustainability: Investment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financing along </w:t>
      </w:r>
      <w:proofErr w:type="spellStart"/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agro</w:t>
      </w:r>
      <w:proofErr w:type="spellEnd"/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-food value chains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(pp. 71-88).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Aldershot: Palgrave Macmillan.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Nohria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N. (1992). Is a network perspective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 useful way of studying organizations?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N.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Nohria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&amp; R. Eccles (Eds.),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Networks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organizations: Structure, form, and action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(pp.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1-22). Boston: Harvard Business School.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Oliver, A. L., &amp; Ebers, M. (1998). Networking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network studies: An analysis of conceptual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configurations in the study of inter-organizational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 xml:space="preserve">relationships.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Organization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(4), 549-583.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Organization for Economic Cooperation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Development, World Trade Organization,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World Bank Group (2014).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Global Value Chains: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Challenges, Opportunities, and Implications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Policy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Report prepared for submission to 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G20 Trade Ministers Meeting Sydney, Australia,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19 July. Retrieved from https://www.oecd.org/tad/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gvc_report_g20_july_2014.pdf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Oviatt, B., &amp; McDougall, P. (1994). Toward 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theory of international new ventures.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25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45-64.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Parkhe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A. (1991). Interfirm diversity,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organizational learning, and longevity in 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strategic alliances.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22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(4), 579-601.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Parrilli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M. D.,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Nadvi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K., &amp; Yeung, H. W.-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C. (2013). Local and regional development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global value chains, production networks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innovation networks: A comparative review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and the challenges for future research.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European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Planning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(7), 967–988.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Penrose, E. T. (1959).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theory of the growth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firm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Oxford University Press: New York.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Perks, H.,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Kowalkowski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C.,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Witell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L.,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Gustafsson, A. (2017). Network orchestration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value platform development.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Industrial Marketing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Management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67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 106-121.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Pietrobelli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C.,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Staritz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C. (2018). Upgrading,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interactive learning, and innovation systems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value chain interventions.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European 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Development Research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30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557-574.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Popper, K., &amp; Hansen, T. (Eds.). (2014).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two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fundamental problems of the theory of Knowledge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Abingdon-on-Thames: Routledge.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Porter, M. E. (1985).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Competitive advantage: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Creating and sustaining superior performance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New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York: Free Press.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Porter, M. E. (1991). Towards a dynamic theory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strategy.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Strategic Management Journal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12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S), 95-117.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Porter, M. E. (2001). Strategy and the internet.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Harvard Business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79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62-78.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Porter, M. E., &amp; Kramer, M. (2006). Strategy &amp;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society: The link between competitive advantage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and corporate social responsibility.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Harvard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Business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84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(12), 78-92.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Portes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A. (1998). Social capital: Its origins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applications in modern sociology.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Annual Review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of Sociology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24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 1-24.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Powell, W. W.,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Koput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K. W., &amp; Smith-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Doerr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L. (1996). Interorganizational collaboration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 locus of innovation: Networks of learning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biotechnology.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Administrative Science Quarterly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116-145.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Rudberg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M.,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Ollager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J. (2003). Manufacturing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networks and supply chains: An operation strategy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perspective.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Omega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29-39.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Rugman, A., &amp; Verbeke, A. (2004). A perspective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on regional and global strategies of multinational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enterprises.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35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3–18.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Rusbult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C., &amp; Arriaga, X. (1997). Interdependence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theory. In S. Duck (Ed.).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Handbook of personal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 xml:space="preserve">relationship: Theory, research and interventions 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(pp.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221-250). London: John Wiley &amp; Sons.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Sako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M.,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Zylberberg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E. (2017). Supplier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strategy in global value chains: Shaping governance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and profiting from upgrading.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Socio-Economic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1 – 21.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doi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: https://doi.org/10.1093/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ser/mwx049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Saliola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F.,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Zanfei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A. (2009). Multinational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firms, global value chains and the organization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knowledge transfer.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Research Policy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369-381.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Strange, R., &amp; Humphrey, J. (2018). What lies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between market and hierarchy? Insights from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internalization theory and global value chain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theory.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International Business Studies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doi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: http://dx.doi.org/10.1057/s41267-018-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0186-0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Sturgeon, T., Van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Biesebroeck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J., &amp; Gereffi,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G. (2008). Value chains, networks and clusters: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reframing the global automotive industry.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of Economic Geography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297-321.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Tajoli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L. &amp; Felice, G. (2018). Global Value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Chains Participation and Knowledge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Spillovers</w:t>
      </w:r>
      <w:proofErr w:type="spellEnd"/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 Developed and Developing Countries: 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Empirical Investigation.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European Journal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Development Research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30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505-532.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Teece, D. (2010). Business models, business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strategy and innovation.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Long Range Planning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43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(2-3), 172-194.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Teece, D. J., Pisano, G., &amp;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Shuen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A (1997).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Dynamic capabilities and strategic management.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Strategic Management Journal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18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(7), 509-533.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Todeva, E. (2006).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Business Networks: Strategy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Structure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New York: Taylor &amp; Francis.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Todeva, E., &amp; Rakhmatullin, R. (2016a). Industry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global value chains, connectivity and regional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smart specialisation in Europe.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An Overview of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Theoretical Approaches and Mapping Methodologies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(JRC Science for Policy Report, European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Union, EUR 28086 EN). Retrieved from http://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s3platform.jrc.ec.europa.eu/documents/20182/154989/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JRC102801_lfna28086enn.pdf/04c2d91c-1e88-458da61c-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4a5a12b42653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Todeva, E., &amp; Rakhmatullin, R. (2016b).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Global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value chains mapping: Methodology and cases for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policy makers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(JRC Science for Policy Report,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European Union, EUR 28085 EN). Retrieved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 http://s3platform.jrc.ec.europa.eu/-/global-valuechains-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lastRenderedPageBreak/>
        <w:t>mapping-methodology-and-cases-for-policymakers-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thematic-work-on-value-chain-mapping-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inthe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-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context-of-smart-specialisation?inheritRedirect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=true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Tsai, W., &amp; Ghoshal, S. (1998). Social capital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value creation: The role of intrafirm networks.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Academy of Management Journal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(4), 464-476.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United Nations Conference on Trade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Development (2013).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World Investment Report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2013: Global Value Chains: Investment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Trade for Development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, Geneva and New York: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United Nations Publication, 1-264, Retrieved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from: http://unctad.org/en/publicationslibrary/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diae2013d1_en.pdf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United Nations Industrial 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Organization (2009).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Industrial Development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Report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 Retrieved from https://www.unido.org/sites/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default/files/2009-02/IDR_2009_print_0.PDF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United Nations (2015).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Transforming our World: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The 2030 Agenda for Sustainable Development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Retrieved from https://sustainabledevelopment.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un.org/content/documents/21252030%20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Ag enda%2 0f or%2 0Sus t a </w:t>
      </w: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 n a b le%2 0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Development%20web.pdf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Uzzi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B. (1996). The Sources and Consequences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of Embeddedness for the Economic Performance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of Organizations: The Network Effect.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American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Sociological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61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(4), 674-698.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proofErr w:type="spellStart"/>
      <w:r>
        <w:rPr>
          <w:rFonts w:ascii="AGaramondPro-Regular" w:hAnsi="AGaramondPro-Regular" w:cs="AGaramondPro-Regular"/>
          <w:color w:val="000000"/>
          <w:sz w:val="21"/>
          <w:szCs w:val="21"/>
        </w:rPr>
        <w:t>Uzzi</w:t>
      </w:r>
      <w:proofErr w:type="spellEnd"/>
      <w:r>
        <w:rPr>
          <w:rFonts w:ascii="AGaramondPro-Regular" w:hAnsi="AGaramondPro-Regular" w:cs="AGaramondPro-Regular"/>
          <w:color w:val="000000"/>
          <w:sz w:val="21"/>
          <w:szCs w:val="21"/>
        </w:rPr>
        <w:t>, B. (1997). Social structure and competition in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interfirm networks: The paradox of embeddedness.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Administrative Science Quarterly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42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(1), 35-67.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Verbeke, A., Kano, L., &amp; Yuan, W. (2016).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Inside the regional multinationals: A new value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chain perspective on subsidiary capabilities.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International Business Review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25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(3), 785–793.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Williamson, O. E. (1979). Transaction-Cost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Economics: The Governance of Contractual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Relations.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Journal of Law and Economics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 xml:space="preserve">, </w:t>
      </w:r>
      <w:r>
        <w:rPr>
          <w:rFonts w:ascii="AGaramondPro-Italic" w:hAnsi="AGaramondPro-Italic" w:cs="AGaramondPro-Italic"/>
          <w:i/>
          <w:iCs/>
          <w:color w:val="000000"/>
          <w:sz w:val="21"/>
          <w:szCs w:val="21"/>
        </w:rPr>
        <w:t>22</w:t>
      </w:r>
      <w:r>
        <w:rPr>
          <w:rFonts w:ascii="AGaramondPro-Regular" w:hAnsi="AGaramondPro-Regular" w:cs="AGaramondPro-Regular"/>
          <w:color w:val="000000"/>
          <w:sz w:val="21"/>
          <w:szCs w:val="21"/>
        </w:rPr>
        <w:t>(2),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  <w:r>
        <w:rPr>
          <w:rFonts w:ascii="AGaramondPro-Regular" w:hAnsi="AGaramondPro-Regular" w:cs="AGaramondPro-Regular"/>
          <w:color w:val="000000"/>
          <w:sz w:val="21"/>
          <w:szCs w:val="21"/>
        </w:rPr>
        <w:t>233-261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1"/>
          <w:szCs w:val="21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 xml:space="preserve">Supporting Agencies: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The authors acknowledge the support of CAPES, FAPESP, and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Sylff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- The Ryoichi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Sasakawa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Young Leaders Fellowship Fund.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>About the Authors: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0"/>
          <w:szCs w:val="20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 xml:space="preserve">1. John Humphrey,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Phd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>, University of Sussex Business School, Brighton BN1 9SL, UK.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Email: humphrey041@gmail.com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88FF1F"/>
          <w:sz w:val="20"/>
          <w:szCs w:val="20"/>
        </w:rPr>
      </w:pPr>
      <w:r>
        <w:rPr>
          <w:rFonts w:ascii="AGaramondPro-Regular" w:hAnsi="AGaramondPro-Regular" w:cs="AGaramondPro-Regular"/>
          <w:color w:val="697E7E"/>
          <w:sz w:val="20"/>
          <w:szCs w:val="20"/>
        </w:rPr>
        <w:t>ORC</w:t>
      </w:r>
      <w:r>
        <w:rPr>
          <w:rFonts w:ascii="AGaramondPro-Regular" w:hAnsi="AGaramondPro-Regular" w:cs="AGaramondPro-Regular"/>
          <w:color w:val="88FF1F"/>
          <w:sz w:val="20"/>
          <w:szCs w:val="20"/>
        </w:rPr>
        <w:t>ID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0000-0001-8647-3607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>2. Emanuela Todeva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GaramondPro-Regular" w:hAnsi="AGaramondPro-Regular" w:cs="AGaramondPro-Regular"/>
          <w:color w:val="000000"/>
          <w:sz w:val="20"/>
          <w:szCs w:val="20"/>
        </w:rPr>
        <w:t>Phd,St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>.</w:t>
      </w:r>
      <w:proofErr w:type="gram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Mary’s University Twickenham London, The School of Management and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Social Sciences, Twickenham TW1 4SX UK.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E-mail: E.Todeva@bcned.co.uk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88FF1F"/>
          <w:sz w:val="20"/>
          <w:szCs w:val="20"/>
        </w:rPr>
      </w:pPr>
      <w:r>
        <w:rPr>
          <w:rFonts w:ascii="AGaramondPro-Regular" w:hAnsi="AGaramondPro-Regular" w:cs="AGaramondPro-Regular"/>
          <w:color w:val="697E7E"/>
          <w:sz w:val="20"/>
          <w:szCs w:val="20"/>
        </w:rPr>
        <w:t>ORC</w:t>
      </w:r>
      <w:r>
        <w:rPr>
          <w:rFonts w:ascii="AGaramondPro-Regular" w:hAnsi="AGaramondPro-Regular" w:cs="AGaramondPro-Regular"/>
          <w:color w:val="88FF1F"/>
          <w:sz w:val="20"/>
          <w:szCs w:val="20"/>
        </w:rPr>
        <w:t>ID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0000-0003-3494-1303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>3. Eduardo Armando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Pós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>-Doctoral, University of Surrey, Guildford, UK. E-mail: earmando@terra.com.br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88FF1F"/>
          <w:sz w:val="20"/>
          <w:szCs w:val="20"/>
        </w:rPr>
      </w:pPr>
      <w:r>
        <w:rPr>
          <w:rFonts w:ascii="AGaramondPro-Regular" w:hAnsi="AGaramondPro-Regular" w:cs="AGaramondPro-Regular"/>
          <w:color w:val="697E7E"/>
          <w:sz w:val="20"/>
          <w:szCs w:val="20"/>
        </w:rPr>
        <w:t>ORC</w:t>
      </w:r>
      <w:r>
        <w:rPr>
          <w:rFonts w:ascii="AGaramondPro-Regular" w:hAnsi="AGaramondPro-Regular" w:cs="AGaramondPro-Regular"/>
          <w:color w:val="88FF1F"/>
          <w:sz w:val="20"/>
          <w:szCs w:val="20"/>
        </w:rPr>
        <w:t>ID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0000-0002-4576-1028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>4. Ernesto Giglio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Pós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-Doctoral,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Universidade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Federal de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Lavras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,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Lavras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>, Mg, Brazil.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lastRenderedPageBreak/>
        <w:t>E-mail: ernesto.giglio@gmail.com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88FF1F"/>
          <w:sz w:val="20"/>
          <w:szCs w:val="20"/>
        </w:rPr>
      </w:pPr>
      <w:r>
        <w:rPr>
          <w:rFonts w:ascii="AGaramondPro-Regular" w:hAnsi="AGaramondPro-Regular" w:cs="AGaramondPro-Regular"/>
          <w:color w:val="697E7E"/>
          <w:sz w:val="20"/>
          <w:szCs w:val="20"/>
        </w:rPr>
        <w:t>ORC</w:t>
      </w:r>
      <w:r>
        <w:rPr>
          <w:rFonts w:ascii="AGaramondPro-Regular" w:hAnsi="AGaramondPro-Regular" w:cs="AGaramondPro-Regular"/>
          <w:color w:val="88FF1F"/>
          <w:sz w:val="20"/>
          <w:szCs w:val="20"/>
        </w:rPr>
        <w:t>ID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0000-0001-6193-1421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0"/>
          <w:szCs w:val="20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0"/>
          <w:szCs w:val="20"/>
        </w:rPr>
      </w:pP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>Contribution of each author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Each author should take responsibility for at least one component of the paper. If the article is approved for</w:t>
      </w:r>
      <w:r w:rsidR="00B44E7A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publication, the authors should indicate in the diagram below, what was the contribution of each.</w:t>
      </w:r>
    </w:p>
    <w:p w:rsidR="00B44E7A" w:rsidRDefault="00B44E7A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Contribution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John</w:t>
      </w:r>
      <w:r w:rsidR="00B44E7A"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 </w:t>
      </w: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Humphrey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Emanuela</w:t>
      </w:r>
      <w:r w:rsidR="00B44E7A"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 </w:t>
      </w: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Todeva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Eduardo</w:t>
      </w:r>
      <w:r w:rsidR="00B44E7A"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 </w:t>
      </w: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Armando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Ernesto</w:t>
      </w:r>
      <w:r w:rsidR="00B44E7A"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 </w:t>
      </w: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>Giglio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1.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Definition of research problem √ √ √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2.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Development of hypotheses or research questions (empirical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Regular" w:hAnsi="AGaramondPro-Regular" w:cs="AGaramondPro-Regular"/>
          <w:color w:val="000000"/>
          <w:sz w:val="18"/>
          <w:szCs w:val="18"/>
        </w:rPr>
        <w:t>studies) √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3.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Development of theoretical propositions (theoretical work) √ √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4.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Theoretical foundation/Literature review √ √ √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5.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Definition of methodological procedures √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6.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Data collection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7.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Statistical analysis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8.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Analysis and interpretation of data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9.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Critical revision of the manuscript √ √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10.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Manuscript writing √ √ √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18"/>
          <w:szCs w:val="18"/>
        </w:rPr>
      </w:pPr>
      <w:r>
        <w:rPr>
          <w:rFonts w:ascii="AGaramondPro-Bold" w:hAnsi="AGaramondPro-Bold" w:cs="AGaramondPro-Bold"/>
          <w:b/>
          <w:bCs/>
          <w:color w:val="000000"/>
          <w:sz w:val="18"/>
          <w:szCs w:val="18"/>
        </w:rPr>
        <w:t xml:space="preserve">11. </w:t>
      </w:r>
      <w:r>
        <w:rPr>
          <w:rFonts w:ascii="AGaramondPro-Regular" w:hAnsi="AGaramondPro-Regular" w:cs="AGaramondPro-Regular"/>
          <w:color w:val="000000"/>
          <w:sz w:val="18"/>
          <w:szCs w:val="18"/>
        </w:rPr>
        <w:t>Other (please specify which)</w:t>
      </w:r>
    </w:p>
    <w:p w:rsidR="00934DA8" w:rsidRDefault="00934DA8" w:rsidP="00934D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This information will be available in publications as an end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notal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in accordance with the criteria, policies</w:t>
      </w:r>
    </w:p>
    <w:p w:rsidR="00CD7769" w:rsidRDefault="00934DA8" w:rsidP="00934DA8"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and procedures for admission and permanence of scientific journals in </w:t>
      </w:r>
      <w:proofErr w:type="spellStart"/>
      <w:r>
        <w:rPr>
          <w:rFonts w:ascii="AGaramondPro-Regular" w:hAnsi="AGaramondPro-Regular" w:cs="AGaramondPro-Regular"/>
          <w:color w:val="000000"/>
          <w:sz w:val="20"/>
          <w:szCs w:val="20"/>
        </w:rPr>
        <w:t>SciELO</w:t>
      </w:r>
      <w:proofErr w:type="spellEnd"/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Brazil Collection.</w:t>
      </w:r>
    </w:p>
    <w:sectPr w:rsidR="00CD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-LightCondense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tineau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sEave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A8"/>
    <w:rsid w:val="002E5AD8"/>
    <w:rsid w:val="00326475"/>
    <w:rsid w:val="00353ABC"/>
    <w:rsid w:val="00497262"/>
    <w:rsid w:val="007A1E10"/>
    <w:rsid w:val="00934DA8"/>
    <w:rsid w:val="009D5C8B"/>
    <w:rsid w:val="00B44E7A"/>
    <w:rsid w:val="00CD7769"/>
    <w:rsid w:val="00DC20DC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D767"/>
  <w15:chartTrackingRefBased/>
  <w15:docId w15:val="{72C5D61B-17CD-4376-AA91-BD90575D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10608</Words>
  <Characters>60469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Todeva</dc:creator>
  <cp:keywords/>
  <dc:description/>
  <cp:lastModifiedBy>Emanuela Todeva</cp:lastModifiedBy>
  <cp:revision>2</cp:revision>
  <dcterms:created xsi:type="dcterms:W3CDTF">2019-10-24T02:25:00Z</dcterms:created>
  <dcterms:modified xsi:type="dcterms:W3CDTF">2019-10-24T02:37:00Z</dcterms:modified>
</cp:coreProperties>
</file>