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AA657" w14:textId="52A71880" w:rsidR="007558F4" w:rsidRPr="008072C7" w:rsidRDefault="007558F4" w:rsidP="00DC43AC">
      <w:pPr>
        <w:pStyle w:val="Header"/>
        <w:spacing w:line="480" w:lineRule="auto"/>
        <w:rPr>
          <w:rFonts w:ascii="Arial" w:hAnsi="Arial" w:cs="Arial"/>
          <w:color w:val="000000" w:themeColor="text1"/>
          <w:sz w:val="20"/>
          <w:szCs w:val="20"/>
        </w:rPr>
      </w:pPr>
      <w:r w:rsidRPr="008072C7">
        <w:rPr>
          <w:rFonts w:ascii="Arial" w:hAnsi="Arial" w:cs="Arial"/>
          <w:color w:val="000000" w:themeColor="text1"/>
          <w:sz w:val="20"/>
          <w:szCs w:val="20"/>
        </w:rPr>
        <w:t>Title:</w:t>
      </w:r>
      <w:r w:rsidR="00823B6B" w:rsidRPr="008072C7">
        <w:rPr>
          <w:rFonts w:ascii="Arial" w:hAnsi="Arial" w:cs="Arial"/>
          <w:color w:val="000000" w:themeColor="text1"/>
          <w:sz w:val="20"/>
          <w:szCs w:val="20"/>
        </w:rPr>
        <w:t xml:space="preserve"> </w:t>
      </w:r>
      <w:r w:rsidR="00F7375C" w:rsidRPr="008072C7">
        <w:rPr>
          <w:rFonts w:ascii="Arial" w:hAnsi="Arial" w:cs="Arial"/>
          <w:color w:val="000000" w:themeColor="text1"/>
          <w:sz w:val="20"/>
          <w:szCs w:val="20"/>
        </w:rPr>
        <w:t>The effect of blood flow restriction exercise on exercise-induced hypoalgesia and endogenous opioid and endocannabinoid mechanisms of pain modulation</w:t>
      </w:r>
    </w:p>
    <w:p w14:paraId="0BB3CCDD" w14:textId="77777777" w:rsidR="007558F4" w:rsidRPr="008072C7" w:rsidRDefault="007558F4" w:rsidP="00261E70">
      <w:pPr>
        <w:spacing w:line="360" w:lineRule="auto"/>
        <w:rPr>
          <w:rFonts w:ascii="Arial" w:hAnsi="Arial" w:cs="Arial"/>
          <w:b/>
          <w:bCs/>
          <w:color w:val="000000" w:themeColor="text1"/>
          <w:sz w:val="20"/>
          <w:szCs w:val="20"/>
        </w:rPr>
      </w:pPr>
    </w:p>
    <w:p w14:paraId="199F380D" w14:textId="2BC65F80" w:rsidR="00183688" w:rsidRPr="008072C7" w:rsidRDefault="00183688"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Luke Hughes</w:t>
      </w:r>
      <w:r w:rsidRPr="008072C7">
        <w:rPr>
          <w:rFonts w:ascii="Arial" w:hAnsi="Arial" w:cs="Arial"/>
          <w:color w:val="000000" w:themeColor="text1"/>
          <w:sz w:val="20"/>
          <w:szCs w:val="20"/>
          <w:vertAlign w:val="superscript"/>
        </w:rPr>
        <w:t>1</w:t>
      </w:r>
      <w:r w:rsidRPr="008072C7">
        <w:rPr>
          <w:rFonts w:ascii="Arial" w:hAnsi="Arial" w:cs="Arial"/>
          <w:color w:val="000000" w:themeColor="text1"/>
          <w:sz w:val="20"/>
          <w:szCs w:val="20"/>
        </w:rPr>
        <w:t xml:space="preserve"> </w:t>
      </w:r>
      <w:r w:rsidR="00CB2069" w:rsidRPr="008072C7">
        <w:rPr>
          <w:rFonts w:ascii="Arial" w:hAnsi="Arial" w:cs="Arial"/>
          <w:color w:val="000000" w:themeColor="text1"/>
          <w:sz w:val="20"/>
          <w:szCs w:val="20"/>
        </w:rPr>
        <w:t>&amp;</w:t>
      </w:r>
      <w:r w:rsidRPr="008072C7">
        <w:rPr>
          <w:rFonts w:ascii="Arial" w:hAnsi="Arial" w:cs="Arial"/>
          <w:color w:val="000000" w:themeColor="text1"/>
          <w:sz w:val="20"/>
          <w:szCs w:val="20"/>
        </w:rPr>
        <w:t xml:space="preserve"> Stephen David Patterson</w:t>
      </w:r>
      <w:r w:rsidRPr="008072C7">
        <w:rPr>
          <w:rFonts w:ascii="Arial" w:hAnsi="Arial" w:cs="Arial"/>
          <w:color w:val="000000" w:themeColor="text1"/>
          <w:sz w:val="20"/>
          <w:szCs w:val="20"/>
          <w:vertAlign w:val="superscript"/>
        </w:rPr>
        <w:t>1</w:t>
      </w:r>
    </w:p>
    <w:p w14:paraId="11F21356" w14:textId="41671496" w:rsidR="00183688" w:rsidRPr="008072C7" w:rsidRDefault="00183688" w:rsidP="00261E70">
      <w:pPr>
        <w:spacing w:line="360" w:lineRule="auto"/>
        <w:rPr>
          <w:rFonts w:ascii="Arial" w:hAnsi="Arial" w:cs="Arial"/>
          <w:color w:val="000000" w:themeColor="text1"/>
          <w:sz w:val="20"/>
          <w:szCs w:val="20"/>
          <w:vertAlign w:val="superscript"/>
        </w:rPr>
      </w:pPr>
      <w:r w:rsidRPr="008072C7">
        <w:rPr>
          <w:rFonts w:ascii="Arial" w:hAnsi="Arial" w:cs="Arial"/>
          <w:color w:val="000000" w:themeColor="text1"/>
          <w:sz w:val="20"/>
          <w:szCs w:val="20"/>
          <w:vertAlign w:val="superscript"/>
        </w:rPr>
        <w:t>1</w:t>
      </w:r>
      <w:r w:rsidRPr="008072C7">
        <w:rPr>
          <w:rFonts w:ascii="Arial" w:hAnsi="Arial" w:cs="Arial"/>
          <w:color w:val="000000" w:themeColor="text1"/>
          <w:sz w:val="20"/>
          <w:szCs w:val="20"/>
        </w:rPr>
        <w:t xml:space="preserve"> Faculty of Sport, Health and Applied Science, St Mary’s University, London, UK, TW1 4SX</w:t>
      </w:r>
    </w:p>
    <w:p w14:paraId="33F7072B" w14:textId="26DAD2CA" w:rsidR="002B75B4" w:rsidRPr="008072C7" w:rsidRDefault="002B75B4" w:rsidP="00261E70">
      <w:pPr>
        <w:spacing w:line="360" w:lineRule="auto"/>
        <w:rPr>
          <w:rFonts w:ascii="Arial" w:hAnsi="Arial" w:cs="Arial"/>
          <w:color w:val="000000" w:themeColor="text1"/>
          <w:sz w:val="20"/>
          <w:szCs w:val="20"/>
          <w:vertAlign w:val="superscript"/>
        </w:rPr>
      </w:pPr>
    </w:p>
    <w:p w14:paraId="33D564E1" w14:textId="7273C13C" w:rsidR="002B75B4" w:rsidRPr="008072C7" w:rsidRDefault="002B75B4"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 xml:space="preserve">Running head: </w:t>
      </w:r>
      <w:r w:rsidR="001356FF" w:rsidRPr="008072C7">
        <w:rPr>
          <w:rFonts w:ascii="Arial" w:hAnsi="Arial" w:cs="Arial"/>
          <w:color w:val="000000" w:themeColor="text1"/>
          <w:sz w:val="20"/>
          <w:szCs w:val="20"/>
        </w:rPr>
        <w:t>Blood flow restriction exercise and hypoalgesia</w:t>
      </w:r>
    </w:p>
    <w:p w14:paraId="6EDC4CBE" w14:textId="77777777" w:rsidR="001356FF" w:rsidRPr="008072C7" w:rsidRDefault="001356FF" w:rsidP="00261E70">
      <w:pPr>
        <w:spacing w:line="360" w:lineRule="auto"/>
        <w:rPr>
          <w:rFonts w:ascii="Arial" w:hAnsi="Arial" w:cs="Arial"/>
          <w:color w:val="000000" w:themeColor="text1"/>
          <w:sz w:val="20"/>
          <w:szCs w:val="20"/>
        </w:rPr>
      </w:pPr>
    </w:p>
    <w:p w14:paraId="614DCE93" w14:textId="0611AB11" w:rsidR="002B75B4" w:rsidRPr="008072C7" w:rsidRDefault="002B75B4"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Corresponding author:</w:t>
      </w:r>
    </w:p>
    <w:p w14:paraId="0EDC7F5F" w14:textId="1B3ECA72" w:rsidR="00183688" w:rsidRPr="008072C7" w:rsidRDefault="002B75B4"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Dr Luke Hughes</w:t>
      </w:r>
      <w:r w:rsidR="00BD3459" w:rsidRPr="008072C7">
        <w:rPr>
          <w:rFonts w:ascii="Arial" w:hAnsi="Arial" w:cs="Arial"/>
          <w:color w:val="000000" w:themeColor="text1"/>
          <w:sz w:val="20"/>
          <w:szCs w:val="20"/>
        </w:rPr>
        <w:t xml:space="preserve"> PhD</w:t>
      </w:r>
    </w:p>
    <w:p w14:paraId="57640FE3" w14:textId="553049B0" w:rsidR="00BD3459" w:rsidRPr="008072C7" w:rsidRDefault="00BD3459"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Faculty of Sport Health and Applied Sciences</w:t>
      </w:r>
    </w:p>
    <w:p w14:paraId="3887C213" w14:textId="2390741A" w:rsidR="00BD3459" w:rsidRPr="008072C7" w:rsidRDefault="00BD3459"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St Mary’s University</w:t>
      </w:r>
    </w:p>
    <w:p w14:paraId="77C2CD84" w14:textId="75C92FDB" w:rsidR="00BD3459" w:rsidRPr="008072C7" w:rsidRDefault="00BD3459"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London, TW14SX, United Kingdom</w:t>
      </w:r>
    </w:p>
    <w:p w14:paraId="423DE297" w14:textId="2905A8F0" w:rsidR="00890CD7" w:rsidRPr="008072C7" w:rsidRDefault="00890CD7" w:rsidP="00261E70">
      <w:pPr>
        <w:spacing w:line="360" w:lineRule="auto"/>
        <w:rPr>
          <w:rFonts w:ascii="Arial" w:hAnsi="Arial" w:cs="Arial"/>
          <w:color w:val="000000" w:themeColor="text1"/>
          <w:sz w:val="20"/>
          <w:szCs w:val="20"/>
        </w:rPr>
      </w:pPr>
      <w:r w:rsidRPr="008072C7">
        <w:rPr>
          <w:rFonts w:ascii="Arial" w:hAnsi="Arial" w:cs="Arial"/>
          <w:color w:val="000000" w:themeColor="text1"/>
          <w:sz w:val="20"/>
          <w:szCs w:val="20"/>
        </w:rPr>
        <w:t>Telephone: 0208 240 4058</w:t>
      </w:r>
    </w:p>
    <w:p w14:paraId="51E34CA6" w14:textId="77777777" w:rsidR="00BD3459" w:rsidRPr="008072C7" w:rsidRDefault="00D50625" w:rsidP="00261E70">
      <w:pPr>
        <w:spacing w:line="360" w:lineRule="auto"/>
        <w:rPr>
          <w:rFonts w:ascii="Arial" w:hAnsi="Arial" w:cs="Arial"/>
          <w:color w:val="000000" w:themeColor="text1"/>
          <w:sz w:val="20"/>
          <w:szCs w:val="20"/>
        </w:rPr>
      </w:pPr>
      <w:hyperlink r:id="rId8" w:history="1">
        <w:r w:rsidR="00BD3459" w:rsidRPr="008072C7">
          <w:rPr>
            <w:rStyle w:val="Hyperlink"/>
            <w:rFonts w:ascii="Arial" w:hAnsi="Arial" w:cs="Arial"/>
            <w:color w:val="000000" w:themeColor="text1"/>
            <w:sz w:val="20"/>
            <w:szCs w:val="20"/>
          </w:rPr>
          <w:t>luke.hughes@stmarys.ac.uk</w:t>
        </w:r>
      </w:hyperlink>
    </w:p>
    <w:p w14:paraId="238D74AD" w14:textId="25514401" w:rsidR="005601A7" w:rsidRPr="008072C7" w:rsidRDefault="005601A7" w:rsidP="00261E70">
      <w:pPr>
        <w:spacing w:line="360" w:lineRule="auto"/>
        <w:rPr>
          <w:rFonts w:ascii="Arial" w:hAnsi="Arial" w:cs="Arial"/>
          <w:color w:val="000000" w:themeColor="text1"/>
          <w:sz w:val="20"/>
          <w:szCs w:val="20"/>
        </w:rPr>
        <w:sectPr w:rsidR="005601A7" w:rsidRPr="008072C7" w:rsidSect="00AA6C48">
          <w:footerReference w:type="even" r:id="rId9"/>
          <w:footerReference w:type="default" r:id="rId10"/>
          <w:pgSz w:w="11900" w:h="16840"/>
          <w:pgMar w:top="1440" w:right="1440" w:bottom="1440" w:left="1440" w:header="708" w:footer="708" w:gutter="0"/>
          <w:lnNumType w:countBy="1" w:restart="continuous"/>
          <w:cols w:space="708"/>
          <w:docGrid w:linePitch="360"/>
        </w:sectPr>
      </w:pPr>
    </w:p>
    <w:p w14:paraId="2B71C9F1" w14:textId="14E4A393" w:rsidR="003008AE" w:rsidRPr="008072C7" w:rsidRDefault="00511EB0" w:rsidP="003008AE">
      <w:pPr>
        <w:pStyle w:val="Header"/>
        <w:rPr>
          <w:rFonts w:ascii="Arial" w:hAnsi="Arial" w:cs="Arial"/>
          <w:color w:val="000000" w:themeColor="text1"/>
          <w:sz w:val="20"/>
          <w:szCs w:val="20"/>
        </w:rPr>
      </w:pPr>
      <w:r w:rsidRPr="008072C7">
        <w:rPr>
          <w:rFonts w:ascii="Arial" w:hAnsi="Arial" w:cs="Arial"/>
          <w:color w:val="000000" w:themeColor="text1"/>
          <w:sz w:val="20"/>
          <w:szCs w:val="20"/>
        </w:rPr>
        <w:lastRenderedPageBreak/>
        <w:t>Abstract</w:t>
      </w:r>
    </w:p>
    <w:p w14:paraId="134D9C53" w14:textId="28206FD8" w:rsidR="002222BD" w:rsidRPr="008072C7" w:rsidRDefault="00210F35" w:rsidP="00210F35">
      <w:pPr>
        <w:pStyle w:val="Header"/>
        <w:spacing w:line="480" w:lineRule="auto"/>
        <w:rPr>
          <w:rFonts w:ascii="Arial" w:hAnsi="Arial" w:cs="Arial"/>
          <w:b w:val="0"/>
          <w:color w:val="000000" w:themeColor="text1"/>
          <w:sz w:val="20"/>
          <w:szCs w:val="20"/>
        </w:rPr>
      </w:pPr>
      <w:r w:rsidRPr="008072C7">
        <w:rPr>
          <w:rFonts w:ascii="Arial" w:hAnsi="Arial" w:cs="Arial"/>
          <w:bCs/>
          <w:color w:val="000000" w:themeColor="text1"/>
          <w:sz w:val="20"/>
          <w:szCs w:val="20"/>
        </w:rPr>
        <w:t>Aim:</w:t>
      </w:r>
      <w:r w:rsidRPr="008072C7">
        <w:rPr>
          <w:rFonts w:ascii="Arial" w:hAnsi="Arial" w:cs="Arial"/>
          <w:b w:val="0"/>
          <w:color w:val="000000" w:themeColor="text1"/>
          <w:sz w:val="20"/>
          <w:szCs w:val="20"/>
        </w:rPr>
        <w:t xml:space="preserve"> This study aimed to investigate and compare the magnitude of exercise-induced hypoalgesia (EIH) with </w:t>
      </w:r>
      <w:r w:rsidR="00DC43AC" w:rsidRPr="008072C7">
        <w:rPr>
          <w:rFonts w:ascii="Arial" w:hAnsi="Arial" w:cs="Arial"/>
          <w:b w:val="0"/>
          <w:color w:val="000000" w:themeColor="text1"/>
          <w:sz w:val="20"/>
          <w:szCs w:val="20"/>
        </w:rPr>
        <w:t xml:space="preserve">low intensity </w:t>
      </w:r>
      <w:r w:rsidRPr="008072C7">
        <w:rPr>
          <w:rFonts w:ascii="Arial" w:hAnsi="Arial" w:cs="Arial"/>
          <w:b w:val="0"/>
          <w:color w:val="000000" w:themeColor="text1"/>
          <w:sz w:val="20"/>
          <w:szCs w:val="20"/>
        </w:rPr>
        <w:t>blood flow restriction</w:t>
      </w:r>
      <w:r w:rsidR="00603035" w:rsidRPr="008072C7">
        <w:rPr>
          <w:rFonts w:ascii="Arial" w:hAnsi="Arial" w:cs="Arial"/>
          <w:b w:val="0"/>
          <w:color w:val="000000" w:themeColor="text1"/>
          <w:sz w:val="20"/>
          <w:szCs w:val="20"/>
        </w:rPr>
        <w:t xml:space="preserve"> (BFR)</w:t>
      </w:r>
      <w:r w:rsidRPr="008072C7">
        <w:rPr>
          <w:rFonts w:ascii="Arial" w:hAnsi="Arial" w:cs="Arial"/>
          <w:b w:val="0"/>
          <w:color w:val="000000" w:themeColor="text1"/>
          <w:sz w:val="20"/>
          <w:szCs w:val="20"/>
        </w:rPr>
        <w:t xml:space="preserve"> resistance exercise </w:t>
      </w:r>
      <w:r w:rsidR="00603035" w:rsidRPr="008072C7">
        <w:rPr>
          <w:rFonts w:ascii="Arial" w:hAnsi="Arial" w:cs="Arial"/>
          <w:b w:val="0"/>
          <w:color w:val="000000" w:themeColor="text1"/>
          <w:sz w:val="20"/>
          <w:szCs w:val="20"/>
        </w:rPr>
        <w:t>(</w:t>
      </w:r>
      <w:r w:rsidR="002222BD" w:rsidRPr="008072C7">
        <w:rPr>
          <w:rFonts w:ascii="Arial" w:hAnsi="Arial" w:cs="Arial"/>
          <w:b w:val="0"/>
          <w:color w:val="000000" w:themeColor="text1"/>
          <w:sz w:val="20"/>
          <w:szCs w:val="20"/>
        </w:rPr>
        <w:t>RE</w:t>
      </w:r>
      <w:r w:rsidRPr="008072C7">
        <w:rPr>
          <w:rFonts w:ascii="Arial" w:hAnsi="Arial" w:cs="Arial"/>
          <w:b w:val="0"/>
          <w:color w:val="000000" w:themeColor="text1"/>
          <w:sz w:val="20"/>
          <w:szCs w:val="20"/>
        </w:rPr>
        <w:t>)</w:t>
      </w:r>
      <w:r w:rsidR="002222BD" w:rsidRPr="008072C7">
        <w:rPr>
          <w:rFonts w:ascii="Arial" w:hAnsi="Arial" w:cs="Arial"/>
          <w:b w:val="0"/>
          <w:color w:val="000000" w:themeColor="text1"/>
          <w:sz w:val="20"/>
          <w:szCs w:val="20"/>
        </w:rPr>
        <w:t xml:space="preserve"> at </w:t>
      </w:r>
      <w:r w:rsidR="00DC43AC" w:rsidRPr="008072C7">
        <w:rPr>
          <w:rFonts w:ascii="Arial" w:hAnsi="Arial" w:cs="Arial"/>
          <w:b w:val="0"/>
          <w:color w:val="000000" w:themeColor="text1"/>
          <w:sz w:val="20"/>
          <w:szCs w:val="20"/>
        </w:rPr>
        <w:t xml:space="preserve">varying </w:t>
      </w:r>
      <w:r w:rsidR="002222BD" w:rsidRPr="008072C7">
        <w:rPr>
          <w:rFonts w:ascii="Arial" w:hAnsi="Arial" w:cs="Arial"/>
          <w:b w:val="0"/>
          <w:color w:val="000000" w:themeColor="text1"/>
          <w:sz w:val="20"/>
          <w:szCs w:val="20"/>
        </w:rPr>
        <w:t>pressures</w:t>
      </w:r>
      <w:r w:rsidRPr="008072C7">
        <w:rPr>
          <w:rFonts w:ascii="Arial" w:hAnsi="Arial" w:cs="Arial"/>
          <w:b w:val="0"/>
          <w:color w:val="000000" w:themeColor="text1"/>
          <w:sz w:val="20"/>
          <w:szCs w:val="20"/>
        </w:rPr>
        <w:t xml:space="preserve"> to </w:t>
      </w:r>
      <w:r w:rsidR="00DC43AC" w:rsidRPr="008072C7">
        <w:rPr>
          <w:rFonts w:ascii="Arial" w:hAnsi="Arial" w:cs="Arial"/>
          <w:b w:val="0"/>
          <w:color w:val="000000" w:themeColor="text1"/>
          <w:sz w:val="20"/>
          <w:szCs w:val="20"/>
        </w:rPr>
        <w:t>other intensities</w:t>
      </w:r>
      <w:r w:rsidRPr="008072C7">
        <w:rPr>
          <w:rFonts w:ascii="Arial" w:hAnsi="Arial" w:cs="Arial"/>
          <w:b w:val="0"/>
          <w:color w:val="000000" w:themeColor="text1"/>
          <w:sz w:val="20"/>
          <w:szCs w:val="20"/>
        </w:rPr>
        <w:t xml:space="preserve"> </w:t>
      </w:r>
      <w:r w:rsidR="00DC43AC" w:rsidRPr="008072C7">
        <w:rPr>
          <w:rFonts w:ascii="Arial" w:hAnsi="Arial" w:cs="Arial"/>
          <w:b w:val="0"/>
          <w:color w:val="000000" w:themeColor="text1"/>
          <w:sz w:val="20"/>
          <w:szCs w:val="20"/>
        </w:rPr>
        <w:t xml:space="preserve">of </w:t>
      </w:r>
      <w:r w:rsidRPr="008072C7">
        <w:rPr>
          <w:rFonts w:ascii="Arial" w:hAnsi="Arial" w:cs="Arial"/>
          <w:b w:val="0"/>
          <w:color w:val="000000" w:themeColor="text1"/>
          <w:sz w:val="20"/>
          <w:szCs w:val="20"/>
        </w:rPr>
        <w:t xml:space="preserve">resistance </w:t>
      </w:r>
      <w:r w:rsidR="002222BD" w:rsidRPr="008072C7">
        <w:rPr>
          <w:rFonts w:ascii="Arial" w:hAnsi="Arial" w:cs="Arial"/>
          <w:b w:val="0"/>
          <w:color w:val="000000" w:themeColor="text1"/>
          <w:sz w:val="20"/>
          <w:szCs w:val="20"/>
        </w:rPr>
        <w:t>exercise and examine endogenous mechanisms of pain reduction.</w:t>
      </w:r>
    </w:p>
    <w:p w14:paraId="22EB7664" w14:textId="72F64BB3" w:rsidR="00210F35" w:rsidRPr="008072C7" w:rsidRDefault="002222BD" w:rsidP="00603035">
      <w:pPr>
        <w:pStyle w:val="Header"/>
        <w:spacing w:line="480" w:lineRule="auto"/>
        <w:rPr>
          <w:rFonts w:ascii="Arial" w:hAnsi="Arial" w:cs="Arial"/>
          <w:b w:val="0"/>
          <w:bCs/>
          <w:color w:val="000000" w:themeColor="text1"/>
          <w:sz w:val="20"/>
          <w:szCs w:val="20"/>
        </w:rPr>
      </w:pPr>
      <w:r w:rsidRPr="008072C7">
        <w:rPr>
          <w:rFonts w:ascii="Arial" w:hAnsi="Arial" w:cs="Arial"/>
          <w:color w:val="000000" w:themeColor="text1"/>
          <w:sz w:val="20"/>
          <w:szCs w:val="20"/>
        </w:rPr>
        <w:t xml:space="preserve">Methodology: </w:t>
      </w:r>
      <w:r w:rsidRPr="008072C7">
        <w:rPr>
          <w:rFonts w:ascii="Arial" w:hAnsi="Arial" w:cs="Arial"/>
          <w:b w:val="0"/>
          <w:bCs/>
          <w:color w:val="000000" w:themeColor="text1"/>
          <w:sz w:val="20"/>
          <w:szCs w:val="20"/>
        </w:rPr>
        <w:t>Twelve individuals performed four experimental trials</w:t>
      </w:r>
      <w:r w:rsidR="00603035" w:rsidRPr="008072C7">
        <w:rPr>
          <w:rFonts w:ascii="Arial" w:hAnsi="Arial" w:cs="Arial"/>
          <w:b w:val="0"/>
          <w:bCs/>
          <w:color w:val="000000" w:themeColor="text1"/>
          <w:sz w:val="20"/>
          <w:szCs w:val="20"/>
        </w:rPr>
        <w:t xml:space="preserve"> involving unilateral leg press exercise </w:t>
      </w:r>
      <w:r w:rsidRPr="008072C7">
        <w:rPr>
          <w:rFonts w:ascii="Arial" w:hAnsi="Arial" w:cs="Arial"/>
          <w:b w:val="0"/>
          <w:bCs/>
          <w:color w:val="000000" w:themeColor="text1"/>
          <w:sz w:val="20"/>
          <w:szCs w:val="20"/>
        </w:rPr>
        <w:t xml:space="preserve">in a randomised crossover design: low load </w:t>
      </w:r>
      <w:r w:rsidR="00603035" w:rsidRPr="008072C7">
        <w:rPr>
          <w:rFonts w:ascii="Arial" w:hAnsi="Arial" w:cs="Arial"/>
          <w:b w:val="0"/>
          <w:bCs/>
          <w:color w:val="000000" w:themeColor="text1"/>
          <w:sz w:val="20"/>
          <w:szCs w:val="20"/>
        </w:rPr>
        <w:t>RE at 30% of one repetition maximum (1RM), high load RE (70% 1RM)</w:t>
      </w:r>
      <w:r w:rsidR="00E30CC8" w:rsidRPr="008072C7">
        <w:rPr>
          <w:rFonts w:ascii="Arial" w:hAnsi="Arial" w:cs="Arial"/>
          <w:b w:val="0"/>
          <w:bCs/>
          <w:color w:val="000000" w:themeColor="text1"/>
          <w:sz w:val="20"/>
          <w:szCs w:val="20"/>
        </w:rPr>
        <w:t xml:space="preserve"> and </w:t>
      </w:r>
      <w:r w:rsidR="00603035" w:rsidRPr="008072C7">
        <w:rPr>
          <w:rFonts w:ascii="Arial" w:hAnsi="Arial" w:cs="Arial"/>
          <w:b w:val="0"/>
          <w:bCs/>
          <w:color w:val="000000" w:themeColor="text1"/>
          <w:sz w:val="20"/>
          <w:szCs w:val="20"/>
        </w:rPr>
        <w:t xml:space="preserve">BFR-RE (30% 1RM) at a low </w:t>
      </w:r>
      <w:r w:rsidR="00E30CC8" w:rsidRPr="008072C7">
        <w:rPr>
          <w:rFonts w:ascii="Arial" w:hAnsi="Arial" w:cs="Arial"/>
          <w:b w:val="0"/>
          <w:bCs/>
          <w:color w:val="000000" w:themeColor="text1"/>
          <w:sz w:val="20"/>
          <w:szCs w:val="20"/>
        </w:rPr>
        <w:t>and</w:t>
      </w:r>
      <w:r w:rsidR="00603035" w:rsidRPr="008072C7">
        <w:rPr>
          <w:rFonts w:ascii="Arial" w:hAnsi="Arial" w:cs="Arial"/>
          <w:b w:val="0"/>
          <w:bCs/>
          <w:color w:val="000000" w:themeColor="text1"/>
          <w:sz w:val="20"/>
          <w:szCs w:val="20"/>
        </w:rPr>
        <w:t xml:space="preserve"> high pressure. BFR pressure was prescribed relative to limb occlusion pressure at 40% and 80% for the low- and high-pressure trials</w:t>
      </w:r>
      <w:r w:rsidR="00E30CC8" w:rsidRPr="008072C7">
        <w:rPr>
          <w:rFonts w:ascii="Arial" w:hAnsi="Arial" w:cs="Arial"/>
          <w:b w:val="0"/>
          <w:bCs/>
          <w:color w:val="000000" w:themeColor="text1"/>
          <w:sz w:val="20"/>
          <w:szCs w:val="20"/>
        </w:rPr>
        <w:t xml:space="preserve">. </w:t>
      </w:r>
      <w:r w:rsidR="00603035" w:rsidRPr="008072C7">
        <w:rPr>
          <w:rFonts w:ascii="Arial" w:hAnsi="Arial" w:cs="Arial"/>
          <w:b w:val="0"/>
          <w:bCs/>
          <w:color w:val="000000" w:themeColor="text1"/>
          <w:sz w:val="20"/>
          <w:szCs w:val="20"/>
        </w:rPr>
        <w:t xml:space="preserve">Pressure pain thresholds (PPT) </w:t>
      </w:r>
      <w:r w:rsidR="0076143B" w:rsidRPr="008072C7">
        <w:rPr>
          <w:rFonts w:ascii="Arial" w:hAnsi="Arial" w:cs="Arial"/>
          <w:b w:val="0"/>
          <w:bCs/>
          <w:color w:val="000000" w:themeColor="text1"/>
          <w:sz w:val="20"/>
          <w:szCs w:val="20"/>
        </w:rPr>
        <w:t xml:space="preserve">were assessed </w:t>
      </w:r>
      <w:r w:rsidR="00603035" w:rsidRPr="008072C7">
        <w:rPr>
          <w:rFonts w:ascii="Arial" w:hAnsi="Arial" w:cs="Arial"/>
          <w:b w:val="0"/>
          <w:bCs/>
          <w:color w:val="000000" w:themeColor="text1"/>
          <w:sz w:val="20"/>
          <w:szCs w:val="20"/>
        </w:rPr>
        <w:t>before, 5-min and 24-h following exercise</w:t>
      </w:r>
      <w:r w:rsidR="00E25FC2" w:rsidRPr="008072C7">
        <w:rPr>
          <w:rFonts w:ascii="Arial" w:hAnsi="Arial" w:cs="Arial"/>
          <w:b w:val="0"/>
          <w:bCs/>
          <w:color w:val="000000" w:themeColor="text1"/>
          <w:sz w:val="20"/>
          <w:szCs w:val="20"/>
        </w:rPr>
        <w:t xml:space="preserve"> in exercising </w:t>
      </w:r>
      <w:r w:rsidR="005B52F8" w:rsidRPr="008072C7">
        <w:rPr>
          <w:rFonts w:ascii="Arial" w:hAnsi="Arial" w:cs="Arial"/>
          <w:b w:val="0"/>
          <w:bCs/>
          <w:color w:val="000000" w:themeColor="text1"/>
          <w:sz w:val="20"/>
          <w:szCs w:val="20"/>
        </w:rPr>
        <w:t>and</w:t>
      </w:r>
      <w:r w:rsidR="00E25FC2" w:rsidRPr="008072C7">
        <w:rPr>
          <w:rFonts w:ascii="Arial" w:hAnsi="Arial" w:cs="Arial"/>
          <w:b w:val="0"/>
          <w:bCs/>
          <w:color w:val="000000" w:themeColor="text1"/>
          <w:sz w:val="20"/>
          <w:szCs w:val="20"/>
        </w:rPr>
        <w:t xml:space="preserve"> non-exercising muscles.</w:t>
      </w:r>
      <w:r w:rsidR="00603035" w:rsidRPr="008072C7">
        <w:rPr>
          <w:rFonts w:ascii="Arial" w:hAnsi="Arial" w:cs="Arial"/>
          <w:b w:val="0"/>
          <w:bCs/>
          <w:color w:val="000000" w:themeColor="text1"/>
          <w:sz w:val="20"/>
          <w:szCs w:val="20"/>
        </w:rPr>
        <w:t xml:space="preserve"> Venous blood samples were collected</w:t>
      </w:r>
      <w:r w:rsidR="00E30CC8" w:rsidRPr="008072C7">
        <w:rPr>
          <w:rFonts w:ascii="Arial" w:hAnsi="Arial" w:cs="Arial"/>
          <w:b w:val="0"/>
          <w:bCs/>
          <w:color w:val="000000" w:themeColor="text1"/>
          <w:sz w:val="20"/>
          <w:szCs w:val="20"/>
        </w:rPr>
        <w:t xml:space="preserve"> at the same timepoints </w:t>
      </w:r>
      <w:r w:rsidR="00603035" w:rsidRPr="008072C7">
        <w:rPr>
          <w:rFonts w:ascii="Arial" w:hAnsi="Arial" w:cs="Arial"/>
          <w:b w:val="0"/>
          <w:bCs/>
          <w:color w:val="000000" w:themeColor="text1"/>
          <w:sz w:val="20"/>
          <w:szCs w:val="20"/>
        </w:rPr>
        <w:t>to determine plasma concentrations of beta-endorphin and 2-arachidonoylglycerol.</w:t>
      </w:r>
    </w:p>
    <w:p w14:paraId="3AF5A298" w14:textId="5F7392F2" w:rsidR="0076143B" w:rsidRPr="008072C7" w:rsidRDefault="00E25FC2" w:rsidP="0076143B">
      <w:pPr>
        <w:pStyle w:val="Header"/>
        <w:spacing w:line="480" w:lineRule="auto"/>
        <w:rPr>
          <w:rFonts w:ascii="Arial" w:hAnsi="Arial" w:cs="Arial"/>
          <w:b w:val="0"/>
          <w:color w:val="000000" w:themeColor="text1"/>
          <w:sz w:val="20"/>
          <w:szCs w:val="20"/>
        </w:rPr>
      </w:pPr>
      <w:r w:rsidRPr="008072C7">
        <w:rPr>
          <w:rFonts w:ascii="Arial" w:hAnsi="Arial" w:cs="Arial"/>
          <w:color w:val="000000" w:themeColor="text1"/>
          <w:sz w:val="20"/>
          <w:szCs w:val="20"/>
        </w:rPr>
        <w:t xml:space="preserve">Results: </w:t>
      </w:r>
      <w:r w:rsidRPr="008072C7">
        <w:rPr>
          <w:rFonts w:ascii="Arial" w:hAnsi="Arial" w:cs="Arial"/>
          <w:b w:val="0"/>
          <w:bCs/>
          <w:color w:val="000000" w:themeColor="text1"/>
          <w:sz w:val="20"/>
          <w:szCs w:val="20"/>
        </w:rPr>
        <w:t>High pressure BFR-RE increased PPTs</w:t>
      </w:r>
      <w:r w:rsidR="00DC43AC" w:rsidRPr="008072C7">
        <w:rPr>
          <w:rFonts w:ascii="Arial" w:hAnsi="Arial" w:cs="Arial"/>
          <w:b w:val="0"/>
          <w:bCs/>
          <w:color w:val="000000" w:themeColor="text1"/>
          <w:sz w:val="20"/>
          <w:szCs w:val="20"/>
        </w:rPr>
        <w:t xml:space="preserve"> </w:t>
      </w:r>
      <w:r w:rsidRPr="008072C7">
        <w:rPr>
          <w:rFonts w:ascii="Arial" w:hAnsi="Arial" w:cs="Arial"/>
          <w:b w:val="0"/>
          <w:bCs/>
          <w:color w:val="000000" w:themeColor="text1"/>
          <w:sz w:val="20"/>
          <w:szCs w:val="20"/>
        </w:rPr>
        <w:t>in the exercising limb</w:t>
      </w:r>
      <w:r w:rsidR="00E30CC8" w:rsidRPr="008072C7">
        <w:rPr>
          <w:rFonts w:ascii="Arial" w:hAnsi="Arial" w:cs="Arial"/>
          <w:b w:val="0"/>
          <w:bCs/>
          <w:color w:val="000000" w:themeColor="text1"/>
          <w:sz w:val="20"/>
          <w:szCs w:val="20"/>
        </w:rPr>
        <w:t xml:space="preserve"> to</w:t>
      </w:r>
      <w:r w:rsidRPr="008072C7">
        <w:rPr>
          <w:rFonts w:ascii="Arial" w:hAnsi="Arial" w:cs="Arial"/>
          <w:b w:val="0"/>
          <w:bCs/>
          <w:color w:val="000000" w:themeColor="text1"/>
          <w:sz w:val="20"/>
          <w:szCs w:val="20"/>
        </w:rPr>
        <w:t xml:space="preserve"> a greater extent than</w:t>
      </w:r>
      <w:r w:rsidR="00E30CC8" w:rsidRPr="008072C7">
        <w:rPr>
          <w:rFonts w:ascii="Arial" w:hAnsi="Arial" w:cs="Arial"/>
          <w:b w:val="0"/>
          <w:bCs/>
          <w:color w:val="000000" w:themeColor="text1"/>
          <w:sz w:val="20"/>
          <w:szCs w:val="20"/>
        </w:rPr>
        <w:t xml:space="preserve"> all</w:t>
      </w:r>
      <w:r w:rsidRPr="008072C7">
        <w:rPr>
          <w:rFonts w:ascii="Arial" w:hAnsi="Arial" w:cs="Arial"/>
          <w:b w:val="0"/>
          <w:bCs/>
          <w:color w:val="000000" w:themeColor="text1"/>
          <w:sz w:val="20"/>
          <w:szCs w:val="20"/>
        </w:rPr>
        <w:t xml:space="preserve"> other trials</w:t>
      </w:r>
      <w:r w:rsidR="00CA7198" w:rsidRPr="008072C7">
        <w:rPr>
          <w:rFonts w:ascii="Arial" w:hAnsi="Arial" w:cs="Arial"/>
          <w:b w:val="0"/>
          <w:bCs/>
          <w:color w:val="000000" w:themeColor="text1"/>
          <w:sz w:val="20"/>
          <w:szCs w:val="20"/>
        </w:rPr>
        <w:t xml:space="preserve">. </w:t>
      </w:r>
      <w:r w:rsidR="00E30CC8" w:rsidRPr="008072C7">
        <w:rPr>
          <w:rFonts w:ascii="Arial" w:hAnsi="Arial" w:cs="Arial"/>
          <w:b w:val="0"/>
          <w:bCs/>
          <w:color w:val="000000" w:themeColor="text1"/>
          <w:sz w:val="20"/>
          <w:szCs w:val="20"/>
        </w:rPr>
        <w:t>C</w:t>
      </w:r>
      <w:r w:rsidR="00CA7198" w:rsidRPr="008072C7">
        <w:rPr>
          <w:rFonts w:ascii="Arial" w:hAnsi="Arial" w:cs="Arial"/>
          <w:b w:val="0"/>
          <w:bCs/>
          <w:color w:val="000000" w:themeColor="text1"/>
          <w:sz w:val="20"/>
          <w:szCs w:val="20"/>
        </w:rPr>
        <w:t xml:space="preserve">omparable </w:t>
      </w:r>
      <w:r w:rsidR="0076143B" w:rsidRPr="008072C7">
        <w:rPr>
          <w:rFonts w:ascii="Arial" w:hAnsi="Arial" w:cs="Arial"/>
          <w:b w:val="0"/>
          <w:bCs/>
          <w:color w:val="000000" w:themeColor="text1"/>
          <w:sz w:val="20"/>
          <w:szCs w:val="20"/>
        </w:rPr>
        <w:t>systemic EIH effect</w:t>
      </w:r>
      <w:r w:rsidR="00E30CC8" w:rsidRPr="008072C7">
        <w:rPr>
          <w:rFonts w:ascii="Arial" w:hAnsi="Arial" w:cs="Arial"/>
          <w:b w:val="0"/>
          <w:bCs/>
          <w:color w:val="000000" w:themeColor="text1"/>
          <w:sz w:val="20"/>
          <w:szCs w:val="20"/>
        </w:rPr>
        <w:t>s</w:t>
      </w:r>
      <w:r w:rsidR="0076143B" w:rsidRPr="008072C7">
        <w:rPr>
          <w:rFonts w:ascii="Arial" w:hAnsi="Arial" w:cs="Arial"/>
          <w:b w:val="0"/>
          <w:bCs/>
          <w:color w:val="000000" w:themeColor="text1"/>
          <w:sz w:val="20"/>
          <w:szCs w:val="20"/>
        </w:rPr>
        <w:t xml:space="preserve"> </w:t>
      </w:r>
      <w:r w:rsidR="00CA7198" w:rsidRPr="008072C7">
        <w:rPr>
          <w:rFonts w:ascii="Arial" w:hAnsi="Arial" w:cs="Arial"/>
          <w:b w:val="0"/>
          <w:bCs/>
          <w:color w:val="000000" w:themeColor="text1"/>
          <w:sz w:val="20"/>
          <w:szCs w:val="20"/>
        </w:rPr>
        <w:t>w</w:t>
      </w:r>
      <w:r w:rsidR="00E30CC8" w:rsidRPr="008072C7">
        <w:rPr>
          <w:rFonts w:ascii="Arial" w:hAnsi="Arial" w:cs="Arial"/>
          <w:b w:val="0"/>
          <w:bCs/>
          <w:color w:val="000000" w:themeColor="text1"/>
          <w:sz w:val="20"/>
          <w:szCs w:val="20"/>
        </w:rPr>
        <w:t>ere</w:t>
      </w:r>
      <w:r w:rsidR="00CA7198" w:rsidRPr="008072C7">
        <w:rPr>
          <w:rFonts w:ascii="Arial" w:hAnsi="Arial" w:cs="Arial"/>
          <w:b w:val="0"/>
          <w:bCs/>
          <w:color w:val="000000" w:themeColor="text1"/>
          <w:sz w:val="20"/>
          <w:szCs w:val="20"/>
        </w:rPr>
        <w:t xml:space="preserve"> observed with</w:t>
      </w:r>
      <w:r w:rsidR="0076143B" w:rsidRPr="008072C7">
        <w:rPr>
          <w:rFonts w:ascii="Arial" w:hAnsi="Arial" w:cs="Arial"/>
          <w:b w:val="0"/>
          <w:bCs/>
          <w:color w:val="000000" w:themeColor="text1"/>
          <w:sz w:val="20"/>
          <w:szCs w:val="20"/>
        </w:rPr>
        <w:t xml:space="preserve"> HLRE</w:t>
      </w:r>
      <w:r w:rsidR="009B16EC" w:rsidRPr="008072C7">
        <w:rPr>
          <w:rFonts w:ascii="Arial" w:hAnsi="Arial" w:cs="Arial"/>
          <w:b w:val="0"/>
          <w:bCs/>
          <w:color w:val="000000" w:themeColor="text1"/>
          <w:sz w:val="20"/>
          <w:szCs w:val="20"/>
        </w:rPr>
        <w:t xml:space="preserve"> </w:t>
      </w:r>
      <w:r w:rsidR="00CA7198" w:rsidRPr="008072C7">
        <w:rPr>
          <w:rFonts w:ascii="Arial" w:hAnsi="Arial" w:cs="Arial"/>
          <w:b w:val="0"/>
          <w:bCs/>
          <w:color w:val="000000" w:themeColor="text1"/>
          <w:sz w:val="20"/>
          <w:szCs w:val="20"/>
        </w:rPr>
        <w:t>and both</w:t>
      </w:r>
      <w:r w:rsidR="0076143B" w:rsidRPr="008072C7">
        <w:rPr>
          <w:rFonts w:ascii="Arial" w:hAnsi="Arial" w:cs="Arial"/>
          <w:b w:val="0"/>
          <w:bCs/>
          <w:color w:val="000000" w:themeColor="text1"/>
          <w:sz w:val="20"/>
          <w:szCs w:val="20"/>
        </w:rPr>
        <w:t xml:space="preserve"> </w:t>
      </w:r>
      <w:r w:rsidR="00CA7198" w:rsidRPr="008072C7">
        <w:rPr>
          <w:rFonts w:ascii="Arial" w:hAnsi="Arial" w:cs="Arial"/>
          <w:b w:val="0"/>
          <w:bCs/>
          <w:color w:val="000000" w:themeColor="text1"/>
          <w:sz w:val="20"/>
          <w:szCs w:val="20"/>
        </w:rPr>
        <w:t xml:space="preserve">BFR-RE trials. </w:t>
      </w:r>
      <w:r w:rsidR="0076143B" w:rsidRPr="008072C7">
        <w:rPr>
          <w:rFonts w:ascii="Arial" w:hAnsi="Arial" w:cs="Arial"/>
          <w:b w:val="0"/>
          <w:bCs/>
          <w:color w:val="000000" w:themeColor="text1"/>
          <w:sz w:val="20"/>
          <w:szCs w:val="20"/>
        </w:rPr>
        <w:t xml:space="preserve">PPTs in the exercising limb remained elevated above baseline at 24-h post-exercise following </w:t>
      </w:r>
      <w:r w:rsidR="00CA7198" w:rsidRPr="008072C7">
        <w:rPr>
          <w:rFonts w:ascii="Arial" w:hAnsi="Arial" w:cs="Arial"/>
          <w:b w:val="0"/>
          <w:bCs/>
          <w:color w:val="000000" w:themeColor="text1"/>
          <w:sz w:val="20"/>
          <w:szCs w:val="20"/>
        </w:rPr>
        <w:t xml:space="preserve">both </w:t>
      </w:r>
      <w:r w:rsidR="0076143B" w:rsidRPr="008072C7">
        <w:rPr>
          <w:rFonts w:ascii="Arial" w:hAnsi="Arial" w:cs="Arial"/>
          <w:b w:val="0"/>
          <w:bCs/>
          <w:color w:val="000000" w:themeColor="text1"/>
          <w:sz w:val="20"/>
          <w:szCs w:val="20"/>
        </w:rPr>
        <w:t>BFR-RE</w:t>
      </w:r>
      <w:r w:rsidR="00CA7198" w:rsidRPr="008072C7">
        <w:rPr>
          <w:rFonts w:ascii="Arial" w:hAnsi="Arial" w:cs="Arial"/>
          <w:b w:val="0"/>
          <w:bCs/>
          <w:color w:val="000000" w:themeColor="text1"/>
          <w:sz w:val="20"/>
          <w:szCs w:val="20"/>
        </w:rPr>
        <w:t xml:space="preserve"> trials. </w:t>
      </w:r>
      <w:r w:rsidR="0076143B" w:rsidRPr="008072C7">
        <w:rPr>
          <w:rFonts w:ascii="Arial" w:hAnsi="Arial" w:cs="Arial"/>
          <w:b w:val="0"/>
          <w:bCs/>
          <w:color w:val="000000" w:themeColor="text1"/>
          <w:sz w:val="20"/>
          <w:szCs w:val="20"/>
        </w:rPr>
        <w:t xml:space="preserve">Post-exercise plasma beta-endorphin concentration was elevated during </w:t>
      </w:r>
      <w:r w:rsidR="00CA7198" w:rsidRPr="008072C7">
        <w:rPr>
          <w:rFonts w:ascii="Arial" w:hAnsi="Arial" w:cs="Arial"/>
          <w:b w:val="0"/>
          <w:bCs/>
          <w:color w:val="000000" w:themeColor="text1"/>
          <w:sz w:val="20"/>
          <w:szCs w:val="20"/>
        </w:rPr>
        <w:t>the</w:t>
      </w:r>
      <w:r w:rsidR="001A5744" w:rsidRPr="008072C7">
        <w:rPr>
          <w:rFonts w:ascii="Arial" w:hAnsi="Arial" w:cs="Arial"/>
          <w:b w:val="0"/>
          <w:bCs/>
          <w:color w:val="000000" w:themeColor="text1"/>
          <w:sz w:val="20"/>
          <w:szCs w:val="20"/>
        </w:rPr>
        <w:t xml:space="preserve"> </w:t>
      </w:r>
      <w:r w:rsidR="0076143B" w:rsidRPr="008072C7">
        <w:rPr>
          <w:rFonts w:ascii="Arial" w:hAnsi="Arial" w:cs="Arial"/>
          <w:b w:val="0"/>
          <w:bCs/>
          <w:color w:val="000000" w:themeColor="text1"/>
          <w:sz w:val="20"/>
          <w:szCs w:val="20"/>
        </w:rPr>
        <w:t>BFR-RE trials</w:t>
      </w:r>
      <w:r w:rsidR="005B52F8" w:rsidRPr="008072C7">
        <w:rPr>
          <w:rFonts w:ascii="Arial" w:hAnsi="Arial" w:cs="Arial"/>
          <w:b w:val="0"/>
          <w:bCs/>
          <w:color w:val="000000" w:themeColor="text1"/>
          <w:sz w:val="20"/>
          <w:szCs w:val="20"/>
        </w:rPr>
        <w:t xml:space="preserve">. </w:t>
      </w:r>
      <w:r w:rsidR="0076143B" w:rsidRPr="008072C7">
        <w:rPr>
          <w:rFonts w:ascii="Arial" w:hAnsi="Arial" w:cs="Arial"/>
          <w:b w:val="0"/>
          <w:bCs/>
          <w:color w:val="000000" w:themeColor="text1"/>
          <w:sz w:val="20"/>
          <w:szCs w:val="20"/>
        </w:rPr>
        <w:t>No changes to 2-arachidonoylglycerol concentration were observed.</w:t>
      </w:r>
    </w:p>
    <w:p w14:paraId="732912B8" w14:textId="47AB524F" w:rsidR="00D068AB" w:rsidRPr="008072C7" w:rsidRDefault="0076143B" w:rsidP="002F2583">
      <w:pPr>
        <w:pStyle w:val="Header"/>
        <w:spacing w:line="480" w:lineRule="auto"/>
        <w:rPr>
          <w:rFonts w:ascii="Arial" w:hAnsi="Arial" w:cs="Arial"/>
          <w:b w:val="0"/>
          <w:bCs/>
          <w:color w:val="000000" w:themeColor="text1"/>
          <w:sz w:val="20"/>
          <w:szCs w:val="20"/>
        </w:rPr>
      </w:pPr>
      <w:r w:rsidRPr="008072C7">
        <w:rPr>
          <w:rFonts w:ascii="Arial" w:hAnsi="Arial" w:cs="Arial"/>
          <w:color w:val="000000" w:themeColor="text1"/>
          <w:sz w:val="20"/>
          <w:szCs w:val="20"/>
        </w:rPr>
        <w:t xml:space="preserve">Conclusion: </w:t>
      </w:r>
      <w:r w:rsidRPr="008072C7">
        <w:rPr>
          <w:rFonts w:ascii="Arial" w:hAnsi="Arial" w:cs="Arial"/>
          <w:b w:val="0"/>
          <w:bCs/>
          <w:color w:val="000000" w:themeColor="text1"/>
          <w:sz w:val="20"/>
          <w:szCs w:val="20"/>
        </w:rPr>
        <w:t xml:space="preserve">High pressure BFR-RE </w:t>
      </w:r>
      <w:r w:rsidR="00424E15" w:rsidRPr="008072C7">
        <w:rPr>
          <w:rFonts w:ascii="Arial" w:hAnsi="Arial" w:cs="Arial"/>
          <w:b w:val="0"/>
          <w:bCs/>
          <w:color w:val="000000" w:themeColor="text1"/>
          <w:sz w:val="20"/>
          <w:szCs w:val="20"/>
        </w:rPr>
        <w:t>causes a greater EIH response in the exercising limb that persists for up to 24-h following exercise. The reduction in pain sensitivity with BFR-RE is partly driven by endogenous opioid production of beta-endorphin</w:t>
      </w:r>
      <w:r w:rsidR="00CA7198" w:rsidRPr="008072C7">
        <w:rPr>
          <w:rFonts w:ascii="Arial" w:hAnsi="Arial" w:cs="Arial"/>
          <w:b w:val="0"/>
          <w:bCs/>
          <w:color w:val="000000" w:themeColor="text1"/>
          <w:sz w:val="20"/>
          <w:szCs w:val="20"/>
        </w:rPr>
        <w:t xml:space="preserve">. </w:t>
      </w:r>
      <w:r w:rsidR="00424E15" w:rsidRPr="008072C7">
        <w:rPr>
          <w:rFonts w:ascii="Arial" w:hAnsi="Arial" w:cs="Arial"/>
          <w:b w:val="0"/>
          <w:bCs/>
          <w:color w:val="000000" w:themeColor="text1"/>
          <w:sz w:val="20"/>
          <w:szCs w:val="20"/>
        </w:rPr>
        <w:t xml:space="preserve">BFR-RE should be </w:t>
      </w:r>
      <w:r w:rsidR="00483D9D" w:rsidRPr="008072C7">
        <w:rPr>
          <w:rFonts w:ascii="Arial" w:hAnsi="Arial" w:cs="Arial"/>
          <w:b w:val="0"/>
          <w:bCs/>
          <w:color w:val="000000" w:themeColor="text1"/>
          <w:sz w:val="20"/>
          <w:szCs w:val="20"/>
        </w:rPr>
        <w:t xml:space="preserve">investigated </w:t>
      </w:r>
      <w:r w:rsidR="00424E15" w:rsidRPr="008072C7">
        <w:rPr>
          <w:rFonts w:ascii="Arial" w:hAnsi="Arial" w:cs="Arial"/>
          <w:b w:val="0"/>
          <w:bCs/>
          <w:color w:val="000000" w:themeColor="text1"/>
          <w:sz w:val="20"/>
          <w:szCs w:val="20"/>
        </w:rPr>
        <w:t>as a</w:t>
      </w:r>
      <w:r w:rsidR="0052254C" w:rsidRPr="008072C7">
        <w:rPr>
          <w:rFonts w:ascii="Arial" w:hAnsi="Arial" w:cs="Arial"/>
          <w:b w:val="0"/>
          <w:bCs/>
          <w:color w:val="000000" w:themeColor="text1"/>
          <w:sz w:val="20"/>
          <w:szCs w:val="20"/>
        </w:rPr>
        <w:t xml:space="preserve"> possible</w:t>
      </w:r>
      <w:r w:rsidR="00424E15" w:rsidRPr="008072C7">
        <w:rPr>
          <w:rFonts w:ascii="Arial" w:hAnsi="Arial" w:cs="Arial"/>
          <w:b w:val="0"/>
          <w:bCs/>
          <w:color w:val="000000" w:themeColor="text1"/>
          <w:sz w:val="20"/>
          <w:szCs w:val="20"/>
        </w:rPr>
        <w:t xml:space="preserve"> pain-modulation tool in individuals with acute and chronic pain.</w:t>
      </w:r>
    </w:p>
    <w:p w14:paraId="1831F2AC" w14:textId="77777777" w:rsidR="002F2583" w:rsidRPr="008072C7" w:rsidRDefault="002F2583" w:rsidP="002F2583">
      <w:pPr>
        <w:pStyle w:val="Header"/>
        <w:rPr>
          <w:rFonts w:ascii="Arial" w:hAnsi="Arial" w:cs="Arial"/>
          <w:b w:val="0"/>
          <w:bCs/>
          <w:color w:val="000000" w:themeColor="text1"/>
          <w:sz w:val="20"/>
          <w:szCs w:val="20"/>
        </w:rPr>
      </w:pPr>
      <w:r w:rsidRPr="008072C7">
        <w:rPr>
          <w:rFonts w:ascii="Arial" w:hAnsi="Arial" w:cs="Arial"/>
          <w:color w:val="000000" w:themeColor="text1"/>
          <w:sz w:val="20"/>
          <w:szCs w:val="20"/>
        </w:rPr>
        <w:t xml:space="preserve">Keywords: </w:t>
      </w:r>
      <w:r w:rsidRPr="008072C7">
        <w:rPr>
          <w:rFonts w:ascii="Arial" w:hAnsi="Arial" w:cs="Arial"/>
          <w:b w:val="0"/>
          <w:bCs/>
          <w:color w:val="000000" w:themeColor="text1"/>
          <w:sz w:val="20"/>
          <w:szCs w:val="20"/>
        </w:rPr>
        <w:t>Blood flow restriction, resistance exercise, hypoalgesia, beta-endorphin</w:t>
      </w:r>
    </w:p>
    <w:p w14:paraId="7FF38230" w14:textId="7E024398" w:rsidR="002F2583" w:rsidRPr="008072C7" w:rsidRDefault="002F2583" w:rsidP="002F2583">
      <w:pPr>
        <w:pStyle w:val="Header"/>
        <w:spacing w:line="480" w:lineRule="auto"/>
        <w:rPr>
          <w:rFonts w:ascii="Arial" w:hAnsi="Arial" w:cs="Arial"/>
          <w:b w:val="0"/>
          <w:bCs/>
          <w:color w:val="000000" w:themeColor="text1"/>
          <w:sz w:val="20"/>
          <w:szCs w:val="20"/>
        </w:rPr>
        <w:sectPr w:rsidR="002F2583" w:rsidRPr="008072C7" w:rsidSect="00AA6C48">
          <w:pgSz w:w="11900" w:h="16840"/>
          <w:pgMar w:top="1440" w:right="1440" w:bottom="1440" w:left="1440" w:header="708" w:footer="708" w:gutter="0"/>
          <w:lnNumType w:countBy="1" w:restart="continuous"/>
          <w:cols w:space="708"/>
          <w:docGrid w:linePitch="360"/>
        </w:sectPr>
      </w:pPr>
    </w:p>
    <w:p w14:paraId="05F7AF5D" w14:textId="62974026" w:rsidR="00B011F3" w:rsidRPr="008072C7" w:rsidRDefault="00B011F3" w:rsidP="00AA6C48">
      <w:pPr>
        <w:pStyle w:val="Header"/>
        <w:rPr>
          <w:rFonts w:ascii="Arial" w:hAnsi="Arial" w:cs="Arial"/>
          <w:color w:val="000000" w:themeColor="text1"/>
          <w:sz w:val="20"/>
          <w:szCs w:val="20"/>
        </w:rPr>
      </w:pPr>
      <w:r w:rsidRPr="008072C7">
        <w:rPr>
          <w:rFonts w:ascii="Arial" w:hAnsi="Arial" w:cs="Arial"/>
          <w:color w:val="000000" w:themeColor="text1"/>
          <w:sz w:val="20"/>
          <w:szCs w:val="20"/>
        </w:rPr>
        <w:lastRenderedPageBreak/>
        <w:t>New and noteworthy</w:t>
      </w:r>
    </w:p>
    <w:p w14:paraId="3A686227" w14:textId="2568FC0D" w:rsidR="00E30CC8" w:rsidRPr="008072C7" w:rsidRDefault="00D068AB" w:rsidP="00E30CC8">
      <w:pPr>
        <w:pStyle w:val="Header"/>
        <w:spacing w:line="480" w:lineRule="auto"/>
        <w:rPr>
          <w:rStyle w:val="Strong"/>
          <w:rFonts w:ascii="Arial" w:hAnsi="Arial" w:cs="Arial"/>
          <w:color w:val="000000" w:themeColor="text1"/>
          <w:sz w:val="20"/>
          <w:szCs w:val="20"/>
        </w:rPr>
        <w:sectPr w:rsidR="00E30CC8" w:rsidRPr="008072C7" w:rsidSect="00AA6C48">
          <w:pgSz w:w="11900" w:h="16840"/>
          <w:pgMar w:top="1440" w:right="1440" w:bottom="1440" w:left="1440" w:header="708" w:footer="708" w:gutter="0"/>
          <w:lnNumType w:countBy="1" w:restart="continuous"/>
          <w:cols w:space="708"/>
          <w:docGrid w:linePitch="360"/>
        </w:sectPr>
      </w:pPr>
      <w:r w:rsidRPr="008072C7">
        <w:rPr>
          <w:rFonts w:ascii="Arial" w:hAnsi="Arial" w:cs="Arial"/>
          <w:b w:val="0"/>
          <w:bCs/>
          <w:color w:val="000000" w:themeColor="text1"/>
          <w:sz w:val="20"/>
          <w:szCs w:val="20"/>
        </w:rPr>
        <w:t>We investigated the acute effect of light</w:t>
      </w:r>
      <w:r w:rsidR="00DE49AE" w:rsidRPr="008072C7">
        <w:rPr>
          <w:rFonts w:ascii="Arial" w:hAnsi="Arial" w:cs="Arial"/>
          <w:b w:val="0"/>
          <w:bCs/>
          <w:color w:val="000000" w:themeColor="text1"/>
          <w:sz w:val="20"/>
          <w:szCs w:val="20"/>
        </w:rPr>
        <w:t xml:space="preserve"> load</w:t>
      </w:r>
      <w:r w:rsidRPr="008072C7">
        <w:rPr>
          <w:rFonts w:ascii="Arial" w:hAnsi="Arial" w:cs="Arial"/>
          <w:b w:val="0"/>
          <w:bCs/>
          <w:color w:val="000000" w:themeColor="text1"/>
          <w:sz w:val="20"/>
          <w:szCs w:val="20"/>
        </w:rPr>
        <w:t xml:space="preserve"> resistance exercise with blood flow restriction</w:t>
      </w:r>
      <w:r w:rsidR="00DE49AE" w:rsidRPr="008072C7">
        <w:rPr>
          <w:rFonts w:ascii="Arial" w:hAnsi="Arial" w:cs="Arial"/>
          <w:b w:val="0"/>
          <w:bCs/>
          <w:color w:val="000000" w:themeColor="text1"/>
          <w:sz w:val="20"/>
          <w:szCs w:val="20"/>
        </w:rPr>
        <w:t xml:space="preserve"> (BFR) at different pressures</w:t>
      </w:r>
      <w:r w:rsidRPr="008072C7">
        <w:rPr>
          <w:rFonts w:ascii="Arial" w:hAnsi="Arial" w:cs="Arial"/>
          <w:b w:val="0"/>
          <w:bCs/>
          <w:color w:val="000000" w:themeColor="text1"/>
          <w:sz w:val="20"/>
          <w:szCs w:val="20"/>
        </w:rPr>
        <w:t xml:space="preserve"> on </w:t>
      </w:r>
      <w:r w:rsidR="00DE49AE" w:rsidRPr="008072C7">
        <w:rPr>
          <w:rFonts w:ascii="Arial" w:hAnsi="Arial" w:cs="Arial"/>
          <w:b w:val="0"/>
          <w:bCs/>
          <w:color w:val="000000" w:themeColor="text1"/>
          <w:sz w:val="20"/>
          <w:szCs w:val="20"/>
        </w:rPr>
        <w:t>pain sensitivity</w:t>
      </w:r>
      <w:r w:rsidRPr="008072C7">
        <w:rPr>
          <w:rFonts w:ascii="Arial" w:hAnsi="Arial" w:cs="Arial"/>
          <w:b w:val="0"/>
          <w:bCs/>
          <w:color w:val="000000" w:themeColor="text1"/>
          <w:sz w:val="20"/>
          <w:szCs w:val="20"/>
        </w:rPr>
        <w:t xml:space="preserve"> </w:t>
      </w:r>
      <w:r w:rsidR="00DE49AE" w:rsidRPr="008072C7">
        <w:rPr>
          <w:rFonts w:ascii="Arial" w:hAnsi="Arial" w:cs="Arial"/>
          <w:b w:val="0"/>
          <w:bCs/>
          <w:color w:val="000000" w:themeColor="text1"/>
          <w:sz w:val="20"/>
          <w:szCs w:val="20"/>
        </w:rPr>
        <w:t xml:space="preserve">and the mechanisms </w:t>
      </w:r>
      <w:r w:rsidR="006A1526" w:rsidRPr="008072C7">
        <w:rPr>
          <w:rFonts w:ascii="Arial" w:hAnsi="Arial" w:cs="Arial"/>
          <w:b w:val="0"/>
          <w:bCs/>
          <w:color w:val="000000" w:themeColor="text1"/>
          <w:sz w:val="20"/>
          <w:szCs w:val="20"/>
        </w:rPr>
        <w:t>contributing to</w:t>
      </w:r>
      <w:r w:rsidR="00DE49AE" w:rsidRPr="008072C7">
        <w:rPr>
          <w:rFonts w:ascii="Arial" w:hAnsi="Arial" w:cs="Arial"/>
          <w:b w:val="0"/>
          <w:bCs/>
          <w:color w:val="000000" w:themeColor="text1"/>
          <w:sz w:val="20"/>
          <w:szCs w:val="20"/>
        </w:rPr>
        <w:t xml:space="preserve"> the exercise-induced hypoalgesia (EIH) response. For the first time we have shown that resistance exercise</w:t>
      </w:r>
      <w:r w:rsidR="006A1526" w:rsidRPr="008072C7">
        <w:rPr>
          <w:rFonts w:ascii="Arial" w:hAnsi="Arial" w:cs="Arial"/>
          <w:b w:val="0"/>
          <w:bCs/>
          <w:color w:val="000000" w:themeColor="text1"/>
          <w:sz w:val="20"/>
          <w:szCs w:val="20"/>
        </w:rPr>
        <w:t xml:space="preserve"> with high pressure BFR</w:t>
      </w:r>
      <w:r w:rsidR="00DE49AE" w:rsidRPr="008072C7">
        <w:rPr>
          <w:rFonts w:ascii="Arial" w:hAnsi="Arial" w:cs="Arial"/>
          <w:b w:val="0"/>
          <w:bCs/>
          <w:color w:val="000000" w:themeColor="text1"/>
          <w:sz w:val="20"/>
          <w:szCs w:val="20"/>
        </w:rPr>
        <w:t xml:space="preserve"> causes a greater hypoalgesia response in the exercising limb</w:t>
      </w:r>
      <w:r w:rsidR="00E30CC8" w:rsidRPr="008072C7">
        <w:rPr>
          <w:rFonts w:ascii="Arial" w:hAnsi="Arial" w:cs="Arial"/>
          <w:b w:val="0"/>
          <w:bCs/>
          <w:color w:val="000000" w:themeColor="text1"/>
          <w:sz w:val="20"/>
          <w:szCs w:val="20"/>
        </w:rPr>
        <w:t xml:space="preserve"> (48%)</w:t>
      </w:r>
      <w:r w:rsidR="00DE49AE" w:rsidRPr="008072C7">
        <w:rPr>
          <w:rFonts w:ascii="Arial" w:hAnsi="Arial" w:cs="Arial"/>
          <w:b w:val="0"/>
          <w:bCs/>
          <w:color w:val="000000" w:themeColor="text1"/>
          <w:sz w:val="20"/>
          <w:szCs w:val="20"/>
        </w:rPr>
        <w:t xml:space="preserve"> compared to low BFR pressure, l</w:t>
      </w:r>
      <w:r w:rsidR="00E30CC8" w:rsidRPr="008072C7">
        <w:rPr>
          <w:rFonts w:ascii="Arial" w:hAnsi="Arial" w:cs="Arial"/>
          <w:b w:val="0"/>
          <w:bCs/>
          <w:color w:val="000000" w:themeColor="text1"/>
          <w:sz w:val="20"/>
          <w:szCs w:val="20"/>
        </w:rPr>
        <w:t>ight</w:t>
      </w:r>
      <w:r w:rsidR="00DE49AE" w:rsidRPr="008072C7">
        <w:rPr>
          <w:rFonts w:ascii="Arial" w:hAnsi="Arial" w:cs="Arial"/>
          <w:b w:val="0"/>
          <w:bCs/>
          <w:color w:val="000000" w:themeColor="text1"/>
          <w:sz w:val="20"/>
          <w:szCs w:val="20"/>
        </w:rPr>
        <w:t xml:space="preserve"> and h</w:t>
      </w:r>
      <w:r w:rsidR="00E30CC8" w:rsidRPr="008072C7">
        <w:rPr>
          <w:rFonts w:ascii="Arial" w:hAnsi="Arial" w:cs="Arial"/>
          <w:b w:val="0"/>
          <w:bCs/>
          <w:color w:val="000000" w:themeColor="text1"/>
          <w:sz w:val="20"/>
          <w:szCs w:val="20"/>
        </w:rPr>
        <w:t>eavy</w:t>
      </w:r>
      <w:r w:rsidR="00DE49AE" w:rsidRPr="008072C7">
        <w:rPr>
          <w:rFonts w:ascii="Arial" w:hAnsi="Arial" w:cs="Arial"/>
          <w:b w:val="0"/>
          <w:bCs/>
          <w:color w:val="000000" w:themeColor="text1"/>
          <w:sz w:val="20"/>
          <w:szCs w:val="20"/>
        </w:rPr>
        <w:t xml:space="preserve"> load resistance exercise</w:t>
      </w:r>
      <w:r w:rsidR="00E30CC8" w:rsidRPr="008072C7">
        <w:rPr>
          <w:rFonts w:ascii="Arial" w:hAnsi="Arial" w:cs="Arial"/>
          <w:b w:val="0"/>
          <w:bCs/>
          <w:color w:val="000000" w:themeColor="text1"/>
          <w:sz w:val="20"/>
          <w:szCs w:val="20"/>
        </w:rPr>
        <w:t xml:space="preserve"> (10-34%). </w:t>
      </w:r>
      <w:r w:rsidR="00DE49AE" w:rsidRPr="008072C7">
        <w:rPr>
          <w:rFonts w:ascii="Arial" w:hAnsi="Arial" w:cs="Arial"/>
          <w:b w:val="0"/>
          <w:bCs/>
          <w:color w:val="000000" w:themeColor="text1"/>
          <w:sz w:val="20"/>
          <w:szCs w:val="20"/>
        </w:rPr>
        <w:t xml:space="preserve">Performing </w:t>
      </w:r>
      <w:r w:rsidR="00F77815" w:rsidRPr="008072C7">
        <w:rPr>
          <w:rFonts w:ascii="Arial" w:hAnsi="Arial" w:cs="Arial"/>
          <w:b w:val="0"/>
          <w:bCs/>
          <w:color w:val="000000" w:themeColor="text1"/>
          <w:sz w:val="20"/>
          <w:szCs w:val="20"/>
        </w:rPr>
        <w:t xml:space="preserve">light load </w:t>
      </w:r>
      <w:r w:rsidR="00DE49AE" w:rsidRPr="008072C7">
        <w:rPr>
          <w:rFonts w:ascii="Arial" w:hAnsi="Arial" w:cs="Arial"/>
          <w:b w:val="0"/>
          <w:bCs/>
          <w:color w:val="000000" w:themeColor="text1"/>
          <w:sz w:val="20"/>
          <w:szCs w:val="20"/>
        </w:rPr>
        <w:t>resistance exercise with BFR</w:t>
      </w:r>
      <w:r w:rsidR="00E30CC8" w:rsidRPr="008072C7">
        <w:rPr>
          <w:rFonts w:ascii="Arial" w:hAnsi="Arial" w:cs="Arial"/>
          <w:b w:val="0"/>
          <w:bCs/>
          <w:color w:val="000000" w:themeColor="text1"/>
          <w:sz w:val="20"/>
          <w:szCs w:val="20"/>
        </w:rPr>
        <w:t xml:space="preserve"> caused systemic hypoalgesia</w:t>
      </w:r>
      <w:r w:rsidR="00DE49AE" w:rsidRPr="008072C7">
        <w:rPr>
          <w:rFonts w:ascii="Arial" w:hAnsi="Arial" w:cs="Arial"/>
          <w:b w:val="0"/>
          <w:bCs/>
          <w:color w:val="000000" w:themeColor="text1"/>
          <w:sz w:val="20"/>
          <w:szCs w:val="20"/>
        </w:rPr>
        <w:t xml:space="preserve"> at both a low</w:t>
      </w:r>
      <w:r w:rsidR="00E30CC8" w:rsidRPr="008072C7">
        <w:rPr>
          <w:rFonts w:ascii="Arial" w:hAnsi="Arial" w:cs="Arial"/>
          <w:b w:val="0"/>
          <w:bCs/>
          <w:color w:val="000000" w:themeColor="text1"/>
          <w:sz w:val="20"/>
          <w:szCs w:val="20"/>
        </w:rPr>
        <w:t xml:space="preserve"> (11-17%)</w:t>
      </w:r>
      <w:r w:rsidR="00DE49AE" w:rsidRPr="008072C7">
        <w:rPr>
          <w:rFonts w:ascii="Arial" w:hAnsi="Arial" w:cs="Arial"/>
          <w:b w:val="0"/>
          <w:bCs/>
          <w:color w:val="000000" w:themeColor="text1"/>
          <w:sz w:val="20"/>
          <w:szCs w:val="20"/>
        </w:rPr>
        <w:t xml:space="preserve"> and high</w:t>
      </w:r>
      <w:r w:rsidR="00E30CC8" w:rsidRPr="008072C7">
        <w:rPr>
          <w:rFonts w:ascii="Arial" w:hAnsi="Arial" w:cs="Arial"/>
          <w:b w:val="0"/>
          <w:bCs/>
          <w:color w:val="000000" w:themeColor="text1"/>
          <w:sz w:val="20"/>
          <w:szCs w:val="20"/>
        </w:rPr>
        <w:t xml:space="preserve"> (11-21%) pressure that was comparable to heavy load resistance exercise (10-18%). BFR resistance exercise at both a low and high pressure prolonged the </w:t>
      </w:r>
      <w:r w:rsidR="00DE49AE" w:rsidRPr="008072C7">
        <w:rPr>
          <w:rFonts w:ascii="Arial" w:hAnsi="Arial" w:cs="Arial"/>
          <w:b w:val="0"/>
          <w:bCs/>
          <w:color w:val="000000" w:themeColor="text1"/>
          <w:sz w:val="20"/>
          <w:szCs w:val="20"/>
        </w:rPr>
        <w:t>EIH response for up to 24-h in the exercising limb</w:t>
      </w:r>
      <w:r w:rsidR="00E30CC8" w:rsidRPr="008072C7">
        <w:rPr>
          <w:rFonts w:ascii="Arial" w:hAnsi="Arial" w:cs="Arial"/>
          <w:b w:val="0"/>
          <w:bCs/>
          <w:color w:val="000000" w:themeColor="text1"/>
          <w:sz w:val="20"/>
          <w:szCs w:val="20"/>
        </w:rPr>
        <w:t xml:space="preserve"> (15% and 24%, respectively). </w:t>
      </w:r>
      <w:r w:rsidR="00DE49AE" w:rsidRPr="008072C7">
        <w:rPr>
          <w:rFonts w:ascii="Arial" w:hAnsi="Arial" w:cs="Arial"/>
          <w:b w:val="0"/>
          <w:bCs/>
          <w:color w:val="000000" w:themeColor="text1"/>
          <w:sz w:val="20"/>
          <w:szCs w:val="20"/>
        </w:rPr>
        <w:t>Activation of endogenous opioid production, reflected in the present study by increased plasma beta-endorphin concentration</w:t>
      </w:r>
      <w:r w:rsidR="00E30CC8" w:rsidRPr="008072C7">
        <w:rPr>
          <w:rFonts w:ascii="Arial" w:hAnsi="Arial" w:cs="Arial"/>
          <w:b w:val="0"/>
          <w:bCs/>
          <w:color w:val="000000" w:themeColor="text1"/>
          <w:sz w:val="20"/>
          <w:szCs w:val="20"/>
        </w:rPr>
        <w:t xml:space="preserve"> with low (21%) and high (23%) </w:t>
      </w:r>
      <w:r w:rsidR="00483D9D" w:rsidRPr="008072C7">
        <w:rPr>
          <w:rFonts w:ascii="Arial" w:hAnsi="Arial" w:cs="Arial"/>
          <w:b w:val="0"/>
          <w:bCs/>
          <w:color w:val="000000" w:themeColor="text1"/>
          <w:sz w:val="20"/>
          <w:szCs w:val="20"/>
        </w:rPr>
        <w:t xml:space="preserve">BFR </w:t>
      </w:r>
      <w:r w:rsidR="00E30CC8" w:rsidRPr="008072C7">
        <w:rPr>
          <w:rFonts w:ascii="Arial" w:hAnsi="Arial" w:cs="Arial"/>
          <w:b w:val="0"/>
          <w:bCs/>
          <w:color w:val="000000" w:themeColor="text1"/>
          <w:sz w:val="20"/>
          <w:szCs w:val="20"/>
        </w:rPr>
        <w:t>pressure</w:t>
      </w:r>
      <w:r w:rsidR="00DE49AE" w:rsidRPr="008072C7">
        <w:rPr>
          <w:rFonts w:ascii="Arial" w:hAnsi="Arial" w:cs="Arial"/>
          <w:b w:val="0"/>
          <w:bCs/>
          <w:color w:val="000000" w:themeColor="text1"/>
          <w:sz w:val="20"/>
          <w:szCs w:val="20"/>
        </w:rPr>
        <w:t xml:space="preserve">, </w:t>
      </w:r>
      <w:r w:rsidR="00EC17E4" w:rsidRPr="008072C7">
        <w:rPr>
          <w:rFonts w:ascii="Arial" w:hAnsi="Arial" w:cs="Arial"/>
          <w:b w:val="0"/>
          <w:bCs/>
          <w:color w:val="000000" w:themeColor="text1"/>
          <w:sz w:val="20"/>
          <w:szCs w:val="20"/>
        </w:rPr>
        <w:t>and a conditioned pain modulation effect due to muscle discomfort during exercise, both appear to mediate the  relationship between exercise and  hypoalgesia.</w:t>
      </w:r>
    </w:p>
    <w:p w14:paraId="6FFDD01E" w14:textId="46DA291F" w:rsidR="00671DE2" w:rsidRPr="008072C7" w:rsidRDefault="00AE1318" w:rsidP="00AA6C48">
      <w:pPr>
        <w:pStyle w:val="Header"/>
        <w:rPr>
          <w:rStyle w:val="Strong"/>
          <w:rFonts w:ascii="Arial" w:hAnsi="Arial" w:cs="Arial"/>
          <w:b/>
          <w:bCs w:val="0"/>
          <w:color w:val="000000" w:themeColor="text1"/>
          <w:sz w:val="20"/>
          <w:szCs w:val="20"/>
        </w:rPr>
      </w:pPr>
      <w:r w:rsidRPr="008072C7">
        <w:rPr>
          <w:rStyle w:val="Strong"/>
          <w:rFonts w:ascii="Arial" w:hAnsi="Arial" w:cs="Arial"/>
          <w:b/>
          <w:bCs w:val="0"/>
          <w:color w:val="000000" w:themeColor="text1"/>
          <w:sz w:val="20"/>
          <w:szCs w:val="20"/>
        </w:rPr>
        <w:lastRenderedPageBreak/>
        <w:t>Introduction</w:t>
      </w:r>
    </w:p>
    <w:p w14:paraId="75E6AE59" w14:textId="3498F5F8" w:rsidR="00BF35AC" w:rsidRPr="008072C7" w:rsidRDefault="00094E97" w:rsidP="00476D7D">
      <w:pPr>
        <w:rPr>
          <w:rFonts w:ascii="Arial" w:hAnsi="Arial" w:cs="Arial"/>
          <w:color w:val="000000" w:themeColor="text1"/>
          <w:sz w:val="20"/>
          <w:szCs w:val="20"/>
        </w:rPr>
      </w:pPr>
      <w:r w:rsidRPr="008072C7">
        <w:rPr>
          <w:rFonts w:ascii="Arial" w:hAnsi="Arial" w:cs="Arial"/>
          <w:color w:val="000000" w:themeColor="text1"/>
          <w:sz w:val="20"/>
          <w:szCs w:val="20"/>
        </w:rPr>
        <w:t>Exercise-induced hypoalgesia (EIH) describes a</w:t>
      </w:r>
      <w:r w:rsidR="00FD046A" w:rsidRPr="008072C7">
        <w:rPr>
          <w:rFonts w:ascii="Arial" w:hAnsi="Arial" w:cs="Arial"/>
          <w:color w:val="000000" w:themeColor="text1"/>
          <w:sz w:val="20"/>
          <w:szCs w:val="20"/>
        </w:rPr>
        <w:t>n acute</w:t>
      </w:r>
      <w:r w:rsidRPr="008072C7">
        <w:rPr>
          <w:rFonts w:ascii="Arial" w:hAnsi="Arial" w:cs="Arial"/>
          <w:color w:val="000000" w:themeColor="text1"/>
          <w:sz w:val="20"/>
          <w:szCs w:val="20"/>
        </w:rPr>
        <w:t xml:space="preserve"> reduction in pain sensitivity following exercise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{"citationItems":[{"id":"ITEM-1","itemData":{"DOI":"10.2165/00007256-200029020-00002","author":[{"dropping-particle":"","family":"Koltyn","given":"Kelli F","non-dropping-particle":"","parse-names":false,"suffix":""}],"container-title":"Sports Medicine","id":"ITEM-1","issue":"2","issued":{"date-parts":[["2000"]]},"page":"85-98","title":"Analgesia following exercise: A review","type":"article-journal","volume":"29"},"uris":["http://www.mendeley.com/documents/?uuid=ae43793e-3183-4d75-b3c3-cd4c2eca99df"]}],"mendeley":{"formattedCitation":"(36)","plainTextFormattedCitation":"(36)","previouslyFormattedCitation":"(36)"},"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(36)</w:t>
      </w:r>
      <w:r w:rsidRPr="008072C7">
        <w:rPr>
          <w:rFonts w:ascii="Arial" w:hAnsi="Arial" w:cs="Arial"/>
          <w:color w:val="000000" w:themeColor="text1"/>
          <w:sz w:val="20"/>
          <w:szCs w:val="20"/>
        </w:rPr>
        <w:fldChar w:fldCharType="end"/>
      </w:r>
      <w:r w:rsidR="00A637B4" w:rsidRPr="008072C7">
        <w:rPr>
          <w:rFonts w:ascii="Arial" w:hAnsi="Arial" w:cs="Arial"/>
          <w:color w:val="000000" w:themeColor="text1"/>
          <w:sz w:val="20"/>
          <w:szCs w:val="20"/>
        </w:rPr>
        <w:t>.</w:t>
      </w:r>
      <w:r w:rsidR="00B45093" w:rsidRPr="008072C7">
        <w:rPr>
          <w:rFonts w:ascii="Arial" w:hAnsi="Arial" w:cs="Arial"/>
          <w:color w:val="000000" w:themeColor="text1"/>
          <w:sz w:val="20"/>
          <w:szCs w:val="20"/>
        </w:rPr>
        <w:t xml:space="preserve"> </w:t>
      </w:r>
      <w:r w:rsidR="0018694C" w:rsidRPr="008072C7">
        <w:rPr>
          <w:rFonts w:ascii="Arial" w:hAnsi="Arial" w:cs="Arial"/>
          <w:color w:val="000000" w:themeColor="text1"/>
          <w:sz w:val="20"/>
          <w:szCs w:val="20"/>
        </w:rPr>
        <w:t>It is</w:t>
      </w:r>
      <w:r w:rsidR="00F364ED" w:rsidRPr="008072C7">
        <w:rPr>
          <w:rFonts w:ascii="Arial" w:hAnsi="Arial" w:cs="Arial"/>
          <w:color w:val="000000" w:themeColor="text1"/>
          <w:sz w:val="20"/>
          <w:szCs w:val="20"/>
        </w:rPr>
        <w:t xml:space="preserve"> </w:t>
      </w:r>
      <w:r w:rsidR="0018694C" w:rsidRPr="008072C7">
        <w:rPr>
          <w:rFonts w:ascii="Arial" w:hAnsi="Arial" w:cs="Arial"/>
          <w:color w:val="000000" w:themeColor="text1"/>
          <w:sz w:val="20"/>
          <w:szCs w:val="20"/>
        </w:rPr>
        <w:t>characterised by an elevat</w:t>
      </w:r>
      <w:r w:rsidR="00FD046A" w:rsidRPr="008072C7">
        <w:rPr>
          <w:rFonts w:ascii="Arial" w:hAnsi="Arial" w:cs="Arial"/>
          <w:color w:val="000000" w:themeColor="text1"/>
          <w:sz w:val="20"/>
          <w:szCs w:val="20"/>
        </w:rPr>
        <w:t>ed</w:t>
      </w:r>
      <w:r w:rsidR="0018694C" w:rsidRPr="008072C7">
        <w:rPr>
          <w:rFonts w:ascii="Arial" w:hAnsi="Arial" w:cs="Arial"/>
          <w:color w:val="000000" w:themeColor="text1"/>
          <w:sz w:val="20"/>
          <w:szCs w:val="20"/>
        </w:rPr>
        <w:t xml:space="preserve"> pain threshold or decrease</w:t>
      </w:r>
      <w:r w:rsidR="00FD046A" w:rsidRPr="008072C7">
        <w:rPr>
          <w:rFonts w:ascii="Arial" w:hAnsi="Arial" w:cs="Arial"/>
          <w:color w:val="000000" w:themeColor="text1"/>
          <w:sz w:val="20"/>
          <w:szCs w:val="20"/>
        </w:rPr>
        <w:t>d</w:t>
      </w:r>
      <w:r w:rsidR="0018694C" w:rsidRPr="008072C7">
        <w:rPr>
          <w:rFonts w:ascii="Arial" w:hAnsi="Arial" w:cs="Arial"/>
          <w:color w:val="000000" w:themeColor="text1"/>
          <w:sz w:val="20"/>
          <w:szCs w:val="20"/>
        </w:rPr>
        <w:t xml:space="preserve"> suprathreshold pain intensity rating</w:t>
      </w:r>
      <w:r w:rsidR="000C3734" w:rsidRPr="008072C7">
        <w:rPr>
          <w:rFonts w:ascii="Arial" w:hAnsi="Arial" w:cs="Arial"/>
          <w:color w:val="000000" w:themeColor="text1"/>
          <w:sz w:val="20"/>
          <w:szCs w:val="20"/>
        </w:rPr>
        <w:t xml:space="preserve">, </w:t>
      </w:r>
      <w:r w:rsidR="00D467B7" w:rsidRPr="008072C7">
        <w:rPr>
          <w:rFonts w:ascii="Arial" w:hAnsi="Arial" w:cs="Arial"/>
          <w:color w:val="000000" w:themeColor="text1"/>
          <w:sz w:val="20"/>
          <w:szCs w:val="20"/>
        </w:rPr>
        <w:t xml:space="preserve">assessed using noxious stimuli such as temperature, electrical and mechanical pressure stimulation </w:t>
      </w:r>
      <w:r w:rsidR="00D467B7"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{"citationItems":[{"id":"ITEM-1","itemData":{"DOI":"10.1016/j.jpain.2012.09.006","author":[{"dropping-particle":"","family":"Naugle","given":"Kelly M","non-dropping-particle":"","parse-names":false,"suffix":""},{"dropping-particle":"","family":"Fillingim","given":"Roger B","non-dropping-particle":"","parse-names":false,"suffix":""},{"dropping-particle":"","family":"Riley","given":"Joseph L","non-dropping-particle":"","parse-names":false,"suffix":""}],"container-title":"The Journal of Pain","id":"ITEM-1","issue":"12","issued":{"date-parts":[["2012"]]},"page":"1139-1150","publisher":"Elsevier Ltd","title":"A Meta-Analytic Review of the Hypoalgesic Effects of Exercise","type":"article-journal","volume":"13"},"uris":["http://www.mendeley.com/documents/?uuid=41e6aa37-b2fe-4496-8691-4ccaff877651"]}],"mendeley":{"formattedCitation":"(53)","plainTextFormattedCitation":"(53)","previouslyFormattedCitation":"(53)"},"properties":{"noteIndex":0},"schema":"https://github.com/citation-style-language/schema/raw/master/csl-citation.json"}</w:instrText>
      </w:r>
      <w:r w:rsidR="00D467B7"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(53)</w:t>
      </w:r>
      <w:r w:rsidR="00D467B7" w:rsidRPr="008072C7">
        <w:rPr>
          <w:rFonts w:ascii="Arial" w:hAnsi="Arial" w:cs="Arial"/>
          <w:color w:val="000000" w:themeColor="text1"/>
          <w:sz w:val="20"/>
          <w:szCs w:val="20"/>
        </w:rPr>
        <w:fldChar w:fldCharType="end"/>
      </w:r>
      <w:r w:rsidR="00D467B7" w:rsidRPr="008072C7">
        <w:rPr>
          <w:rFonts w:ascii="Arial" w:hAnsi="Arial" w:cs="Arial"/>
          <w:color w:val="000000" w:themeColor="text1"/>
          <w:sz w:val="20"/>
          <w:szCs w:val="20"/>
        </w:rPr>
        <w:t>.</w:t>
      </w:r>
      <w:r w:rsidR="00F364ED" w:rsidRPr="008072C7">
        <w:rPr>
          <w:rFonts w:ascii="Arial" w:hAnsi="Arial" w:cs="Arial"/>
          <w:color w:val="000000" w:themeColor="text1"/>
          <w:sz w:val="20"/>
          <w:szCs w:val="20"/>
        </w:rPr>
        <w:t xml:space="preserve"> </w:t>
      </w:r>
      <w:r w:rsidR="0008757A" w:rsidRPr="008072C7">
        <w:rPr>
          <w:rFonts w:ascii="Arial" w:hAnsi="Arial" w:cs="Arial"/>
          <w:color w:val="000000" w:themeColor="text1"/>
          <w:sz w:val="20"/>
          <w:szCs w:val="20"/>
        </w:rPr>
        <w:t xml:space="preserve">Reductions in pain sensitivity </w:t>
      </w:r>
      <w:r w:rsidR="00F364ED" w:rsidRPr="008072C7">
        <w:rPr>
          <w:rFonts w:ascii="Arial" w:hAnsi="Arial" w:cs="Arial"/>
          <w:color w:val="000000" w:themeColor="text1"/>
          <w:sz w:val="20"/>
          <w:szCs w:val="20"/>
        </w:rPr>
        <w:t xml:space="preserve">are of greatest magnitude in the exercising limb but also observed in </w:t>
      </w:r>
      <w:r w:rsidR="00BF35AC" w:rsidRPr="008072C7">
        <w:rPr>
          <w:rFonts w:ascii="Arial" w:hAnsi="Arial" w:cs="Arial"/>
          <w:color w:val="000000" w:themeColor="text1"/>
          <w:sz w:val="20"/>
          <w:szCs w:val="20"/>
        </w:rPr>
        <w:t xml:space="preserve">remote non-exercising areas of the body </w:t>
      </w:r>
      <w:r w:rsidR="00BF35AC"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{"citationItems":[{"id":"ITEM-1","itemData":{"DOI":"10.1519/JSC.0b013e3181a05564","author":[{"dropping-particle":"","family":"Focht","given":"Brian C.","non-dropping-particle":"","parse-names":false,"suffix":""},{"dropping-particle":"","family":"Koltyn","given":"Kelli F.","non-dropping-particle":"","parse-names":false,"suffix":""}],"container-title":"Journal of Strength and Conditioning Research","id":"ITEM-1","issue":"3","issued":{"date-parts":[["2009"]]},"page":"891-897","title":"Alterations in pain perception after resistance exercise performed in the morning and evening","type":"article-journal","volume":"23"},"uris":["http://www.mendeley.com/documents/?uuid=0b80974f-c0c7-4d80-8578-3c26dac2203f"]},{"id":"ITEM-2","itemData":{"DOI":"10.1016/j.pain.2013.09.023","ISSN":"03043959","abstract":"Pain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-2","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humans","type":"article-journal","volume":"155"},"uris":["http://www.mendeley.com/documents/?uuid=bcdda900-a48b-4fdf-9f12-6bd82a0db598"]}],"mendeley":{"formattedCitation":"(11, 68)","plainTextFormattedCitation":"(11, 68)","previouslyFormattedCitation":"(11, 68)"},"properties":{"noteIndex":0},"schema":"https://github.com/citation-style-language/schema/raw/master/csl-citation.json"}</w:instrText>
      </w:r>
      <w:r w:rsidR="00BF35AC"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(11, 68)</w:t>
      </w:r>
      <w:r w:rsidR="00BF35AC" w:rsidRPr="008072C7">
        <w:rPr>
          <w:rFonts w:ascii="Arial" w:hAnsi="Arial" w:cs="Arial"/>
          <w:color w:val="000000" w:themeColor="text1"/>
          <w:sz w:val="20"/>
          <w:szCs w:val="20"/>
        </w:rPr>
        <w:fldChar w:fldCharType="end"/>
      </w:r>
      <w:r w:rsidR="00F364ED" w:rsidRPr="008072C7">
        <w:rPr>
          <w:rFonts w:ascii="Arial" w:hAnsi="Arial" w:cs="Arial"/>
          <w:color w:val="000000" w:themeColor="text1"/>
          <w:sz w:val="20"/>
          <w:szCs w:val="20"/>
        </w:rPr>
        <w:t>, s</w:t>
      </w:r>
      <w:r w:rsidR="000C3734" w:rsidRPr="008072C7">
        <w:rPr>
          <w:rFonts w:ascii="Arial" w:hAnsi="Arial" w:cs="Arial"/>
          <w:color w:val="000000" w:themeColor="text1"/>
          <w:sz w:val="20"/>
          <w:szCs w:val="20"/>
        </w:rPr>
        <w:t xml:space="preserve">uggesting </w:t>
      </w:r>
      <w:r w:rsidR="00BF35AC" w:rsidRPr="008072C7">
        <w:rPr>
          <w:rFonts w:ascii="Arial" w:hAnsi="Arial" w:cs="Arial"/>
          <w:color w:val="000000" w:themeColor="text1"/>
          <w:sz w:val="20"/>
          <w:szCs w:val="20"/>
        </w:rPr>
        <w:t xml:space="preserve">both local manifestations and spinal/supraspinal nociceptive pathways </w:t>
      </w:r>
      <w:r w:rsidR="00C13C26" w:rsidRPr="008072C7">
        <w:rPr>
          <w:rFonts w:ascii="Arial" w:hAnsi="Arial" w:cs="Arial"/>
          <w:color w:val="000000" w:themeColor="text1"/>
          <w:sz w:val="20"/>
          <w:szCs w:val="20"/>
        </w:rPr>
        <w:t>are involved</w:t>
      </w:r>
      <w:r w:rsidR="00BF35AC" w:rsidRPr="008072C7">
        <w:rPr>
          <w:rFonts w:ascii="Arial" w:hAnsi="Arial" w:cs="Arial"/>
          <w:color w:val="000000" w:themeColor="text1"/>
          <w:sz w:val="20"/>
          <w:szCs w:val="20"/>
        </w:rPr>
        <w:t xml:space="preserve"> </w:t>
      </w:r>
      <w:r w:rsidR="00C13C26" w:rsidRPr="008072C7">
        <w:rPr>
          <w:rFonts w:ascii="Arial" w:hAnsi="Arial" w:cs="Arial"/>
          <w:color w:val="000000" w:themeColor="text1"/>
          <w:sz w:val="20"/>
          <w:szCs w:val="20"/>
        </w:rPr>
        <w:t xml:space="preserve">in </w:t>
      </w:r>
      <w:r w:rsidR="00BF35AC" w:rsidRPr="008072C7">
        <w:rPr>
          <w:rFonts w:ascii="Arial" w:hAnsi="Arial" w:cs="Arial"/>
          <w:color w:val="000000" w:themeColor="text1"/>
          <w:sz w:val="20"/>
          <w:szCs w:val="20"/>
        </w:rPr>
        <w:t>pain inhibit</w:t>
      </w:r>
      <w:r w:rsidR="00C13C26" w:rsidRPr="008072C7">
        <w:rPr>
          <w:rFonts w:ascii="Arial" w:hAnsi="Arial" w:cs="Arial"/>
          <w:color w:val="000000" w:themeColor="text1"/>
          <w:sz w:val="20"/>
          <w:szCs w:val="20"/>
        </w:rPr>
        <w:t>ion</w:t>
      </w:r>
      <w:r w:rsidR="00BF35AC" w:rsidRPr="008072C7">
        <w:rPr>
          <w:rFonts w:ascii="Arial" w:hAnsi="Arial" w:cs="Arial"/>
          <w:color w:val="000000" w:themeColor="text1"/>
          <w:sz w:val="20"/>
          <w:szCs w:val="20"/>
        </w:rPr>
        <w:t xml:space="preserve"> </w:t>
      </w:r>
      <w:r w:rsidR="00C13C26" w:rsidRPr="008072C7">
        <w:rPr>
          <w:rFonts w:ascii="Arial" w:hAnsi="Arial" w:cs="Arial"/>
          <w:color w:val="000000" w:themeColor="text1"/>
          <w:sz w:val="20"/>
          <w:szCs w:val="20"/>
        </w:rPr>
        <w:t>with</w:t>
      </w:r>
      <w:r w:rsidR="00BF35AC" w:rsidRPr="008072C7">
        <w:rPr>
          <w:rFonts w:ascii="Arial" w:hAnsi="Arial" w:cs="Arial"/>
          <w:color w:val="000000" w:themeColor="text1"/>
          <w:sz w:val="20"/>
          <w:szCs w:val="20"/>
        </w:rPr>
        <w:t xml:space="preserve"> exercise.</w:t>
      </w:r>
    </w:p>
    <w:p w14:paraId="19DBB298" w14:textId="43A76304" w:rsidR="009344A1" w:rsidRPr="008072C7" w:rsidRDefault="007C3CBF"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Human and animal research models have identified several possible mechanisms thought to trigger EIH. </w:t>
      </w:r>
      <w:r w:rsidR="00100142" w:rsidRPr="008072C7">
        <w:rPr>
          <w:rFonts w:ascii="Arial" w:hAnsi="Arial" w:cs="Arial"/>
          <w:color w:val="000000" w:themeColor="text1"/>
          <w:sz w:val="20"/>
          <w:szCs w:val="20"/>
        </w:rPr>
        <w:t>This in</w:t>
      </w:r>
      <w:r w:rsidR="00F33DF6" w:rsidRPr="008072C7">
        <w:rPr>
          <w:rFonts w:ascii="Arial" w:hAnsi="Arial" w:cs="Arial"/>
          <w:color w:val="000000" w:themeColor="text1"/>
          <w:sz w:val="20"/>
          <w:szCs w:val="20"/>
        </w:rPr>
        <w:t>cludes conditioned pain modulation</w:t>
      </w:r>
      <w:r w:rsidR="00307D42" w:rsidRPr="008072C7">
        <w:rPr>
          <w:rFonts w:ascii="Arial" w:hAnsi="Arial" w:cs="Arial"/>
          <w:color w:val="000000" w:themeColor="text1"/>
          <w:sz w:val="20"/>
          <w:szCs w:val="20"/>
        </w:rPr>
        <w:t xml:space="preserve"> (CPM)</w:t>
      </w:r>
      <w:r w:rsidR="00F33DF6" w:rsidRPr="008072C7">
        <w:rPr>
          <w:rFonts w:ascii="Arial" w:hAnsi="Arial" w:cs="Arial"/>
          <w:color w:val="000000" w:themeColor="text1"/>
          <w:sz w:val="20"/>
          <w:szCs w:val="20"/>
        </w:rPr>
        <w:t xml:space="preserve"> </w:t>
      </w:r>
      <w:r w:rsidR="00F33DF6"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-1","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mendeley":{"formattedCitation":"(68)","plainTextFormattedCitation":"(68)","previouslyFormattedCitation":"(68)"},"properties":{"noteIndex":0},"schema":"https://github.com/citation-style-language/schema/raw/master/csl-citation.json"}</w:instrText>
      </w:r>
      <w:r w:rsidR="00F33DF6"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(68)</w:t>
      </w:r>
      <w:r w:rsidR="00F33DF6" w:rsidRPr="008072C7">
        <w:rPr>
          <w:rFonts w:ascii="Arial" w:hAnsi="Arial" w:cs="Arial"/>
          <w:color w:val="000000" w:themeColor="text1"/>
          <w:sz w:val="20"/>
          <w:szCs w:val="20"/>
        </w:rPr>
        <w:fldChar w:fldCharType="end"/>
      </w:r>
      <w:r w:rsidR="00F33DF6" w:rsidRPr="008072C7">
        <w:rPr>
          <w:rFonts w:ascii="Arial" w:hAnsi="Arial" w:cs="Arial"/>
          <w:color w:val="000000" w:themeColor="text1"/>
          <w:sz w:val="20"/>
          <w:szCs w:val="20"/>
        </w:rPr>
        <w:t xml:space="preserve">, recruitment of high threshold motor units </w:t>
      </w:r>
      <w:r w:rsidR="00F33DF6"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{"citationItems":[{"id":"ITEM-1","itemData":{"DOI":"10.1249/MSS.0b013e31817eeecc","abstract":"Dose Response of Isometric Contractions on Pain Perception in Healthy Adults. Med. Sci. Sports Exerc., Vol. 40, No. 11, pp. 1880–1889, 2008. Introduction: The purpose of the study was to compare pain ratings and thresholds in men and women before and after isometric contractions of varying intensity and duration performed with the elbow flexor muscles. Methods: Pain perception was assessed, using a pressure device applied to the contralateral finger, before and after the following isometric contractions: 1) three brief maximal voluntary contractions (MVC), 2) 25% MVC sustained until task failure, 3) 25% MVC sustained for 2 min, and 4) 80% MVC sustained until task failure. Results: High-intensity and long-duration, low-intensity isometric contractions produced an analgesic response. The greatest change in pain threshold and pain ratings, when pressure was applied to the contralateral finger, was after the long-duration, low-intensity contraction sustained until failure. Sex differences were present with women reporting 1) lower pain thresholds and higher pain ratings during quiet rest and 2) higher pain ratings before and after isometric contractions. Conclusion: These results suggest that activation of high-threshold motor units is involved in exercise-induced analgesia.","author":[{"dropping-particle":"","family":"Hoeger-Bement","given":"Marie K","non-dropping-particle":"","parse-names":false,"suffix":""},{"dropping-particle":"","family":"Dicapo","given":"John","non-dropping-particle":"","parse-names":false,"suffix":""},{"dropping-particle":"","family":"Rasiarmos","given":"Rebecca","non-dropping-particle":"","parse-names":false,"suffix":""},{"dropping-particle":"","family":"Hunter","given":"Sandra K","non-dropping-particle":"","parse-names":false,"suffix":""}],"container-title":"Medicine &amp; Science in Sports &amp; Exercise","id":"ITEM-1","issue":"11","issued":{"date-parts":[["2008"]]},"page":"1880-1889","title":"Dose Response of Isometric Contractions on Pain Perception in Healthy Adults","type":"article-journal","volume":"40"},"uris":["http://www.mendeley.com/documents/?uuid=c9544ef3-f4a5-4e89-80c8-10ca32f9247a"]}],"mendeley":{"formattedCitation":"(19)","plainTextFormattedCitation":"(19)","previouslyFormattedCitation":"(19)"},"properties":{"noteIndex":0},"schema":"https://github.com/citation-style-language/schema/raw/master/csl-citation.json"}</w:instrText>
      </w:r>
      <w:r w:rsidR="00F33DF6"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(19)</w:t>
      </w:r>
      <w:r w:rsidR="00F33DF6" w:rsidRPr="008072C7">
        <w:rPr>
          <w:rFonts w:ascii="Arial" w:hAnsi="Arial" w:cs="Arial"/>
          <w:color w:val="000000" w:themeColor="text1"/>
          <w:sz w:val="20"/>
          <w:szCs w:val="20"/>
        </w:rPr>
        <w:fldChar w:fldCharType="end"/>
      </w:r>
      <w:r w:rsidR="00F33DF6"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a link between baroreceptors and pain pathways</w:t>
      </w:r>
      <w:r w:rsidR="00F33DF6" w:rsidRPr="008072C7">
        <w:rPr>
          <w:rFonts w:ascii="Arial" w:hAnsi="Arial" w:cs="Arial"/>
          <w:color w:val="000000" w:themeColor="text1"/>
          <w:sz w:val="20"/>
          <w:szCs w:val="20"/>
        </w:rPr>
        <w:t xml:space="preserve"> </w:t>
      </w:r>
      <w:r w:rsidR="00F33DF6"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{"citationItems":[{"id":"ITEM-1","itemData":{"DOI":"10.2165/00007256-200636030-00003","author":[{"dropping-particle":"","family":"Koltyn","given":"Kelli F","non-dropping-particle":"","parse-names":false,"suffix":""},{"dropping-particle":"","family":"Umeda","given":"Masataka","non-dropping-particle":"","parse-names":false,"suffix":""}],"container-title":"Sports Medicine","id":"ITEM-1","issue":"3","issued":{"date-parts":[["2006"]]},"page":"207-214","title":"Exercise, Hypoalgesia and Blood Pressure","type":"article-journal","volume":"36"},"uris":["http://www.mendeley.com/documents/?uuid=307e3fdb-ef3d-4543-a6cc-fedde6149a59"]}],"mendeley":{"formattedCitation":"(40)","plainTextFormattedCitation":"(40)","previouslyFormattedCitation":"(40)"},"properties":{"noteIndex":0},"schema":"https://github.com/citation-style-language/schema/raw/master/csl-citation.json"}</w:instrText>
      </w:r>
      <w:r w:rsidR="00F33DF6"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(40)</w:t>
      </w:r>
      <w:r w:rsidR="00F33DF6" w:rsidRPr="008072C7">
        <w:rPr>
          <w:rFonts w:ascii="Arial" w:hAnsi="Arial" w:cs="Arial"/>
          <w:color w:val="000000" w:themeColor="text1"/>
          <w:sz w:val="20"/>
          <w:szCs w:val="20"/>
        </w:rPr>
        <w:fldChar w:fldCharType="end"/>
      </w:r>
      <w:r w:rsidR="00F33DF6" w:rsidRPr="008072C7">
        <w:rPr>
          <w:rFonts w:ascii="Arial" w:hAnsi="Arial" w:cs="Arial"/>
          <w:color w:val="000000" w:themeColor="text1"/>
          <w:sz w:val="20"/>
          <w:szCs w:val="20"/>
        </w:rPr>
        <w:t xml:space="preserve"> and ischemic and metabolite induced pain </w:t>
      </w:r>
      <w:r w:rsidR="00F33DF6"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{"citationItems":[{"id":"ITEM-1","itemData":{"DOI":"10.1113/expphysiol.2013.075812","author":[{"dropping-particle":"","family":"Pollak","given":"Kelly A","non-dropping-particle":"","parse-names":false,"suffix":""},{"dropping-particle":"","family":"Swenson","given":"Jeffrey D","non-dropping-particle":"","parse-names":false,"suffix":""},{"dropping-particle":"","family":"Vanhaitsma","given":"Timothy A","non-dropping-particle":"","parse-names":false,"suffix":""},{"dropping-particle":"","family":"Hughen","given":"Ronald W","non-dropping-particle":"","parse-names":false,"suffix":""},{"dropping-particle":"","family":"Jo","given":"Daehyun","non-dropping-particle":"","parse-names":false,"suffix":""},{"dropping-particle":"","family":"Light","given":"C","non-dropping-particle":"","parse-names":false,"suffix":""},{"dropping-particle":"","family":"Schweinhardt","given":"Petra","non-dropping-particle":"","parse-names":false,"suffix":""},{"dropping-particle":"","family":"Amann","given":"Markus","non-dropping-particle":"","parse-names":false,"suffix":""},{"dropping-particle":"","family":"Light","given":"Alan R","non-dropping-particle":"","parse-names":false,"suffix":""}],"container-title":"Experimental Physiology","id":"ITEM-1","issued":{"date-parts":[["2014"]]},"page":"368-380","title":"Exogenously applied muscle metabolites synergistically evoke sensations of muscle fatigue and pain in human subjects","type":"article-journal","volume":"2"},"uris":["http://www.mendeley.com/documents/?uuid=5a05e561-818e-4498-8a8c-8dae8fbdb66d"]}],"mendeley":{"formattedCitation":"(56)","plainTextFormattedCitation":"(56)","previouslyFormattedCitation":"(56)"},"properties":{"noteIndex":0},"schema":"https://github.com/citation-style-language/schema/raw/master/csl-citation.json"}</w:instrText>
      </w:r>
      <w:r w:rsidR="00F33DF6"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(56)</w:t>
      </w:r>
      <w:r w:rsidR="00F33DF6" w:rsidRPr="008072C7">
        <w:rPr>
          <w:rFonts w:ascii="Arial" w:hAnsi="Arial" w:cs="Arial"/>
          <w:color w:val="000000" w:themeColor="text1"/>
          <w:sz w:val="20"/>
          <w:szCs w:val="20"/>
        </w:rPr>
        <w:fldChar w:fldCharType="end"/>
      </w:r>
      <w:r w:rsidR="00FC0F14" w:rsidRPr="008072C7">
        <w:rPr>
          <w:rFonts w:ascii="Arial" w:hAnsi="Arial" w:cs="Arial"/>
          <w:color w:val="000000" w:themeColor="text1"/>
          <w:sz w:val="20"/>
          <w:szCs w:val="20"/>
        </w:rPr>
        <w:t xml:space="preserve">, which are </w:t>
      </w:r>
      <w:r w:rsidRPr="008072C7">
        <w:rPr>
          <w:rFonts w:ascii="Arial" w:hAnsi="Arial" w:cs="Arial"/>
          <w:color w:val="000000" w:themeColor="text1"/>
          <w:sz w:val="20"/>
          <w:szCs w:val="20"/>
        </w:rPr>
        <w:t xml:space="preserve">collectively </w:t>
      </w:r>
      <w:r w:rsidR="000C3734" w:rsidRPr="008072C7">
        <w:rPr>
          <w:rFonts w:ascii="Arial" w:hAnsi="Arial" w:cs="Arial"/>
          <w:color w:val="000000" w:themeColor="text1"/>
          <w:sz w:val="20"/>
          <w:szCs w:val="20"/>
        </w:rPr>
        <w:t xml:space="preserve">thought </w:t>
      </w:r>
      <w:r w:rsidR="00A31C0F" w:rsidRPr="008072C7">
        <w:rPr>
          <w:rFonts w:ascii="Arial" w:hAnsi="Arial" w:cs="Arial"/>
          <w:color w:val="000000" w:themeColor="text1"/>
          <w:sz w:val="20"/>
          <w:szCs w:val="20"/>
        </w:rPr>
        <w:t>to trigger descending</w:t>
      </w:r>
      <w:r w:rsidRPr="008072C7">
        <w:rPr>
          <w:rFonts w:ascii="Arial" w:hAnsi="Arial" w:cs="Arial"/>
          <w:color w:val="000000" w:themeColor="text1"/>
          <w:sz w:val="20"/>
          <w:szCs w:val="20"/>
        </w:rPr>
        <w:t xml:space="preserve"> pain</w:t>
      </w:r>
      <w:r w:rsidR="00A31C0F" w:rsidRPr="008072C7">
        <w:rPr>
          <w:rFonts w:ascii="Arial" w:hAnsi="Arial" w:cs="Arial"/>
          <w:color w:val="000000" w:themeColor="text1"/>
          <w:sz w:val="20"/>
          <w:szCs w:val="20"/>
        </w:rPr>
        <w:t xml:space="preserve"> inhibitory pathways.</w:t>
      </w:r>
      <w:r w:rsidRPr="008072C7">
        <w:rPr>
          <w:rFonts w:ascii="Arial" w:hAnsi="Arial" w:cs="Arial"/>
          <w:color w:val="000000" w:themeColor="text1"/>
          <w:sz w:val="20"/>
          <w:szCs w:val="20"/>
        </w:rPr>
        <w:t xml:space="preserve"> EIH</w:t>
      </w:r>
      <w:r w:rsidR="00EA41DE" w:rsidRPr="008072C7">
        <w:rPr>
          <w:rFonts w:ascii="Arial" w:hAnsi="Arial" w:cs="Arial"/>
          <w:color w:val="000000" w:themeColor="text1"/>
          <w:sz w:val="20"/>
          <w:szCs w:val="20"/>
        </w:rPr>
        <w:t xml:space="preserve"> </w:t>
      </w:r>
      <w:r w:rsidR="000C3734" w:rsidRPr="008072C7">
        <w:rPr>
          <w:rFonts w:ascii="Arial" w:hAnsi="Arial" w:cs="Arial"/>
          <w:color w:val="000000" w:themeColor="text1"/>
          <w:sz w:val="20"/>
          <w:szCs w:val="20"/>
        </w:rPr>
        <w:t>may</w:t>
      </w:r>
      <w:r w:rsidR="00F33DF6"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also</w:t>
      </w:r>
      <w:r w:rsidR="00EA41DE" w:rsidRPr="008072C7">
        <w:rPr>
          <w:rFonts w:ascii="Arial" w:hAnsi="Arial" w:cs="Arial"/>
          <w:color w:val="000000" w:themeColor="text1"/>
          <w:sz w:val="20"/>
          <w:szCs w:val="20"/>
        </w:rPr>
        <w:t xml:space="preserve"> be </w:t>
      </w:r>
      <w:r w:rsidR="00907696" w:rsidRPr="008072C7">
        <w:rPr>
          <w:rFonts w:ascii="Arial" w:hAnsi="Arial" w:cs="Arial"/>
          <w:color w:val="000000" w:themeColor="text1"/>
          <w:sz w:val="20"/>
          <w:szCs w:val="20"/>
        </w:rPr>
        <w:t>driven</w:t>
      </w:r>
      <w:r w:rsidR="002E629B" w:rsidRPr="008072C7">
        <w:rPr>
          <w:rFonts w:ascii="Arial" w:hAnsi="Arial" w:cs="Arial"/>
          <w:color w:val="000000" w:themeColor="text1"/>
          <w:sz w:val="20"/>
          <w:szCs w:val="20"/>
        </w:rPr>
        <w:t xml:space="preserve"> by endogenously produced </w:t>
      </w:r>
      <w:r w:rsidR="00E9188C" w:rsidRPr="008072C7">
        <w:rPr>
          <w:rFonts w:ascii="Arial" w:hAnsi="Arial" w:cs="Arial"/>
          <w:color w:val="000000" w:themeColor="text1"/>
          <w:sz w:val="20"/>
          <w:szCs w:val="20"/>
        </w:rPr>
        <w:t>substances that have antinociceptive effects. One such substance is beta-endorphin</w:t>
      </w:r>
      <w:r w:rsidR="00F86F57" w:rsidRPr="008072C7">
        <w:rPr>
          <w:rFonts w:ascii="Arial" w:hAnsi="Arial" w:cs="Arial"/>
          <w:color w:val="000000" w:themeColor="text1"/>
          <w:sz w:val="20"/>
          <w:szCs w:val="20"/>
        </w:rPr>
        <w:t xml:space="preserve"> (BE)</w:t>
      </w:r>
      <w:r w:rsidR="00E9188C" w:rsidRPr="008072C7">
        <w:rPr>
          <w:rFonts w:ascii="Arial" w:hAnsi="Arial" w:cs="Arial"/>
          <w:color w:val="000000" w:themeColor="text1"/>
          <w:sz w:val="20"/>
          <w:szCs w:val="20"/>
        </w:rPr>
        <w:t xml:space="preserve">, an opioid neuropeptide that </w:t>
      </w:r>
      <w:r w:rsidR="00064C9F" w:rsidRPr="008072C7">
        <w:rPr>
          <w:rFonts w:ascii="Arial" w:hAnsi="Arial" w:cs="Arial"/>
          <w:color w:val="000000" w:themeColor="text1"/>
          <w:sz w:val="20"/>
          <w:szCs w:val="20"/>
        </w:rPr>
        <w:t>has been shown to increase in</w:t>
      </w:r>
      <w:r w:rsidR="00E9188C" w:rsidRPr="008072C7">
        <w:rPr>
          <w:rFonts w:ascii="Arial" w:hAnsi="Arial" w:cs="Arial"/>
          <w:color w:val="000000" w:themeColor="text1"/>
          <w:sz w:val="20"/>
          <w:szCs w:val="20"/>
        </w:rPr>
        <w:t xml:space="preserve"> </w:t>
      </w:r>
      <w:r w:rsidR="00806249" w:rsidRPr="008072C7">
        <w:rPr>
          <w:rFonts w:ascii="Arial" w:hAnsi="Arial" w:cs="Arial"/>
          <w:color w:val="000000" w:themeColor="text1"/>
          <w:sz w:val="20"/>
          <w:szCs w:val="20"/>
        </w:rPr>
        <w:t xml:space="preserve">circulating </w:t>
      </w:r>
      <w:r w:rsidR="00E9188C" w:rsidRPr="008072C7">
        <w:rPr>
          <w:rFonts w:ascii="Arial" w:hAnsi="Arial" w:cs="Arial"/>
          <w:color w:val="000000" w:themeColor="text1"/>
          <w:sz w:val="20"/>
          <w:szCs w:val="20"/>
        </w:rPr>
        <w:t xml:space="preserve">concentration following </w:t>
      </w:r>
      <w:r w:rsidR="00064C9F" w:rsidRPr="008072C7">
        <w:rPr>
          <w:rFonts w:ascii="Arial" w:hAnsi="Arial" w:cs="Arial"/>
          <w:color w:val="000000" w:themeColor="text1"/>
          <w:sz w:val="20"/>
          <w:szCs w:val="20"/>
        </w:rPr>
        <w:t xml:space="preserve">exercise </w:t>
      </w:r>
      <w:r w:rsidR="00E9188C" w:rsidRPr="008072C7">
        <w:rPr>
          <w:rFonts w:ascii="Arial" w:hAnsi="Arial" w:cs="Arial"/>
          <w:color w:val="000000" w:themeColor="text1"/>
          <w:sz w:val="20"/>
          <w:szCs w:val="20"/>
        </w:rPr>
        <w:t xml:space="preserve">in humans </w:t>
      </w:r>
      <w:r w:rsidR="00064C9F"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{"citationItems":[{"id":"ITEM-1","itemData":{"DOI":"10.1249/00005768-199008000-00001","author":[{"dropping-particle":"","family":"Thoren","given":"Peter","non-dropping-particle":"","parse-names":false,"suffix":""},{"dropping-particle":"","family":"Floras","given":"John S","non-dropping-particle":"","parse-names":false,"suffix":""},{"dropping-particle":"","family":"Hoffman","given":"Pavel","non-dropping-particle":"","parse-names":false,"suffix":""},{"dropping-particle":"","family":"Seals","given":"Douglas R","non-dropping-particle":"","parse-names":false,"suffix":""}],"container-title":"Medicine &amp; Science in Sports &amp; Exercise","id":"ITEM-1","issue":"4","issued":{"date-parts":[["1990"]]},"page":"417-428.","title":"Endorphins and exercise: physiological mechanisms and clinical implications","type":"article-journal","volume":"22"},"uris":["http://www.mendeley.com/documents/?uuid=6a094909-21c7-4222-a774-3044004531b9"]},{"id":"ITEM-2","itemData":{"DOI":"10.1152/ajpendo.1991.261.2.E214","author":[{"dropping-particle":"","family":"Kjaer","given":"Michael","non-dropping-particle":"","parse-names":false,"suffix":""},{"dropping-particle":"","family":"Secher","given":"Niels H","non-dropping-particle":"","parse-names":false,"suffix":""},{"dropping-particle":"","family":"Bach","given":"Flemmin W","non-dropping-particle":"","parse-names":false,"suffix":""},{"dropping-particle":"","family":"Galbo","given":"Henrik","non-dropping-particle":"","parse-names":false,"suffix":""},{"dropping-particle":"","family":"Reeves","given":"Doreen R","non-dropping-particle":"","parse-names":false,"suffix":""},{"dropping-particle":"","family":"Mitchell","given":"Jere H","non-dropping-particle":"","parse-names":false,"suffix":""}],"container-title":"American Physiological Society","id":"ITEM-2","issued":{"date-parts":[["1991"]]},"page":"E214-20.","title":"Hormonal, metabolic, and cardiovascular exercise in humans: influence of epidural responses to static anesthesia","type":"article-journal","volume":"261"},"uris":["http://www.mendeley.com/documents/?uuid=001f35bd-888a-414f-99f4-2131b1ab8850"]}],"mendeley":{"formattedCitation":"(35, 66)","plainTextFormattedCitation":"(35, 66)","previouslyFormattedCitation":"(35, 66)"},"properties":{"noteIndex":0},"schema":"https://github.com/citation-style-language/schema/raw/master/csl-citation.json"}</w:instrText>
      </w:r>
      <w:r w:rsidR="00064C9F"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(35, 66)</w:t>
      </w:r>
      <w:r w:rsidR="00064C9F" w:rsidRPr="008072C7">
        <w:rPr>
          <w:rFonts w:ascii="Arial" w:hAnsi="Arial" w:cs="Arial"/>
          <w:color w:val="000000" w:themeColor="text1"/>
          <w:sz w:val="20"/>
          <w:szCs w:val="20"/>
        </w:rPr>
        <w:fldChar w:fldCharType="end"/>
      </w:r>
      <w:r w:rsidR="00064C9F" w:rsidRPr="008072C7">
        <w:rPr>
          <w:rFonts w:ascii="Arial" w:hAnsi="Arial" w:cs="Arial"/>
          <w:color w:val="000000" w:themeColor="text1"/>
          <w:sz w:val="20"/>
          <w:szCs w:val="20"/>
        </w:rPr>
        <w:t xml:space="preserve">. This is thought to be caused by stimulation of group III and IV afferent </w:t>
      </w:r>
      <w:r w:rsidR="004F0AAB" w:rsidRPr="008072C7">
        <w:rPr>
          <w:rFonts w:ascii="Arial" w:hAnsi="Arial" w:cs="Arial"/>
          <w:color w:val="000000" w:themeColor="text1"/>
          <w:sz w:val="20"/>
          <w:szCs w:val="20"/>
        </w:rPr>
        <w:t>fibres in the contracting muscle</w:t>
      </w:r>
      <w:r w:rsidR="009B1079" w:rsidRPr="008072C7">
        <w:rPr>
          <w:rFonts w:ascii="Arial" w:hAnsi="Arial" w:cs="Arial"/>
          <w:color w:val="000000" w:themeColor="text1"/>
          <w:sz w:val="20"/>
          <w:szCs w:val="20"/>
        </w:rPr>
        <w:t xml:space="preserve">, </w:t>
      </w:r>
      <w:r w:rsidR="0052529E" w:rsidRPr="008072C7">
        <w:rPr>
          <w:rFonts w:ascii="Arial" w:hAnsi="Arial" w:cs="Arial"/>
          <w:color w:val="000000" w:themeColor="text1"/>
          <w:sz w:val="20"/>
          <w:szCs w:val="20"/>
        </w:rPr>
        <w:t>activat</w:t>
      </w:r>
      <w:r w:rsidR="009B1079" w:rsidRPr="008072C7">
        <w:rPr>
          <w:rFonts w:ascii="Arial" w:hAnsi="Arial" w:cs="Arial"/>
          <w:color w:val="000000" w:themeColor="text1"/>
          <w:sz w:val="20"/>
          <w:szCs w:val="20"/>
        </w:rPr>
        <w:t>ing</w:t>
      </w:r>
      <w:r w:rsidR="004F0AAB" w:rsidRPr="008072C7">
        <w:rPr>
          <w:rFonts w:ascii="Arial" w:hAnsi="Arial" w:cs="Arial"/>
          <w:color w:val="000000" w:themeColor="text1"/>
          <w:sz w:val="20"/>
          <w:szCs w:val="20"/>
        </w:rPr>
        <w:t xml:space="preserve"> the opioid system. This results in </w:t>
      </w:r>
      <w:r w:rsidR="00806249" w:rsidRPr="008072C7">
        <w:rPr>
          <w:rFonts w:ascii="Arial" w:hAnsi="Arial" w:cs="Arial"/>
          <w:color w:val="000000" w:themeColor="text1"/>
          <w:sz w:val="20"/>
          <w:szCs w:val="20"/>
        </w:rPr>
        <w:t xml:space="preserve">release of </w:t>
      </w:r>
      <w:r w:rsidR="00F86F57" w:rsidRPr="008072C7">
        <w:rPr>
          <w:rFonts w:ascii="Arial" w:hAnsi="Arial" w:cs="Arial"/>
          <w:color w:val="000000" w:themeColor="text1"/>
          <w:sz w:val="20"/>
          <w:szCs w:val="20"/>
        </w:rPr>
        <w:t>BE</w:t>
      </w:r>
      <w:r w:rsidR="00806249" w:rsidRPr="008072C7">
        <w:rPr>
          <w:rFonts w:ascii="Arial" w:hAnsi="Arial" w:cs="Arial"/>
          <w:color w:val="000000" w:themeColor="text1"/>
          <w:sz w:val="20"/>
          <w:szCs w:val="20"/>
        </w:rPr>
        <w:t xml:space="preserve"> from the pituitary gland and peripheral neurons,</w:t>
      </w:r>
      <w:r w:rsidR="002163E0" w:rsidRPr="008072C7">
        <w:rPr>
          <w:rFonts w:ascii="Arial" w:hAnsi="Arial" w:cs="Arial"/>
          <w:color w:val="000000" w:themeColor="text1"/>
          <w:sz w:val="20"/>
          <w:szCs w:val="20"/>
        </w:rPr>
        <w:t xml:space="preserve"> which may serve as an agonist for opioid receptors found in </w:t>
      </w:r>
      <w:r w:rsidR="008B0BCC" w:rsidRPr="008072C7">
        <w:rPr>
          <w:rFonts w:ascii="Arial" w:hAnsi="Arial" w:cs="Arial"/>
          <w:color w:val="000000" w:themeColor="text1"/>
          <w:sz w:val="20"/>
          <w:szCs w:val="20"/>
        </w:rPr>
        <w:t xml:space="preserve">abundance </w:t>
      </w:r>
      <w:r w:rsidR="002163E0" w:rsidRPr="008072C7">
        <w:rPr>
          <w:rFonts w:ascii="Arial" w:hAnsi="Arial" w:cs="Arial"/>
          <w:color w:val="000000" w:themeColor="text1"/>
          <w:sz w:val="20"/>
          <w:szCs w:val="20"/>
        </w:rPr>
        <w:t xml:space="preserve">throughout the descending pain control circuits </w:t>
      </w:r>
      <w:r w:rsidR="005A6535" w:rsidRPr="008072C7">
        <w:rPr>
          <w:rFonts w:ascii="Arial" w:hAnsi="Arial" w:cs="Arial"/>
          <w:color w:val="000000" w:themeColor="text1"/>
          <w:sz w:val="20"/>
          <w:szCs w:val="20"/>
        </w:rPr>
        <w:t xml:space="preserve">in the central and peripheral nervous system </w:t>
      </w:r>
      <w:r w:rsidR="005A6535"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{"citationItems":[{"id":"ITEM-1","itemData":{"author":[{"dropping-particle":"","family":"Miller","given":"Ronald D","non-dropping-particle":"","parse-names":false,"suffix":""}],"edition":"6th","id":"ITEM-1","issued":{"date-parts":[["2005"]]},"number-of-pages":"382-286","publisher":"Elsevier","publisher-place":"Pennsylvania","title":"Miller's Anesthesia","type":"book"},"uris":["http://www.mendeley.com/documents/?uuid=7cfa4cc1-4743-4f22-ac86-8e9fc2f037b7"]}],"mendeley":{"formattedCitation":"(50)","plainTextFormattedCitation":"(50)","previouslyFormattedCitation":"(50)"},"properties":{"noteIndex":0},"schema":"https://github.com/citation-style-language/schema/raw/master/csl-citation.json"}</w:instrText>
      </w:r>
      <w:r w:rsidR="005A6535"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(50)</w:t>
      </w:r>
      <w:r w:rsidR="005A6535" w:rsidRPr="008072C7">
        <w:rPr>
          <w:rFonts w:ascii="Arial" w:hAnsi="Arial" w:cs="Arial"/>
          <w:color w:val="000000" w:themeColor="text1"/>
          <w:sz w:val="20"/>
          <w:szCs w:val="20"/>
        </w:rPr>
        <w:fldChar w:fldCharType="end"/>
      </w:r>
      <w:r w:rsidR="005A6535" w:rsidRPr="008072C7">
        <w:rPr>
          <w:rFonts w:ascii="Arial" w:hAnsi="Arial" w:cs="Arial"/>
          <w:color w:val="000000" w:themeColor="text1"/>
          <w:sz w:val="20"/>
          <w:szCs w:val="20"/>
        </w:rPr>
        <w:t>.</w:t>
      </w:r>
      <w:r w:rsidR="000E3580" w:rsidRPr="008072C7">
        <w:rPr>
          <w:rFonts w:ascii="Arial" w:hAnsi="Arial" w:cs="Arial"/>
          <w:color w:val="000000" w:themeColor="text1"/>
          <w:sz w:val="20"/>
          <w:szCs w:val="20"/>
        </w:rPr>
        <w:t xml:space="preserve"> </w:t>
      </w:r>
      <w:r w:rsidR="006F18D8" w:rsidRPr="008072C7">
        <w:rPr>
          <w:rFonts w:ascii="Arial" w:hAnsi="Arial" w:cs="Arial"/>
          <w:color w:val="000000" w:themeColor="text1"/>
          <w:sz w:val="20"/>
          <w:szCs w:val="20"/>
        </w:rPr>
        <w:t xml:space="preserve">Research demonstrating attenuation of EIH </w:t>
      </w:r>
      <w:r w:rsidR="007D7E02" w:rsidRPr="008072C7">
        <w:rPr>
          <w:rFonts w:ascii="Arial" w:hAnsi="Arial" w:cs="Arial"/>
          <w:color w:val="000000" w:themeColor="text1"/>
          <w:sz w:val="20"/>
          <w:szCs w:val="20"/>
        </w:rPr>
        <w:t>with administration of an opioid agonist such as naloxone support</w:t>
      </w:r>
      <w:r w:rsidR="00A81DA8" w:rsidRPr="008072C7">
        <w:rPr>
          <w:rFonts w:ascii="Arial" w:hAnsi="Arial" w:cs="Arial"/>
          <w:color w:val="000000" w:themeColor="text1"/>
          <w:sz w:val="20"/>
          <w:szCs w:val="20"/>
        </w:rPr>
        <w:t xml:space="preserve">s </w:t>
      </w:r>
      <w:r w:rsidR="007D7E02" w:rsidRPr="008072C7">
        <w:rPr>
          <w:rFonts w:ascii="Arial" w:hAnsi="Arial" w:cs="Arial"/>
          <w:color w:val="000000" w:themeColor="text1"/>
          <w:sz w:val="20"/>
          <w:szCs w:val="20"/>
        </w:rPr>
        <w:t>the role of the opioid system</w:t>
      </w:r>
      <w:r w:rsidR="00C544BB" w:rsidRPr="008072C7">
        <w:rPr>
          <w:rFonts w:ascii="Arial" w:hAnsi="Arial" w:cs="Arial"/>
          <w:color w:val="000000" w:themeColor="text1"/>
          <w:sz w:val="20"/>
          <w:szCs w:val="20"/>
        </w:rPr>
        <w:t xml:space="preserve"> in EIH</w:t>
      </w:r>
      <w:r w:rsidR="007D7E02" w:rsidRPr="008072C7">
        <w:rPr>
          <w:rFonts w:ascii="Arial" w:hAnsi="Arial" w:cs="Arial"/>
          <w:color w:val="000000" w:themeColor="text1"/>
          <w:sz w:val="20"/>
          <w:szCs w:val="20"/>
        </w:rPr>
        <w:t xml:space="preserve"> </w:t>
      </w:r>
      <w:r w:rsidR="007D7E02"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{"citationItems":[{"id":"ITEM-1","itemData":{"author":[{"dropping-particle":"","family":"Haier","given":"R. J","non-dropping-particle":"","parse-names":false,"suffix":""},{"dropping-particle":"","family":"Quaid","given":"K","non-dropping-particle":"","parse-names":false,"suffix":""},{"dropping-particle":"","family":"Mills","given":"J. C.","non-dropping-particle":"","parse-names":false,"suffix":""}],"container-title":"Psychiatry Research","id":"ITEM-1","issue":"2","issued":{"date-parts":[["1981"]]},"page":"231-232","title":"Naloxone alters pain perception after jogging.","type":"article-journal","volume":"5"},"uris":["http://www.mendeley.com/documents/?uuid=4fb6f37a-a676-4cb5-99c7-10ac7d5d9a79"]}],"mendeley":{"formattedCitation":"(16)","plainTextFormattedCitation":"(16)","previouslyFormattedCitation":"(16)"},"properties":{"noteIndex":0},"schema":"https://github.com/citation-style-language/schema/raw/master/csl-citation.json"}</w:instrText>
      </w:r>
      <w:r w:rsidR="007D7E02"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(16)</w:t>
      </w:r>
      <w:r w:rsidR="007D7E02" w:rsidRPr="008072C7">
        <w:rPr>
          <w:rFonts w:ascii="Arial" w:hAnsi="Arial" w:cs="Arial"/>
          <w:color w:val="000000" w:themeColor="text1"/>
          <w:sz w:val="20"/>
          <w:szCs w:val="20"/>
        </w:rPr>
        <w:fldChar w:fldCharType="end"/>
      </w:r>
      <w:r w:rsidR="0052529E" w:rsidRPr="008072C7">
        <w:rPr>
          <w:rFonts w:ascii="Arial" w:hAnsi="Arial" w:cs="Arial"/>
          <w:color w:val="000000" w:themeColor="text1"/>
          <w:sz w:val="20"/>
          <w:szCs w:val="20"/>
        </w:rPr>
        <w:t>.</w:t>
      </w:r>
    </w:p>
    <w:p w14:paraId="322CE454" w14:textId="48F21DAC" w:rsidR="00F66D15" w:rsidRPr="008072C7" w:rsidRDefault="00A81DA8"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Hypoalgesia that is insensitive to opioid antagonists </w:t>
      </w:r>
      <w:r w:rsidR="00E43A74" w:rsidRPr="008072C7">
        <w:rPr>
          <w:rFonts w:ascii="Arial" w:hAnsi="Arial" w:cs="Arial"/>
          <w:color w:val="000000" w:themeColor="text1"/>
          <w:sz w:val="20"/>
          <w:szCs w:val="20"/>
        </w:rPr>
        <w:t xml:space="preserve">suggests non-opioid mechanisms contribute to EIH </w:t>
      </w:r>
      <w:r w:rsidR="000A531E"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{"citationItems":[{"id":"ITEM-1","itemData":{"DOI":"10.1016/j.jpain.2014.09.006.Mechanisms","ISSN":"15265900","author":[{"dropping-particle":"","family":"Koltyn","given":"Kelli F.","non-dropping-particle":"","parse-names":false,"suffix":""},{"dropping-particle":"","family":"Brellenthin","given":"Angelique G.","non-dropping-particle":"","parse-names":false,"suffix":""},{"dropping-particle":"","family":"Cook","given":"Dane B.","non-dropping-particle":"","parse-names":false,"suffix":""},{"dropping-particle":"","family":"Sehgal","given":"Nalini","non-dropping-particle":"","parse-names":false,"suffix":""},{"dropping-particle":"","family":"Hillard","given":"Cecilia","non-dropping-particle":"","parse-names":false,"suffix":""}],"container-title":"Journal of Pain","id":"ITEM-1","issue":"12","issued":{"date-parts":[["2014"]]},"page":"1294-1304","title":"Mechanisms of Exercise-Induced Hypoalgesia","type":"article-journal","volume":"15"},"uris":["http://www.mendeley.com/documents/?uuid=95124bf8-7f98-48d7-b499-8d6ac35c50c8"]},{"id":"ITEM-2","itemData":{"DOI":"10.1016/j.mam.2018.10.001","author":[{"dropping-particle":"","family":"Watkins","given":"Bruce A","non-dropping-particle":"","parse-names":false,"suffix":""}],"container-title":"Molecular Aspects of Medicine","id":"ITEM-2","issued":{"date-parts":[["2018"]]},"page":"68-78","publisher":"Elsevier","title":"Molecular Aspects of Medicine Endocannabinoids, exercise, pain, and a path to health with aging","type":"article-journal","volume":"64"},"uris":["http://www.mendeley.com/documents/?uuid=22534a10-b372-46ed-8de8-c2d5913ea5d8"]}],"mendeley":{"formattedCitation":"(39, 71)","plainTextFormattedCitation":"(39, 71)","previouslyFormattedCitation":"(39, 71)"},"properties":{"noteIndex":0},"schema":"https://github.com/citation-style-language/schema/raw/master/csl-citation.json"}</w:instrText>
      </w:r>
      <w:r w:rsidR="000A531E"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(39, 71)</w:t>
      </w:r>
      <w:r w:rsidR="000A531E" w:rsidRPr="008072C7">
        <w:rPr>
          <w:rFonts w:ascii="Arial" w:hAnsi="Arial" w:cs="Arial"/>
          <w:color w:val="000000" w:themeColor="text1"/>
          <w:sz w:val="20"/>
          <w:szCs w:val="20"/>
        </w:rPr>
        <w:fldChar w:fldCharType="end"/>
      </w:r>
      <w:r w:rsidR="000A531E" w:rsidRPr="008072C7">
        <w:rPr>
          <w:rFonts w:ascii="Arial" w:hAnsi="Arial" w:cs="Arial"/>
          <w:color w:val="000000" w:themeColor="text1"/>
          <w:sz w:val="20"/>
          <w:szCs w:val="20"/>
        </w:rPr>
        <w:t xml:space="preserve">. </w:t>
      </w:r>
      <w:r w:rsidR="007C3CBF" w:rsidRPr="008072C7">
        <w:rPr>
          <w:rFonts w:ascii="Arial" w:hAnsi="Arial" w:cs="Arial"/>
          <w:color w:val="000000" w:themeColor="text1"/>
          <w:sz w:val="20"/>
          <w:szCs w:val="20"/>
        </w:rPr>
        <w:t>One such mechanism is t</w:t>
      </w:r>
      <w:r w:rsidR="000A531E" w:rsidRPr="008072C7">
        <w:rPr>
          <w:rFonts w:ascii="Arial" w:hAnsi="Arial" w:cs="Arial"/>
          <w:color w:val="000000" w:themeColor="text1"/>
          <w:sz w:val="20"/>
          <w:szCs w:val="20"/>
        </w:rPr>
        <w:t>he</w:t>
      </w:r>
      <w:r w:rsidR="007C3CBF" w:rsidRPr="008072C7">
        <w:rPr>
          <w:rFonts w:ascii="Arial" w:hAnsi="Arial" w:cs="Arial"/>
          <w:color w:val="000000" w:themeColor="text1"/>
          <w:sz w:val="20"/>
          <w:szCs w:val="20"/>
        </w:rPr>
        <w:t xml:space="preserve"> endocannabinoid (ECB) system, which </w:t>
      </w:r>
      <w:r w:rsidR="00F83C3A" w:rsidRPr="008072C7">
        <w:rPr>
          <w:rFonts w:ascii="Arial" w:hAnsi="Arial" w:cs="Arial"/>
          <w:color w:val="000000" w:themeColor="text1"/>
          <w:sz w:val="20"/>
          <w:szCs w:val="20"/>
        </w:rPr>
        <w:t xml:space="preserve">consists of cannabinoid receptors found </w:t>
      </w:r>
      <w:r w:rsidR="00157D24" w:rsidRPr="008072C7">
        <w:rPr>
          <w:rFonts w:ascii="Arial" w:hAnsi="Arial" w:cs="Arial"/>
          <w:color w:val="000000" w:themeColor="text1"/>
          <w:sz w:val="20"/>
          <w:szCs w:val="20"/>
        </w:rPr>
        <w:t xml:space="preserve">at peripheral, spinal and supraspinal pain </w:t>
      </w:r>
      <w:r w:rsidR="00B97FA7" w:rsidRPr="008072C7">
        <w:rPr>
          <w:rFonts w:ascii="Arial" w:hAnsi="Arial" w:cs="Arial"/>
          <w:color w:val="000000" w:themeColor="text1"/>
          <w:sz w:val="20"/>
          <w:szCs w:val="20"/>
        </w:rPr>
        <w:t xml:space="preserve">processing </w:t>
      </w:r>
      <w:r w:rsidR="00157D24" w:rsidRPr="008072C7">
        <w:rPr>
          <w:rFonts w:ascii="Arial" w:hAnsi="Arial" w:cs="Arial"/>
          <w:color w:val="000000" w:themeColor="text1"/>
          <w:sz w:val="20"/>
          <w:szCs w:val="20"/>
        </w:rPr>
        <w:t xml:space="preserve">sites </w:t>
      </w:r>
      <w:r w:rsidR="00157D24"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{"citationItems":[{"id":"ITEM-1","itemData":{"DOI":"10.1016/j.mam.2018.10.001","author":[{"dropping-particle":"","family":"Watkins","given":"Bruce A","non-dropping-particle":"","parse-names":false,"suffix":""}],"container-title":"Molecular Aspects of Medicine","id":"ITEM-1","issued":{"date-parts":[["2018"]]},"page":"68-78","publisher":"Elsevier","title":"Molecular Aspects of Medicine Endocannabinoids, exercise, pain, and a path to health with aging","type":"article-journal","volume":"64"},"uris":["http://www.mendeley.com/documents/?uuid=22534a10-b372-46ed-8de8-c2d5913ea5d8"]},{"id":"ITEM-2","itemData":{"DOI":"10.1002/wmts.83","author":[{"dropping-particle":"","family":"Starowicz","given":"Katarzyna","non-dropping-particle":"","parse-names":false,"suffix":""},{"dropping-particle":"","family":"Malek","given":"Natalia","non-dropping-particle":"","parse-names":false,"suffix":""},{"dropping-particle":"","family":"Przewlocka","given":"Barbara","non-dropping-particle":"","parse-names":false,"suffix":""}],"container-title":"WIREs Membr Transp Signal","id":"ITEM-2","issued":{"date-parts":[["2013"]]},"page":"121-132","title":"Cannabinoid receptors and pain","type":"article-journal","volume":"2"},"uris":["http://www.mendeley.com/documents/?uuid=f1f55544-0b46-4b35-a737-fe24ecb15b75"]}],"mendeley":{"formattedCitation":"(63, 71)","plainTextFormattedCitation":"(63, 71)","previouslyFormattedCitation":"(63, 71)"},"properties":{"noteIndex":0},"schema":"https://github.com/citation-style-language/schema/raw/master/csl-citation.json"}</w:instrText>
      </w:r>
      <w:r w:rsidR="00157D24"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(63, 71)</w:t>
      </w:r>
      <w:r w:rsidR="00157D24" w:rsidRPr="008072C7">
        <w:rPr>
          <w:rFonts w:ascii="Arial" w:hAnsi="Arial" w:cs="Arial"/>
          <w:color w:val="000000" w:themeColor="text1"/>
          <w:sz w:val="20"/>
          <w:szCs w:val="20"/>
        </w:rPr>
        <w:fldChar w:fldCharType="end"/>
      </w:r>
      <w:r w:rsidR="00157D24" w:rsidRPr="008072C7">
        <w:rPr>
          <w:rFonts w:ascii="Arial" w:hAnsi="Arial" w:cs="Arial"/>
          <w:color w:val="000000" w:themeColor="text1"/>
          <w:sz w:val="20"/>
          <w:szCs w:val="20"/>
        </w:rPr>
        <w:t xml:space="preserve"> and endogenous ligand agonists, </w:t>
      </w:r>
      <w:r w:rsidR="00C544BB" w:rsidRPr="008072C7">
        <w:rPr>
          <w:rFonts w:ascii="Arial" w:hAnsi="Arial" w:cs="Arial"/>
          <w:color w:val="000000" w:themeColor="text1"/>
          <w:sz w:val="20"/>
          <w:szCs w:val="20"/>
        </w:rPr>
        <w:t xml:space="preserve">including </w:t>
      </w:r>
      <w:r w:rsidR="007C3CBF" w:rsidRPr="008072C7">
        <w:rPr>
          <w:rFonts w:ascii="Calibri" w:hAnsi="Calibri" w:cs="Calibri"/>
          <w:color w:val="000000" w:themeColor="text1"/>
          <w:sz w:val="20"/>
          <w:szCs w:val="20"/>
        </w:rPr>
        <w:t>﻿</w:t>
      </w:r>
      <w:r w:rsidR="007C3CBF" w:rsidRPr="008072C7">
        <w:rPr>
          <w:rFonts w:ascii="Arial" w:hAnsi="Arial" w:cs="Arial"/>
          <w:color w:val="000000" w:themeColor="text1"/>
          <w:sz w:val="20"/>
          <w:szCs w:val="20"/>
        </w:rPr>
        <w:t xml:space="preserve">anandamide and </w:t>
      </w:r>
      <w:r w:rsidR="00157D24" w:rsidRPr="008072C7">
        <w:rPr>
          <w:rFonts w:ascii="Arial" w:hAnsi="Arial" w:cs="Arial"/>
          <w:color w:val="000000" w:themeColor="text1"/>
          <w:sz w:val="20"/>
          <w:szCs w:val="20"/>
        </w:rPr>
        <w:t>2-arachidonoylglycerol (2AG</w:t>
      </w:r>
      <w:r w:rsidR="005A0159" w:rsidRPr="008072C7">
        <w:rPr>
          <w:rFonts w:ascii="Arial" w:hAnsi="Arial" w:cs="Arial"/>
          <w:color w:val="000000" w:themeColor="text1"/>
          <w:sz w:val="20"/>
          <w:szCs w:val="20"/>
        </w:rPr>
        <w:t>)</w:t>
      </w:r>
      <w:r w:rsidR="007C3CBF" w:rsidRPr="008072C7">
        <w:rPr>
          <w:rFonts w:ascii="Arial" w:hAnsi="Arial" w:cs="Arial"/>
          <w:color w:val="000000" w:themeColor="text1"/>
          <w:sz w:val="20"/>
          <w:szCs w:val="20"/>
        </w:rPr>
        <w:t>.</w:t>
      </w:r>
      <w:r w:rsidR="00605373" w:rsidRPr="008072C7">
        <w:rPr>
          <w:rFonts w:ascii="Arial" w:hAnsi="Arial" w:cs="Arial"/>
          <w:color w:val="000000" w:themeColor="text1"/>
          <w:sz w:val="20"/>
          <w:szCs w:val="20"/>
        </w:rPr>
        <w:t xml:space="preserve"> </w:t>
      </w:r>
      <w:r w:rsidR="007C3CBF" w:rsidRPr="008072C7">
        <w:rPr>
          <w:rFonts w:ascii="Arial" w:hAnsi="Arial" w:cs="Arial"/>
          <w:color w:val="000000" w:themeColor="text1"/>
          <w:sz w:val="20"/>
          <w:szCs w:val="20"/>
        </w:rPr>
        <w:t>Endocannabinoids are</w:t>
      </w:r>
      <w:r w:rsidR="005A0159" w:rsidRPr="008072C7">
        <w:rPr>
          <w:rFonts w:ascii="Arial" w:hAnsi="Arial" w:cs="Arial"/>
          <w:color w:val="000000" w:themeColor="text1"/>
          <w:sz w:val="20"/>
          <w:szCs w:val="20"/>
        </w:rPr>
        <w:t xml:space="preserve"> </w:t>
      </w:r>
      <w:r w:rsidR="003D2B04" w:rsidRPr="008072C7">
        <w:rPr>
          <w:rFonts w:ascii="Arial" w:hAnsi="Arial" w:cs="Arial"/>
          <w:color w:val="000000" w:themeColor="text1"/>
          <w:sz w:val="20"/>
          <w:szCs w:val="20"/>
        </w:rPr>
        <w:t xml:space="preserve">synthesised and </w:t>
      </w:r>
      <w:r w:rsidR="008B0BCC" w:rsidRPr="008072C7">
        <w:rPr>
          <w:rFonts w:ascii="Arial" w:hAnsi="Arial" w:cs="Arial"/>
          <w:color w:val="000000" w:themeColor="text1"/>
          <w:sz w:val="20"/>
          <w:szCs w:val="20"/>
        </w:rPr>
        <w:t>rapidly</w:t>
      </w:r>
      <w:r w:rsidR="003D2B04" w:rsidRPr="008072C7">
        <w:rPr>
          <w:rFonts w:ascii="Arial" w:hAnsi="Arial" w:cs="Arial"/>
          <w:color w:val="000000" w:themeColor="text1"/>
          <w:sz w:val="20"/>
          <w:szCs w:val="20"/>
        </w:rPr>
        <w:t xml:space="preserve"> released from cells in response to stressful conditions such as exercise </w:t>
      </w:r>
      <w:r w:rsidR="003D2B04"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10.1007/s00421-011-2237-0","author":[{"dropping-particle":"","family":"Feuerecker","given":"M","non-dropping-particle":"","parse-names":false,"suffix":""},{"dropping-particle":"","family":"Hauer","given":"D","non-dropping-particle":"","parse-names":false,"suffix":""},{"dropping-particle":"","family":"Toth","given":"R","non-dropping-particle":"","parse-names":false,"suffix":""},{"dropping-particle":"","family":"Demetz","given":"F","non-dropping-particle":"","parse-names":false,"suffix":""},{"dropping-particle":"","family":"Holzl","given":"J","non-dropping-particle":"","parse-names":false,"suffix":""},{"dropping-particle":"","family":"Thiel","given":"M","non-dropping-particle":"","parse-names":false,"suffix":""},{"dropping-particle":"","family":"Kaufmann","given":"I","non-dropping-particle":"","parse-names":false,"suffix":""},{"dropping-particle":"","family":"Schelling","given":"G","non-dropping-particle":"","parse-names":false,"suffix":""},{"dropping-particle":"","family":"Chouker","given":"A","non-dropping-particle":"","parse-names":false,"suffix":""}],"container-title":"European Journal of Applied Physiology","id":"ITEM-1","issued":{"date-parts":[["2012"]]},"page":"2777-2781","title":"Effects of exercise stress on the endocannabinoid system in humans under field conditions","type":"article-journal","volume":"112"},"uris":["http://www.mendeley.com/documents/?uuid=6292dc9f-51e3-4b1b-8734-94ea1befdeab"]}],"mendeley":{"formattedCitation":"(10)","plainTextFormattedCitation":"(10)","previouslyFormattedCitation":"(10)"},"properties":{"noteIndex":0},"schema":"https://github.com/citation-style-language/schema/raw/master/csl-citation.json"}</w:instrText>
      </w:r>
      <w:r w:rsidR="003D2B04"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(10)</w:t>
      </w:r>
      <w:r w:rsidR="003D2B04" w:rsidRPr="008072C7">
        <w:rPr>
          <w:rFonts w:ascii="Arial" w:hAnsi="Arial" w:cs="Arial"/>
          <w:color w:val="000000" w:themeColor="text1"/>
          <w:sz w:val="20"/>
          <w:szCs w:val="20"/>
        </w:rPr>
        <w:fldChar w:fldCharType="end"/>
      </w:r>
      <w:r w:rsidR="003D2B04" w:rsidRPr="008072C7">
        <w:rPr>
          <w:rFonts w:ascii="Arial" w:hAnsi="Arial" w:cs="Arial"/>
          <w:color w:val="000000" w:themeColor="text1"/>
          <w:sz w:val="20"/>
          <w:szCs w:val="20"/>
        </w:rPr>
        <w:t>.</w:t>
      </w:r>
      <w:r w:rsidR="00B97FA7" w:rsidRPr="008072C7">
        <w:rPr>
          <w:rFonts w:ascii="Arial" w:hAnsi="Arial" w:cs="Arial"/>
          <w:color w:val="000000" w:themeColor="text1"/>
          <w:sz w:val="20"/>
          <w:szCs w:val="20"/>
        </w:rPr>
        <w:t xml:space="preserve"> </w:t>
      </w:r>
      <w:r w:rsidR="005A0159" w:rsidRPr="008072C7">
        <w:rPr>
          <w:rFonts w:ascii="Arial" w:hAnsi="Arial" w:cs="Arial"/>
          <w:color w:val="000000" w:themeColor="text1"/>
          <w:sz w:val="20"/>
          <w:szCs w:val="20"/>
        </w:rPr>
        <w:t>Studies have reported increased concentrations of</w:t>
      </w:r>
      <w:r w:rsidR="00B97FA7" w:rsidRPr="008072C7">
        <w:rPr>
          <w:rFonts w:ascii="Arial" w:hAnsi="Arial" w:cs="Arial"/>
          <w:color w:val="000000" w:themeColor="text1"/>
          <w:sz w:val="20"/>
          <w:szCs w:val="20"/>
        </w:rPr>
        <w:t xml:space="preserve"> </w:t>
      </w:r>
      <w:r w:rsidR="007C3CBF" w:rsidRPr="008072C7">
        <w:rPr>
          <w:rFonts w:ascii="Arial" w:hAnsi="Arial" w:cs="Arial"/>
          <w:color w:val="000000" w:themeColor="text1"/>
          <w:sz w:val="20"/>
          <w:szCs w:val="20"/>
        </w:rPr>
        <w:t>endocannabinoids</w:t>
      </w:r>
      <w:r w:rsidR="005A0159" w:rsidRPr="008072C7">
        <w:rPr>
          <w:rFonts w:ascii="Arial" w:hAnsi="Arial" w:cs="Arial"/>
          <w:color w:val="000000" w:themeColor="text1"/>
          <w:sz w:val="20"/>
          <w:szCs w:val="20"/>
        </w:rPr>
        <w:t xml:space="preserve"> following exercise in humans </w:t>
      </w:r>
      <w:r w:rsidR="005A0159"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{"citationItems":[{"id":"ITEM-1","itemData":{"DOI":"10.1097/00001756-200312020-00015","author":[{"dropping-particle":"","family":"Sparling","given":"P B","non-dropping-particle":"","parse-names":false,"suffix":""},{"dropping-particle":"","family":"Giuffrida","given":"A","non-dropping-particle":"","parse-names":false,"suffix":""},{"dropping-particle":"","family":"Piomelli","given":"D","non-dropping-particle":"","parse-names":false,"suffix":""},{"dropping-particle":"","family":"Rosskopf","given":"L","non-dropping-particle":"","parse-names":false,"suffix":""},{"dropping-particle":"","family":"Dietrich","given":"A","non-dropping-particle":"","parse-names":false,"suffix":""}],"container-title":"Cognitive Neuroscience and Neurophysiology","id":"ITEM-1","issue":"14","issued":{"date-parts":[["2003"]]},"page":"2209-11","title":"Exercise activates the endocannabinoid system","type":"article-journal","volume":"2"},"uris":["http://www.mendeley.com/documents/?uuid=e4e96284-5f43-42e6-b923-5af0904d9112"]},{"id":"ITEM-2","itemData":{"DOI":"10.1007/s00421-011-2237-0","author":[{"dropping-particle":"","family":"Feuerecker","given":"M","non-dropping-particle":"","parse-names":false,"suffix":""},{"dropping-particle":"","family":"Hauer","given":"D","non-dropping-particle":"","parse-names":false,"suffix":""},{"dropping-particle":"","family":"Toth","given":"R","non-dropping-particle":"","parse-names":false,"suffix":""},{"dropping-particle":"","family":"Demetz","given":"F","non-dropping-particle":"","parse-names":false,"suffix":""},{"dropping-particle":"","family":"Holzl","given":"J","non-dropping-particle":"","parse-names":false,"suffix":""},{"dropping-particle":"","family":"Thiel","given":"M","non-dropping-particle":"","parse-names":false,"suffix":""},{"dropping-particle":"","family":"Kaufmann","given":"I","non-dropping-particle":"","parse-names":false,"suffix":""},{"dropping-particle":"","family":"Schelling","given":"G","non-dropping-particle":"","parse-names":false,"suffix":""},{"dropping-particle":"","family":"Chouker","given":"A","non-dropping-particle":"","parse-names":false,"suffix":""}],"container-title":"European Journal of Applied Physiology","id":"ITEM-2","issued":{"date-parts":[["2012"]]},"page":"2777-2781","title":"Effects of exercise stress on the endocannabinoid system in humans under field conditions","type":"article-journal","volume":"112"},"uris":["http://www.mendeley.com/documents/?uuid=6292dc9f-51e3-4b1b-8734-94ea1befdeab"]}],"mendeley":{"formattedCitation":"(10, 60)","plainTextFormattedCitation":"(10, 60)","previouslyFormattedCitation":"(10, 60)"},"properties":{"noteIndex":0},"schema":"https://github.com/citation-style-language/schema/raw/master/csl-citation.json"}</w:instrText>
      </w:r>
      <w:r w:rsidR="005A0159"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(10, 60)</w:t>
      </w:r>
      <w:r w:rsidR="005A0159" w:rsidRPr="008072C7">
        <w:rPr>
          <w:rFonts w:ascii="Arial" w:hAnsi="Arial" w:cs="Arial"/>
          <w:color w:val="000000" w:themeColor="text1"/>
          <w:sz w:val="20"/>
          <w:szCs w:val="20"/>
        </w:rPr>
        <w:fldChar w:fldCharType="end"/>
      </w:r>
      <w:r w:rsidR="005A0159" w:rsidRPr="008072C7">
        <w:rPr>
          <w:rFonts w:ascii="Arial" w:hAnsi="Arial" w:cs="Arial"/>
          <w:color w:val="000000" w:themeColor="text1"/>
          <w:sz w:val="20"/>
          <w:szCs w:val="20"/>
        </w:rPr>
        <w:t xml:space="preserve">, suggesting the ECB system </w:t>
      </w:r>
      <w:r w:rsidR="007774C2">
        <w:rPr>
          <w:rFonts w:ascii="Arial" w:hAnsi="Arial" w:cs="Arial"/>
          <w:color w:val="000000" w:themeColor="text1"/>
          <w:sz w:val="20"/>
          <w:szCs w:val="20"/>
        </w:rPr>
        <w:t>might contribute</w:t>
      </w:r>
      <w:r w:rsidR="007C3CBF" w:rsidRPr="008072C7">
        <w:rPr>
          <w:rFonts w:ascii="Arial" w:hAnsi="Arial" w:cs="Arial"/>
          <w:color w:val="000000" w:themeColor="text1"/>
          <w:sz w:val="20"/>
          <w:szCs w:val="20"/>
        </w:rPr>
        <w:t xml:space="preserve"> to</w:t>
      </w:r>
      <w:r w:rsidR="005A0159" w:rsidRPr="008072C7">
        <w:rPr>
          <w:rFonts w:ascii="Arial" w:hAnsi="Arial" w:cs="Arial"/>
          <w:color w:val="000000" w:themeColor="text1"/>
          <w:sz w:val="20"/>
          <w:szCs w:val="20"/>
        </w:rPr>
        <w:t xml:space="preserve"> EIH.</w:t>
      </w:r>
      <w:r w:rsidR="00F66D15" w:rsidRPr="008072C7">
        <w:rPr>
          <w:rFonts w:ascii="Arial" w:hAnsi="Arial" w:cs="Arial"/>
          <w:color w:val="000000" w:themeColor="text1"/>
          <w:sz w:val="20"/>
          <w:szCs w:val="20"/>
        </w:rPr>
        <w:t xml:space="preserve"> This </w:t>
      </w:r>
      <w:r w:rsidR="007C3CBF" w:rsidRPr="008072C7">
        <w:rPr>
          <w:rFonts w:ascii="Arial" w:hAnsi="Arial" w:cs="Arial"/>
          <w:color w:val="000000" w:themeColor="text1"/>
          <w:sz w:val="20"/>
          <w:szCs w:val="20"/>
        </w:rPr>
        <w:t>hypothesis is</w:t>
      </w:r>
      <w:r w:rsidR="00F66D15" w:rsidRPr="008072C7">
        <w:rPr>
          <w:rFonts w:ascii="Arial" w:hAnsi="Arial" w:cs="Arial"/>
          <w:color w:val="000000" w:themeColor="text1"/>
          <w:sz w:val="20"/>
          <w:szCs w:val="20"/>
        </w:rPr>
        <w:t xml:space="preserve"> supported by the dense expression of </w:t>
      </w:r>
      <w:r w:rsidR="008A0481" w:rsidRPr="008072C7">
        <w:rPr>
          <w:rFonts w:ascii="Arial" w:hAnsi="Arial" w:cs="Arial"/>
          <w:color w:val="000000" w:themeColor="text1"/>
          <w:sz w:val="20"/>
          <w:szCs w:val="20"/>
        </w:rPr>
        <w:t>ECB</w:t>
      </w:r>
      <w:r w:rsidR="00F66D15" w:rsidRPr="008072C7">
        <w:rPr>
          <w:rFonts w:ascii="Arial" w:hAnsi="Arial" w:cs="Arial"/>
          <w:color w:val="000000" w:themeColor="text1"/>
          <w:sz w:val="20"/>
          <w:szCs w:val="20"/>
        </w:rPr>
        <w:t xml:space="preserve"> receptors on A-delta and C-delta primary afferents </w:t>
      </w:r>
      <w:r w:rsidR="00F66D15"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{"citationItems":[{"id":"ITEM-1","itemData":{"author":[{"dropping-particle":"","family":"Hohmann","given":"A G","non-dropping-particle":"","parse-names":false,"suffix":""},{"dropping-particle":"","family":"Herkenham","given":"M","non-dropping-particle":"","parse-names":false,"suffix":""}],"container-title":"Neuroscience","id":"ITEM-1","issue":"3","issued":{"date-parts":[["1999"]]},"page":"923-931","title":"Localization of central cannabinoid CB1 receptor messenger RNA in neuronal subpopulations of rat dorsal root ganglia: A double-label in situ hybridization study","type":"article-journal","volume":"90"},"uris":["http://www.mendeley.com/documents/?uuid=8f1f56c3-4298-4321-b785-6200d7878df9"]}],"mendeley":{"formattedCitation":"(22)","plainTextFormattedCitation":"(22)","previouslyFormattedCitation":"(22)"},"properties":{"noteIndex":0},"schema":"https://github.com/citation-style-language/schema/raw/master/csl-citation.json"}</w:instrText>
      </w:r>
      <w:r w:rsidR="00F66D15"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(22)</w:t>
      </w:r>
      <w:r w:rsidR="00F66D15" w:rsidRPr="008072C7">
        <w:rPr>
          <w:rFonts w:ascii="Arial" w:hAnsi="Arial" w:cs="Arial"/>
          <w:color w:val="000000" w:themeColor="text1"/>
          <w:sz w:val="20"/>
          <w:szCs w:val="20"/>
        </w:rPr>
        <w:fldChar w:fldCharType="end"/>
      </w:r>
      <w:r w:rsidR="007C3CBF" w:rsidRPr="008072C7">
        <w:rPr>
          <w:rFonts w:ascii="Arial" w:hAnsi="Arial" w:cs="Arial"/>
          <w:color w:val="000000" w:themeColor="text1"/>
          <w:sz w:val="20"/>
          <w:szCs w:val="20"/>
        </w:rPr>
        <w:t xml:space="preserve">, </w:t>
      </w:r>
      <w:r w:rsidR="00F66D15" w:rsidRPr="008072C7">
        <w:rPr>
          <w:rFonts w:ascii="Arial" w:hAnsi="Arial" w:cs="Arial"/>
          <w:color w:val="000000" w:themeColor="text1"/>
          <w:sz w:val="20"/>
          <w:szCs w:val="20"/>
        </w:rPr>
        <w:t xml:space="preserve">which are activated during muscle contractions to produce alterations in circulating concentrations of endocannabinoids </w:t>
      </w:r>
      <w:r w:rsidR="00F66D15"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{"citationItems":[{"id":"ITEM-1","itemData":{"DOI":"10.1016/j.jpain.2014.09.006.Mechanisms","ISSN":"15265900","author":[{"dropping-particle":"","family":"Koltyn","given":"Kelli F.","non-dropping-particle":"","parse-names":false,"suffix":""},{"dropping-particle":"","family":"Brellenthin","given":"Angelique G.","non-dropping-particle":"","parse-names":false,"suffix":""},{"dropping-particle":"","family":"Cook","given":"Dane B.","non-dropping-particle":"","parse-names":false,"suffix":""},{"dropping-particle":"","family":"Sehgal","given":"Nalini","non-dropping-particle":"","parse-names":false,"suffix":""},{"dropping-particle":"","family":"Hillard","given":"Cecilia","non-dropping-particle":"","parse-names":false,"suffix":""}],"container-title":"Journal of Pain","id":"ITEM-1","issue":"12","issued":{"date-parts":[["2014"]]},"page":"1294-1304","title":"Mechanisms of Exercise-Induced Hypoalgesia","type":"article-journal","volume":"15"},"uris":["http://www.mendeley.com/documents/?uuid=95124bf8-7f98-48d7-b499-8d6ac35c50c8"]}],"mendeley":{"formattedCitation":"(39)","plainTextFormattedCitation":"(39)","previouslyFormattedCitation":"(39)"},"properties":{"noteIndex":0},"schema":"https://github.com/citation-style-language/schema/raw/master/csl-citation.json"}</w:instrText>
      </w:r>
      <w:r w:rsidR="00F66D15"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(39)</w:t>
      </w:r>
      <w:r w:rsidR="00F66D15" w:rsidRPr="008072C7">
        <w:rPr>
          <w:rFonts w:ascii="Arial" w:hAnsi="Arial" w:cs="Arial"/>
          <w:color w:val="000000" w:themeColor="text1"/>
          <w:sz w:val="20"/>
          <w:szCs w:val="20"/>
        </w:rPr>
        <w:fldChar w:fldCharType="end"/>
      </w:r>
      <w:r w:rsidR="00F66D15" w:rsidRPr="008072C7">
        <w:rPr>
          <w:rFonts w:ascii="Arial" w:hAnsi="Arial" w:cs="Arial"/>
          <w:color w:val="000000" w:themeColor="text1"/>
          <w:sz w:val="20"/>
          <w:szCs w:val="20"/>
        </w:rPr>
        <w:t>.</w:t>
      </w:r>
    </w:p>
    <w:p w14:paraId="5C6BEF56" w14:textId="44FF3EB7" w:rsidR="009C17AE" w:rsidRPr="008072C7" w:rsidRDefault="009C17AE" w:rsidP="00476D7D">
      <w:pPr>
        <w:rPr>
          <w:rFonts w:ascii="Arial" w:hAnsi="Arial" w:cs="Arial"/>
          <w:color w:val="000000" w:themeColor="text1"/>
          <w:sz w:val="20"/>
          <w:szCs w:val="20"/>
        </w:rPr>
      </w:pPr>
      <w:r w:rsidRPr="008072C7">
        <w:rPr>
          <w:rFonts w:ascii="Arial" w:hAnsi="Arial" w:cs="Arial"/>
          <w:color w:val="000000" w:themeColor="text1"/>
          <w:sz w:val="20"/>
          <w:szCs w:val="20"/>
        </w:rPr>
        <w:lastRenderedPageBreak/>
        <w:t xml:space="preserve">The analgesic effect of exercise </w:t>
      </w:r>
      <w:r w:rsidR="0070635B" w:rsidRPr="008072C7">
        <w:rPr>
          <w:rFonts w:ascii="Arial" w:hAnsi="Arial" w:cs="Arial"/>
          <w:color w:val="000000" w:themeColor="text1"/>
          <w:sz w:val="20"/>
          <w:szCs w:val="20"/>
        </w:rPr>
        <w:t>has become important in pain management programmes. Current evidence demonstrates th</w:t>
      </w:r>
      <w:r w:rsidR="00823D23" w:rsidRPr="008072C7">
        <w:rPr>
          <w:rFonts w:ascii="Arial" w:hAnsi="Arial" w:cs="Arial"/>
          <w:color w:val="000000" w:themeColor="text1"/>
          <w:sz w:val="20"/>
          <w:szCs w:val="20"/>
        </w:rPr>
        <w:t>e effectiveness of resistance exercise for reducing pain in individuals with</w:t>
      </w:r>
      <w:r w:rsidR="006C6371" w:rsidRPr="008072C7">
        <w:rPr>
          <w:rFonts w:ascii="Arial" w:hAnsi="Arial" w:cs="Arial"/>
          <w:color w:val="000000" w:themeColor="text1"/>
          <w:sz w:val="20"/>
          <w:szCs w:val="20"/>
        </w:rPr>
        <w:t xml:space="preserve"> chronic pain </w:t>
      </w:r>
      <w:r w:rsidR="006C6371"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{"citationItems":[{"id":"ITEM-1","itemData":{"DOI":"10.1016/S1836-9553(11)70002-9","ISBN":"1836-9553","PMID":"21402325","abstract":"Question: What are the effects of strength training alone, exercise therapy alone, and exercise with additional passive manual mobilisation on pain and function in people with knee osteoarthritis compared to control? What are the effects of these interventions relative to each other? Design: A meta-analysis of randomised controlled trials. Participants: Adults with osteoarthritis of the knee. Intervention types: Strength training alone, exercise therapy alone (combination of strength training with active range of motion exercises and aerobic activity), or exercise with additional passive manual mobilisation, versus any non-exercise control. Comparisons between the three interventions were also sought. Outcome measures: The primary outcome measures were pain and physical function. Results: 12 trials compared one of the interventions against control. The effect size on pain was 0.38 (95% CI 0.23 to 0.54) for strength training, 0.34 (95% CI 0.19 to 0.49) for exercise, and 0.69 (95% CI 0.42 to 0.96) for exercise plus manual mobilisation. Each intervention also improved physical function significantly. No randomised comparisons of the three interventions were identified. However, meta-regression indicated that exercise plus manual mobilisations improved pain significantly more than exercise alone (p = 0.03). The remaining comparisons between the three interventions for pain and physical function were not significant. Conclusion: Exercise therapy plus manual mobilisation showed a moderate effect size on pain compared to the small effect sizes for strength training or exercise therapy alone. To achieve better pain relief in patients with knee osteoarthritis physiotherapists or manual therapists might consider adding manual mobilisation to optimise supervised active exercise programs. © Australian Physiotherapy Association 2011.","author":[{"dropping-particle":"","family":"Jansen","given":"Mariette J.","non-dropping-particle":"","parse-names":false,"suffix":""},{"dropping-particle":"","family":"Viechtbauer","given":"Wolfgang","non-dropping-particle":"","parse-names":false,"suffix":""},{"dropping-particle":"","family":"Lenssen","given":"Antoine F.","non-dropping-particle":"","parse-names":false,"suffix":""},{"dropping-particle":"","family":"Hendriks","given":"Erik J.M.","non-dropping-particle":"","parse-names":false,"suffix":""},{"dropping-particle":"","family":"Bie Rob","given":"A.","non-dropping-particle":"de","parse-names":false,"suffix":""}],"container-title":"Journal of Physiotherapy","id":"ITEM-1","issue":"1","issued":{"date-parts":[["2011"]]},"page":"11-20","publisher":"Elsevier","title":"Strength training alone, exercise therapy alone, and exercise therapy with passive manual mobilisation each reduce pain and disability in people with knee osteoarthritis: A systematic review","type":"article-journal","volume":"57"},"uris":["http://www.mendeley.com/documents/?uuid=4ee93db0-3908-4174-afe2-4b9984523415"]},{"id":"ITEM-2","itemData":{"DOI":"10.3109/09638288.2012.731469","author":[{"dropping-particle":"","family":"Fridén","given":"Cecilia","non-dropping-particle":"","parse-names":false,"suffix":""},{"dropping-particle":"","family":"Thoors","given":"Ulrika","non-dropping-particle":"","parse-names":false,"suffix":""},{"dropping-particle":"","family":"Glenmark","given":"Birgitta","non-dropping-particle":"","parse-names":false,"suffix":""},{"dropping-particle":"","family":"Kosek","given":"Eva","non-dropping-particle":"","parse-names":false,"suffix":""},{"dropping-particle":"","family":"Nordmark","given":"Birgitta","non-dropping-particle":"","parse-names":false,"suffix":""},{"dropping-particle":"","family":"Lundberg","given":"Ingrid E","non-dropping-particle":"","parse-names":false,"suffix":""},{"dropping-particle":"","family":"Opava","given":"Christina H","non-dropping-particle":"","parse-names":false,"suffix":""}],"container-title":"Disability and Rehabilitation","id":"ITEM-2","issue":"16","issued":{"date-parts":[["2013"]]},"page":"1350-1356","title":"Higher pain sensitivity and lower muscle strength in postmenonpausal women with early rheumatoid arthritis compared with age-matched healthy women – a pilot study","type":"article-journal","volume":"35"},"uris":["http://www.mendeley.com/documents/?uuid=700287f4-8b79-4df7-b057-1461e5b5f385"]},{"id":"ITEM-3","itemData":{"DOI":"10.1186/1477-7525-11-19","PMID":"23414183","abstract":"BACKGROUND: Musculoskeletal disorders are major causes of morbidity in the world, and these conditions have a strong negative influence in terms of health-related quality of life. The purpose of this study was to evaluate the effect of an 8-week multimodal physical therapy program on general health state and health-related quality of life in patients with chronic musculoskeletal disorders.\\n\\nMETHODS: There were 244 participants in this prospective cohort analysis with 8-week follow-up. The primary outcome was general health state (physical and mental components), determined with the Short Form-12 Health Survey (SF-12). The secondary outcome was health related quality of life, determined with the EuroQoL-5D and VAS. The intervention was evaluated by comparing pre- and post-outcome measurements. T-tests were performed for paired data.\\n\\nRESULTS: Differences were statistically significant for physical health state: +1.68 (p &lt; 0.05) (baseline: 42.38); mental health state: +3.15 (p &lt; 0.001) (baseline: 46.57); and health related quality of life: +0.18 (EuroQoL 5D) (baseline: 46.57) and +7.22 (EuroQoL_VAS) (p &lt; 0.001) (baseline: 60.81). Intervention resulted in clinically relevant changes in terms of percentage improvement from baseline scores.\\n\\nCONCLUSIONS: Eight weeks of a Multimodal Physical Therapy Program seemed to moderately enhance the general health state and HRQoL of patients with chronic musculoskeletal diseases. This kind of therapeutic exercise can be recommended to patients with chronic low back pain, chronic neck pain and osteoarthritis, at least in the short term.","author":[{"dropping-particle":"","family":"Cuesta-Vargas","given":"Antonio Ignacio","non-dropping-particle":"","parse-names":false,"suffix":""},{"dropping-particle":"","family":"González-Sánchez","given":"Manuel","non-dropping-particle":"","parse-names":false,"suffix":""},{"dropping-particle":"","family":"Casuso-Holgado","given":"María Jesús","non-dropping-particle":"","parse-names":false,"suffix":""}],"container-title":"Health and Quality of Life Outcomes","id":"ITEM-3","issue":"19","issued":{"date-parts":[["2013"]]},"page":"1-8","title":"Effect on health-related quality of life of a multimodal physiotherapy program in patients with chronic musculoskeletal disorders","type":"article-journal","volume":"11"},"uris":["http://www.mendeley.com/documents/?uuid=82a345ce-40d1-410a-864f-53acf2f02dbb"]}],"mendeley":{"formattedCitation":"(6, 12, 33)","plainTextFormattedCitation":"(6, 12, 33)","previouslyFormattedCitation":"(6, 12, 33)"},"properties":{"noteIndex":0},"schema":"https://github.com/citation-style-language/schema/raw/master/csl-citation.json"}</w:instrText>
      </w:r>
      <w:r w:rsidR="006C6371"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(6, 12, 33)</w:t>
      </w:r>
      <w:r w:rsidR="006C6371" w:rsidRPr="008072C7">
        <w:rPr>
          <w:rFonts w:ascii="Arial" w:hAnsi="Arial" w:cs="Arial"/>
          <w:color w:val="000000" w:themeColor="text1"/>
          <w:sz w:val="20"/>
          <w:szCs w:val="20"/>
        </w:rPr>
        <w:fldChar w:fldCharType="end"/>
      </w:r>
      <w:r w:rsidR="006C6371" w:rsidRPr="008072C7">
        <w:rPr>
          <w:rFonts w:ascii="Arial" w:hAnsi="Arial" w:cs="Arial"/>
          <w:color w:val="000000" w:themeColor="text1"/>
          <w:sz w:val="20"/>
          <w:szCs w:val="20"/>
        </w:rPr>
        <w:t>.</w:t>
      </w:r>
      <w:r w:rsidR="002154C5" w:rsidRPr="008072C7">
        <w:rPr>
          <w:rFonts w:ascii="Arial" w:hAnsi="Arial" w:cs="Arial"/>
          <w:color w:val="000000" w:themeColor="text1"/>
          <w:sz w:val="20"/>
          <w:szCs w:val="20"/>
        </w:rPr>
        <w:t xml:space="preserve"> The magnitude of EIH appears greater with higher intensity and prolonged exercise</w:t>
      </w:r>
      <w:r w:rsidR="006B7753" w:rsidRPr="008072C7">
        <w:rPr>
          <w:rFonts w:ascii="Arial" w:hAnsi="Arial" w:cs="Arial"/>
          <w:color w:val="000000" w:themeColor="text1"/>
          <w:sz w:val="20"/>
          <w:szCs w:val="20"/>
        </w:rPr>
        <w:t xml:space="preserve">. For example, with resistance exercise a large effect (d=0.6-1.1) has been observed when using an external load of  &gt;75% of an individual’s one repetition maximum (1RM) </w:t>
      </w:r>
      <w:r w:rsidR="006B7753"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{"citationItems":[{"id":"ITEM-1","itemData":{"DOI":"10.1519/JSC.0b013e3181a05564","author":[{"dropping-particle":"","family":"Focht","given":"Brian C.","non-dropping-particle":"","parse-names":false,"suffix":""},{"dropping-particle":"","family":"Koltyn","given":"Kelli F.","non-dropping-particle":"","parse-names":false,"suffix":""}],"container-title":"Journal of Strength and Conditioning Research","id":"ITEM-1","issue":"3","issued":{"date-parts":[["2009"]]},"page":"891-897","title":"Alterations in pain perception after resistance exercise performed in the morning and evening","type":"article-journal","volume":"23"},"uris":["http://www.mendeley.com/documents/?uuid=0b80974f-c0c7-4d80-8578-3c26dac2203f"]},{"id":"ITEM-2","itemData":{"author":[{"dropping-particle":"","family":"Koltyn","given":"K F","non-dropping-particle":"","parse-names":false,"suffix":""},{"dropping-particle":"","family":"Arbogast","given":"R W","non-dropping-particle":"","parse-names":false,"suffix":""}],"container-title":"British Journal of Sports Medicine","id":"ITEM-2","issued":{"date-parts":[["1998"]]},"page":"20-24","title":"Perception of pain after resistance exercise","type":"article-journal","volume":"32"},"uris":["http://www.mendeley.com/documents/?uuid=41d70cf9-a184-4ec7-bb80-38a3c011bc9b"]}],"mendeley":{"formattedCitation":"(11, 38)","plainTextFormattedCitation":"(11, 38)","previouslyFormattedCitation":"(11, 38)"},"properties":{"noteIndex":0},"schema":"https://github.com/citation-style-language/schema/raw/master/csl-citation.json"}</w:instrText>
      </w:r>
      <w:r w:rsidR="006B7753"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(11, 38)</w:t>
      </w:r>
      <w:r w:rsidR="006B7753" w:rsidRPr="008072C7">
        <w:rPr>
          <w:rFonts w:ascii="Arial" w:hAnsi="Arial" w:cs="Arial"/>
          <w:color w:val="000000" w:themeColor="text1"/>
          <w:sz w:val="20"/>
          <w:szCs w:val="20"/>
        </w:rPr>
        <w:fldChar w:fldCharType="end"/>
      </w:r>
      <w:r w:rsidR="00B6293D" w:rsidRPr="008072C7">
        <w:rPr>
          <w:rFonts w:ascii="Arial" w:hAnsi="Arial" w:cs="Arial"/>
          <w:color w:val="000000" w:themeColor="text1"/>
          <w:sz w:val="20"/>
          <w:szCs w:val="20"/>
        </w:rPr>
        <w:t xml:space="preserve">. </w:t>
      </w:r>
      <w:r w:rsidR="007B505B" w:rsidRPr="008072C7">
        <w:rPr>
          <w:rFonts w:ascii="Arial" w:hAnsi="Arial" w:cs="Arial"/>
          <w:color w:val="000000" w:themeColor="text1"/>
          <w:sz w:val="20"/>
          <w:szCs w:val="20"/>
        </w:rPr>
        <w:t xml:space="preserve">However, individuals with chronic pain are often load compromised, and heavy loads may lead to hyperalgesia </w:t>
      </w:r>
      <w:r w:rsidR="00A6544A" w:rsidRPr="008072C7">
        <w:rPr>
          <w:rFonts w:ascii="Arial" w:hAnsi="Arial" w:cs="Arial"/>
          <w:color w:val="000000" w:themeColor="text1"/>
          <w:sz w:val="20"/>
          <w:szCs w:val="20"/>
        </w:rPr>
        <w:t xml:space="preserve">in these individuals </w:t>
      </w:r>
      <w:r w:rsidR="007B505B"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{"citationItems":[{"id":"ITEM-1","itemData":{"DOI":"10.1016/j.jpain.2019.03.005","ISSN":"15288447","abstract":"Exercise is considered an important component of effective chronic pain management and it is well-established that long-term exercise training provides pain relief. In healthy, pain-free populations, a single bout of aerobic or resistance exercise typically leads to exercise-induced hypoalgesia (EIH), a generalized reduction in pain and pain sensitivity that occurs during exercise and for some time afterward. In contrast, EIH is more variable in chronic pain populations and is more frequently impaired; with pain and pain sensitivity decreasing, remaining unchanged or, in some cases, even increasing in response to exercise. Pain exacerbation with exercise may be a major barrier to adherence, precipitating a cycle of physical inactivity that can lead to long-term worsening of both pain and disability. To optimize the therapeutic benefits of exercise, it is important to understand how EIH works, why it may be impaired in some people with chronic pain, and how this should be addressed in clinical practice. In this article, we provide an overview of EIH across different chronic pain conditions. We discuss possible biological mechanisms of EIH and the potential influence of sex and psychosocial factors, both in pain-free adults and, where possible, in individuals with chronic pain. The clinical implications of impaired EIH are discussed and recommendations are made for future research, including further exploration of individual differences in EIH, the relationship between exercise dose and EIH, the efficacy of combined treatments and the use of alternative measures to quantify EIH. Perspective: This article provides a contemporary review of the acute effects of exercise on pain and pain sensitivity, including in people with chronic pain conditions. Existing findings are critically reviewed, clinical implications are discussed, and recommendations are offered for future research.","author":[{"dropping-particle":"","family":"Rice","given":"David","non-dropping-particle":"","parse-names":false,"suffix":""},{"dropping-particle":"","family":"Nijs","given":"Jo","non-dropping-particle":"","parse-names":false,"suffix":""},{"dropping-particle":"","family":"Kosek","given":"Eva","non-dropping-particle":"","parse-names":false,"suffix":""},{"dropping-particle":"","family":"Wideman","given":"Timothy","non-dropping-particle":"","parse-names":false,"suffix":""},{"dropping-particle":"","family":"Hasenbring","given":"Monika I.","non-dropping-particle":"","parse-names":false,"suffix":""},{"dropping-particle":"","family":"Koltyn","given":"Kelli","non-dropping-particle":"","parse-names":false,"suffix":""},{"dropping-particle":"","family":"Graven-Nielsen","given":"Thomas","non-dropping-particle":"","parse-names":false,"suffix":""},{"dropping-particle":"","family":"Polli","given":"Andrea","non-dropping-particle":"","parse-names":false,"suffix":""}],"container-title":"Journal of Pain","id":"ITEM-1","issue":"0","issued":{"date-parts":[["2019"]]},"page":"1-18","publisher":"Elsevier Inc.","title":"Exercise-Induced Hypoalgesia in Pain-Free and Chronic Pain Populations: State of the Art and Future Directions","type":"article-journal","volume":"0"},"uris":["http://www.mendeley.com/documents/?uuid=673cc78b-2bab-4755-8149-2a4d2c9ea3d1"]}],"mendeley":{"formattedCitation":"(58)","plainTextFormattedCitation":"(58)","previouslyFormattedCitation":"(58)"},"properties":{"noteIndex":0},"schema":"https://github.com/citation-style-language/schema/raw/master/csl-citation.json"}</w:instrText>
      </w:r>
      <w:r w:rsidR="007B505B"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(58)</w:t>
      </w:r>
      <w:r w:rsidR="007B505B" w:rsidRPr="008072C7">
        <w:rPr>
          <w:rFonts w:ascii="Arial" w:hAnsi="Arial" w:cs="Arial"/>
          <w:color w:val="000000" w:themeColor="text1"/>
          <w:sz w:val="20"/>
          <w:szCs w:val="20"/>
        </w:rPr>
        <w:fldChar w:fldCharType="end"/>
      </w:r>
      <w:r w:rsidR="007B505B" w:rsidRPr="008072C7">
        <w:rPr>
          <w:rFonts w:ascii="Arial" w:hAnsi="Arial" w:cs="Arial"/>
          <w:color w:val="000000" w:themeColor="text1"/>
          <w:sz w:val="20"/>
          <w:szCs w:val="20"/>
        </w:rPr>
        <w:t>.</w:t>
      </w:r>
      <w:r w:rsidR="00FD046A" w:rsidRPr="008072C7">
        <w:rPr>
          <w:rFonts w:ascii="Arial" w:hAnsi="Arial" w:cs="Arial"/>
          <w:color w:val="000000" w:themeColor="text1"/>
          <w:sz w:val="20"/>
          <w:szCs w:val="20"/>
        </w:rPr>
        <w:t xml:space="preserve"> </w:t>
      </w:r>
      <w:r w:rsidR="005C0056" w:rsidRPr="008072C7">
        <w:rPr>
          <w:rFonts w:ascii="Arial" w:hAnsi="Arial" w:cs="Arial"/>
          <w:color w:val="000000" w:themeColor="text1"/>
          <w:sz w:val="20"/>
          <w:szCs w:val="20"/>
        </w:rPr>
        <w:t xml:space="preserve">When exercising at lower intensities, prolonging the </w:t>
      </w:r>
      <w:r w:rsidR="00A02AAD" w:rsidRPr="008072C7">
        <w:rPr>
          <w:rFonts w:ascii="Arial" w:hAnsi="Arial" w:cs="Arial"/>
          <w:color w:val="000000" w:themeColor="text1"/>
          <w:sz w:val="20"/>
          <w:szCs w:val="20"/>
        </w:rPr>
        <w:t xml:space="preserve">exercise </w:t>
      </w:r>
      <w:r w:rsidR="005C0056" w:rsidRPr="008072C7">
        <w:rPr>
          <w:rFonts w:ascii="Arial" w:hAnsi="Arial" w:cs="Arial"/>
          <w:color w:val="000000" w:themeColor="text1"/>
          <w:sz w:val="20"/>
          <w:szCs w:val="20"/>
        </w:rPr>
        <w:t xml:space="preserve">duration by performing </w:t>
      </w:r>
      <w:r w:rsidR="00A02AAD" w:rsidRPr="008072C7">
        <w:rPr>
          <w:rFonts w:ascii="Arial" w:hAnsi="Arial" w:cs="Arial"/>
          <w:color w:val="000000" w:themeColor="text1"/>
          <w:sz w:val="20"/>
          <w:szCs w:val="20"/>
        </w:rPr>
        <w:t>the task to</w:t>
      </w:r>
      <w:r w:rsidR="005C0056" w:rsidRPr="008072C7">
        <w:rPr>
          <w:rFonts w:ascii="Arial" w:hAnsi="Arial" w:cs="Arial"/>
          <w:color w:val="000000" w:themeColor="text1"/>
          <w:sz w:val="20"/>
          <w:szCs w:val="20"/>
        </w:rPr>
        <w:t xml:space="preserve"> failure </w:t>
      </w:r>
      <w:r w:rsidR="00A02AAD" w:rsidRPr="008072C7">
        <w:rPr>
          <w:rFonts w:ascii="Arial" w:hAnsi="Arial" w:cs="Arial"/>
          <w:color w:val="000000" w:themeColor="text1"/>
          <w:sz w:val="20"/>
          <w:szCs w:val="20"/>
        </w:rPr>
        <w:t xml:space="preserve">can increase the magnitude of EIH, possibly by </w:t>
      </w:r>
      <w:r w:rsidR="00FD046A" w:rsidRPr="008072C7">
        <w:rPr>
          <w:rFonts w:ascii="Arial" w:hAnsi="Arial" w:cs="Arial"/>
          <w:color w:val="000000" w:themeColor="text1"/>
          <w:sz w:val="20"/>
          <w:szCs w:val="20"/>
        </w:rPr>
        <w:t xml:space="preserve">increasing the </w:t>
      </w:r>
      <w:r w:rsidR="00A02AAD" w:rsidRPr="008072C7">
        <w:rPr>
          <w:rFonts w:ascii="Arial" w:hAnsi="Arial" w:cs="Arial"/>
          <w:color w:val="000000" w:themeColor="text1"/>
          <w:sz w:val="20"/>
          <w:szCs w:val="20"/>
        </w:rPr>
        <w:t xml:space="preserve">recruitment of fast twitch motor units </w:t>
      </w:r>
      <w:r w:rsidR="00FD046A" w:rsidRPr="008072C7">
        <w:rPr>
          <w:rFonts w:ascii="Arial" w:hAnsi="Arial" w:cs="Arial"/>
          <w:color w:val="000000" w:themeColor="text1"/>
          <w:sz w:val="20"/>
          <w:szCs w:val="20"/>
        </w:rPr>
        <w:t xml:space="preserve">at low exercise intensities </w:t>
      </w:r>
      <w:r w:rsidR="00A02AAD"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{"citationItems":[{"id":"ITEM-1","itemData":{"DOI":"10.1249/MSS.0b013e31817eeecc","abstract":"Dose Response of Isometric Contractions on Pain Perception in Healthy Adults. Med. Sci. Sports Exerc., Vol. 40, No. 11, pp. 1880–1889, 2008. Introduction: The purpose of the study was to compare pain ratings and thresholds in men and women before and after isometric contractions of varying intensity and duration performed with the elbow flexor muscles. Methods: Pain perception was assessed, using a pressure device applied to the contralateral finger, before and after the following isometric contractions: 1) three brief maximal voluntary contractions (MVC), 2) 25% MVC sustained until task failure, 3) 25% MVC sustained for 2 min, and 4) 80% MVC sustained until task failure. Results: High-intensity and long-duration, low-intensity isometric contractions produced an analgesic response. The greatest change in pain threshold and pain ratings, when pressure was applied to the contralateral finger, was after the long-duration, low-intensity contraction sustained until failure. Sex differences were present with women reporting 1) lower pain thresholds and higher pain ratings during quiet rest and 2) higher pain ratings before and after isometric contractions. Conclusion: These results suggest that activation of high-threshold motor units is involved in exercise-induced analgesia.","author":[{"dropping-particle":"","family":"Hoeger-Bement","given":"Marie K","non-dropping-particle":"","parse-names":false,"suffix":""},{"dropping-particle":"","family":"Dicapo","given":"John","non-dropping-particle":"","parse-names":false,"suffix":""},{"dropping-particle":"","family":"Rasiarmos","given":"Rebecca","non-dropping-particle":"","parse-names":false,"suffix":""},{"dropping-particle":"","family":"Hunter","given":"Sandra K","non-dropping-particle":"","parse-names":false,"suffix":""}],"container-title":"Medicine &amp; Science in Sports &amp; Exercise","id":"ITEM-1","issue":"11","issued":{"date-parts":[["2008"]]},"page":"1880-1889","title":"Dose Response of Isometric Contractions on Pain Perception in Healthy Adults","type":"article-journal","volume":"40"},"uris":["http://www.mendeley.com/documents/?uuid=c9544ef3-f4a5-4e89-80c8-10ca32f9247a"]}],"mendeley":{"formattedCitation":"(19)","plainTextFormattedCitation":"(19)","previouslyFormattedCitation":"(19)"},"properties":{"noteIndex":0},"schema":"https://github.com/citation-style-language/schema/raw/master/csl-citation.json"}</w:instrText>
      </w:r>
      <w:r w:rsidR="00A02AAD"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(19)</w:t>
      </w:r>
      <w:r w:rsidR="00A02AAD" w:rsidRPr="008072C7">
        <w:rPr>
          <w:rFonts w:ascii="Arial" w:hAnsi="Arial" w:cs="Arial"/>
          <w:color w:val="000000" w:themeColor="text1"/>
          <w:sz w:val="20"/>
          <w:szCs w:val="20"/>
        </w:rPr>
        <w:fldChar w:fldCharType="end"/>
      </w:r>
      <w:r w:rsidR="00A02AAD" w:rsidRPr="008072C7">
        <w:rPr>
          <w:rFonts w:ascii="Arial" w:hAnsi="Arial" w:cs="Arial"/>
          <w:color w:val="000000" w:themeColor="text1"/>
          <w:sz w:val="20"/>
          <w:szCs w:val="20"/>
        </w:rPr>
        <w:t xml:space="preserve">. </w:t>
      </w:r>
      <w:r w:rsidR="004648D8" w:rsidRPr="008072C7">
        <w:rPr>
          <w:rFonts w:ascii="Arial" w:hAnsi="Arial" w:cs="Arial"/>
          <w:color w:val="000000" w:themeColor="text1"/>
          <w:sz w:val="20"/>
          <w:szCs w:val="20"/>
        </w:rPr>
        <w:t xml:space="preserve">However, this may take a considerable amount of time and may therefore not be practical </w:t>
      </w:r>
      <w:r w:rsidR="00A038C6" w:rsidRPr="008072C7">
        <w:rPr>
          <w:rFonts w:ascii="Arial" w:hAnsi="Arial" w:cs="Arial"/>
          <w:color w:val="000000" w:themeColor="text1"/>
          <w:sz w:val="20"/>
          <w:szCs w:val="20"/>
        </w:rPr>
        <w:t>in individuals with chronic pain.</w:t>
      </w:r>
    </w:p>
    <w:p w14:paraId="4643E1E6" w14:textId="00A46533" w:rsidR="00B505ED" w:rsidRPr="008072C7" w:rsidRDefault="00E97E82" w:rsidP="00B505ED">
      <w:pPr>
        <w:rPr>
          <w:rFonts w:ascii="Arial" w:hAnsi="Arial" w:cs="Arial"/>
          <w:color w:val="000000" w:themeColor="text1"/>
          <w:sz w:val="20"/>
          <w:szCs w:val="20"/>
        </w:rPr>
      </w:pPr>
      <w:r w:rsidRPr="008072C7">
        <w:rPr>
          <w:rFonts w:ascii="Arial" w:hAnsi="Arial" w:cs="Arial"/>
          <w:color w:val="000000" w:themeColor="text1"/>
          <w:sz w:val="20"/>
          <w:szCs w:val="20"/>
        </w:rPr>
        <w:t>Recent research suggests that</w:t>
      </w:r>
      <w:r w:rsidR="00A038C6" w:rsidRPr="008072C7">
        <w:rPr>
          <w:rFonts w:ascii="Arial" w:hAnsi="Arial" w:cs="Arial"/>
          <w:color w:val="000000" w:themeColor="text1"/>
          <w:sz w:val="20"/>
          <w:szCs w:val="20"/>
        </w:rPr>
        <w:t xml:space="preserve"> performing light load blo</w:t>
      </w:r>
      <w:r w:rsidRPr="008072C7">
        <w:rPr>
          <w:rFonts w:ascii="Arial" w:hAnsi="Arial" w:cs="Arial"/>
          <w:color w:val="000000" w:themeColor="text1"/>
          <w:sz w:val="20"/>
          <w:szCs w:val="20"/>
        </w:rPr>
        <w:t xml:space="preserve">od flow restriction </w:t>
      </w:r>
      <w:r w:rsidR="00986352" w:rsidRPr="008072C7">
        <w:rPr>
          <w:rFonts w:ascii="Arial" w:hAnsi="Arial" w:cs="Arial"/>
          <w:color w:val="000000" w:themeColor="text1"/>
          <w:sz w:val="20"/>
          <w:szCs w:val="20"/>
        </w:rPr>
        <w:t xml:space="preserve">resistance exercise </w:t>
      </w:r>
      <w:r w:rsidRPr="008072C7">
        <w:rPr>
          <w:rFonts w:ascii="Arial" w:hAnsi="Arial" w:cs="Arial"/>
          <w:color w:val="000000" w:themeColor="text1"/>
          <w:sz w:val="20"/>
          <w:szCs w:val="20"/>
        </w:rPr>
        <w:t xml:space="preserve">(BFR-RE) </w:t>
      </w:r>
      <w:r w:rsidR="007545DB" w:rsidRPr="008072C7">
        <w:rPr>
          <w:rFonts w:ascii="Arial" w:hAnsi="Arial" w:cs="Arial"/>
          <w:color w:val="000000" w:themeColor="text1"/>
          <w:sz w:val="20"/>
          <w:szCs w:val="20"/>
        </w:rPr>
        <w:t>may have a pain-modulation effect. BFR-RE involves partial and full restriction of arterial and venous blood flow, respectively, in the active limb when exercising using loads of 20-30% 1RM</w:t>
      </w:r>
      <w:r w:rsidR="00370038" w:rsidRPr="008072C7">
        <w:rPr>
          <w:rFonts w:ascii="Arial" w:hAnsi="Arial" w:cs="Arial"/>
          <w:color w:val="000000" w:themeColor="text1"/>
          <w:sz w:val="20"/>
          <w:szCs w:val="20"/>
        </w:rPr>
        <w:t xml:space="preserve"> </w:t>
      </w:r>
      <w:r w:rsidR="00370038"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{"citationItems":[{"id":"ITEM-1","itemData":{"DOI":"10.1136/bjsports-2016-097071","ISBN":"0306-3674","ISSN":"14730480","PMID":"28259850","abstract":"BACKGROUND AND OBJECTIVE Low-load exercise training with blood flow restriction (BFR) can increase muscle strength and may offer an effective clinical musculoskeletal (MSK) rehabilitation tool. The aim of this review was to systematically analyse the evidence regarding the effectiveness of this novel training modality in clinical MSK rehabilitation. DESIGN This is a systematic review and meta-analysis of peer-reviewed literature examining BFR training in clinical MSK rehabilitation (Research Registry; researchregistry91). DATA SOURCES A literature search was conducted across SPORTDiscus (EBSCO), PubMed and Science Direct databases, including the reference lists of relevant papers. Two independent reviewers extracted study characteristics and MSK and functional outcome measures. Study quality and reporting was assessed using the Tool for the assEssment of Study qualiTy and reporting in EXercise. ELIGIBILITY Search results were limited to exercise training studies investigating BFR training in clinical MSK rehabilitation, published in a scientific peer-reviewed journal in English. RESULTS Twenty studies were eligible, including ACL reconstruction (n=3), knee osteoarthritis (n=3), older adults at risk of sarcopenia (n=13) and patients with sporadic inclusion body myositis (n=1). Analysis of pooled data indicated low-load BFR training had a moderate effect on increasing strength (Hedges' g=0.523, 95% CI 0.263 to 0.784, p&lt;0.001), but was less effective than heavy-load training (Hedges' g=0.674, 95% CI 0.296 to 1.052, p&lt;0.001). CONCLUSION Compared with low-load training, low-load BFR training is more effective, tolerable and therefore a potential clinical rehabilitation tool. There is a need for the development of an individualised approach to training prescription to minimise patient risk and increase effectiveness.","author":[{"dropping-particle":"","family":"Hughes","given":"Luke","non-dropping-particle":"","parse-names":false,"suffix":""},{"dropping-particle":"","family":"Paton","given":"Bruce","non-dropping-particle":"","parse-names":false,"suffix":""},{"dropping-particle":"","family":"Rosenblatt","given":"Ben","non-dropping-particle":"","parse-names":false,"suffix":""},{"dropping-particle":"","family":"Gissane","given":"Conor","non-dropping-particle":"","parse-names":false,"suffix":""},{"dropping-particle":"","family":"Patterson","given":"Stephen David","non-dropping-particle":"","parse-names":false,"suffix":""}],"container-title":"British Journal of Sports Medicine","id":"ITEM-1","issue":"13","issued":{"date-parts":[["2017"]]},"page":"1003-1011","title":"Blood flow restriction training in clinical musculoskeletal rehabilitation: A systematic review and meta-analysis","type":"article-journal","volume":"51"},"uris":["http://www.mendeley.com/documents/?uuid=840a99af-748b-4f5a-adfa-a31e515da720"]}],"mendeley":{"formattedCitation":"(26)","plainTextFormattedCitation":"(26)","previouslyFormattedCitation":"(26)"},"properties":{"noteIndex":0},"schema":"https://github.com/citation-style-language/schema/raw/master/csl-citation.json"}</w:instrText>
      </w:r>
      <w:r w:rsidR="00370038"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(26)</w:t>
      </w:r>
      <w:r w:rsidR="00370038" w:rsidRPr="008072C7">
        <w:rPr>
          <w:rFonts w:ascii="Arial" w:hAnsi="Arial" w:cs="Arial"/>
          <w:color w:val="000000" w:themeColor="text1"/>
          <w:sz w:val="20"/>
          <w:szCs w:val="20"/>
        </w:rPr>
        <w:fldChar w:fldCharType="end"/>
      </w:r>
      <w:r w:rsidR="00370038" w:rsidRPr="008072C7">
        <w:rPr>
          <w:rFonts w:ascii="Arial" w:hAnsi="Arial" w:cs="Arial"/>
          <w:color w:val="000000" w:themeColor="text1"/>
          <w:sz w:val="20"/>
          <w:szCs w:val="20"/>
        </w:rPr>
        <w:t>.</w:t>
      </w:r>
      <w:r w:rsidR="006206E4" w:rsidRPr="008072C7">
        <w:rPr>
          <w:rFonts w:ascii="Arial" w:hAnsi="Arial" w:cs="Arial"/>
          <w:color w:val="000000" w:themeColor="text1"/>
          <w:sz w:val="20"/>
          <w:szCs w:val="20"/>
        </w:rPr>
        <w:t xml:space="preserve"> It is widely known for increasing muscle hypertrophy and strength adaptations compared to </w:t>
      </w:r>
      <w:r w:rsidR="0065408D" w:rsidRPr="008072C7">
        <w:rPr>
          <w:rFonts w:ascii="Arial" w:hAnsi="Arial" w:cs="Arial"/>
          <w:color w:val="000000" w:themeColor="text1"/>
          <w:sz w:val="20"/>
          <w:szCs w:val="20"/>
        </w:rPr>
        <w:t>an equivalent exercise intensity</w:t>
      </w:r>
      <w:r w:rsidR="006206E4" w:rsidRPr="008072C7">
        <w:rPr>
          <w:rFonts w:ascii="Arial" w:hAnsi="Arial" w:cs="Arial"/>
          <w:color w:val="000000" w:themeColor="text1"/>
          <w:sz w:val="20"/>
          <w:szCs w:val="20"/>
        </w:rPr>
        <w:t xml:space="preserve"> without BFR </w:t>
      </w:r>
      <w:r w:rsidR="006206E4"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{"citationItems":[{"id":"ITEM-1","itemData":{"DOI":"10.1007/s00421-011-2167-x","ISSN":"14396319","abstract":"The primary objective of this investigation was to quantitatively identify which training variables result in the greatest strength and hypertrophy outcomes with lower body low intensity training with blood flow restriction (LI-BFR). Searches were performed for published studies with certain criteria. First, the primary focus of the study must have compared the effects of low intensity endurance or resistance training alone to low intensity exercise with some form of blood flow restriction. Second, subject populations had to have similar baseline characteristics so that valid outcome measures could be made. Finally, outcome measures had to include at least one measure of muscle hypertrophy. All studies included in the analysis utilized MRI except for two which reported changes via ultrasound. The mean overall effect size (ES) for muscle strength for LI-BFR was 0.58 [95% CI: 0.40, 0.76], and 0.00 [95% CI: -0.18, 0.17] for low intensity training. The mean overall ES for muscle hypertrophy for LI-BFR training was 0.39 [95% CI: 0.35, 0.43], and -0.01 [95% CI: -0.05, 0.03] for low intensity training. Blood flow restriction resulted in significantly greater gains in strength and hypertrophy when performed with resistance training than with walking. In addition, performing LI-BFR 2-3 days per week resulted in the greatest ES compared to 4-5 days per week. Significant correlations were found between ES for strength development and weeks of duration, but not for muscle hypertrophy. This meta-analysis provides insight into the impact of different variables on muscular strength and hypertrophy to LI-BFR training.","author":[{"dropping-particle":"","family":"Loenneke","given":"Jeremy P.","non-dropping-particle":"","parse-names":false,"suffix":""},{"dropping-particle":"","family":"Wilson","given":"Jacob M.","non-dropping-particle":"","parse-names":false,"suffix":""},{"dropping-particle":"","family":"Marín","given":"Pedro J.","non-dropping-particle":"","parse-names":false,"suffix":""},{"dropping-particle":"","family":"Zourdos","given":"Michael C.","non-dropping-particle":"","parse-names":false,"suffix":""},{"dropping-particle":"","family":"Bemben","given":"Michael G.","non-dropping-particle":"","parse-names":false,"suffix":""}],"container-title":"European Journal of Applied Physiology","id":"ITEM-1","issue":"5","issued":{"date-parts":[["2012"]]},"page":"1849-1859","title":"Low intensity blood flow restriction training: A meta-analysis","type":"article-journal","volume":"112"},"uris":["http://www.mendeley.com/documents/?uuid=c8833073-c5a1-49fa-aac5-cf85c541f38e"]}],"mendeley":{"formattedCitation":"(45)","plainTextFormattedCitation":"(45)","previouslyFormattedCitation":"(45)"},"properties":{"noteIndex":0},"schema":"https://github.com/citation-style-language/schema/raw/master/csl-citation.json"}</w:instrText>
      </w:r>
      <w:r w:rsidR="006206E4"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(45)</w:t>
      </w:r>
      <w:r w:rsidR="006206E4" w:rsidRPr="008072C7">
        <w:rPr>
          <w:rFonts w:ascii="Arial" w:hAnsi="Arial" w:cs="Arial"/>
          <w:color w:val="000000" w:themeColor="text1"/>
          <w:sz w:val="20"/>
          <w:szCs w:val="20"/>
        </w:rPr>
        <w:fldChar w:fldCharType="end"/>
      </w:r>
      <w:r w:rsidR="0065408D" w:rsidRPr="008072C7">
        <w:rPr>
          <w:rFonts w:ascii="Arial" w:hAnsi="Arial" w:cs="Arial"/>
          <w:color w:val="000000" w:themeColor="text1"/>
          <w:sz w:val="20"/>
          <w:szCs w:val="20"/>
        </w:rPr>
        <w:t xml:space="preserve">. </w:t>
      </w:r>
      <w:r w:rsidR="00370038" w:rsidRPr="008072C7">
        <w:rPr>
          <w:rFonts w:ascii="Arial" w:hAnsi="Arial" w:cs="Arial"/>
          <w:color w:val="000000" w:themeColor="text1"/>
          <w:sz w:val="20"/>
          <w:szCs w:val="20"/>
        </w:rPr>
        <w:t xml:space="preserve">BFR-RE </w:t>
      </w:r>
      <w:r w:rsidR="0065408D" w:rsidRPr="008072C7">
        <w:rPr>
          <w:rFonts w:ascii="Arial" w:hAnsi="Arial" w:cs="Arial"/>
          <w:color w:val="000000" w:themeColor="text1"/>
          <w:sz w:val="20"/>
          <w:szCs w:val="20"/>
        </w:rPr>
        <w:t xml:space="preserve">also </w:t>
      </w:r>
      <w:r w:rsidR="005D4E6F" w:rsidRPr="008072C7">
        <w:rPr>
          <w:rFonts w:ascii="Arial" w:hAnsi="Arial" w:cs="Arial"/>
          <w:color w:val="000000" w:themeColor="text1"/>
          <w:sz w:val="20"/>
          <w:szCs w:val="20"/>
        </w:rPr>
        <w:t>provides</w:t>
      </w:r>
      <w:r w:rsidR="008859CB" w:rsidRPr="008072C7">
        <w:rPr>
          <w:rFonts w:ascii="Arial" w:hAnsi="Arial" w:cs="Arial"/>
          <w:color w:val="000000" w:themeColor="text1"/>
          <w:sz w:val="20"/>
          <w:szCs w:val="20"/>
        </w:rPr>
        <w:t xml:space="preserve"> an acute EIH effect </w:t>
      </w:r>
      <w:r w:rsidR="008859CB"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{"citationItems":[{"id":"ITEM-1","itemData":{"DOI":"10.1016/j.ptsp.2018.09.007","ISSN":"18731600","abstract":"Objectives: To evaluate if application of blood flow restriction (BFR) combined with low-load resistance training (LLRT) would induce significant anterior knee pain (AKP) reduction compared to LLRT alone. Design: Randomised Controlled Trial. Setting: Institutional physiotherapy clinic. Participants: Forty males suffering from AKP were randomly allocated in the LLRT-BFR or LLRT group. BFR was applied at 80% of complete vascular occlusion. Four sets of open kinetic chain knee extensions were implemented in both groups using a pain monitoring model. Main outcome measures: Pain (0–10) was assessed immediately after LLRT-BFR or LLRT application and after a physiotherapy session (45 min) during shallow and deep single-leg squat (SLSS, SLSD), and step-down test (SDT). Results: Significant immediate pain reduction was found in LLRT-BFR group in SLSS, SLSD and SDT (d = 1.32, d = 1.12, d = 0.88 respectively), but no difference was found in LLRT group. Following the physiotherapy session pain reduction was sustained in LLRT-BFR group in both SLSs and SDT (d = 1.32, d = 0.78, d = 0.89 respectively). For the control group significant pain reduction was only found in SLSS (d = 0.56). No significant between-group differences were observed. Conclusions: The pain reduction induced by LLRT-BFR could indicate this intervention as a preconditioning process prior to the rehabilitation of AKP.","author":[{"dropping-particle":"","family":"Korakakis","given":"Vasileios","non-dropping-particle":"","parse-names":false,"suffix":""},{"dropping-particle":"","family":"Whiteley","given":"Rodney","non-dropping-particle":"","parse-names":false,"suffix":""},{"dropping-particle":"","family":"Giakas","given":"Giannis","non-dropping-particle":"","parse-names":false,"suffix":""}],"container-title":"Physical Therapy in Sport","id":"ITEM-1","issued":{"date-parts":[["2018"]]},"page":"121-128","publisher":"Elsevier B.V.","title":"Low load resistance training with blood flow restriction decreases anterior knee pain more than resistance training alone. A pilot randomised controlled trial","type":"article-journal","volume":"34"},"uris":["http://www.mendeley.com/documents/?uuid=dedd7947-f03f-4e20-8ed8-bc7059474a61"]},{"id":"ITEM-2","itemData":{"DOI":"10.1016/j.ptsp.2018.05.021","author":[{"dropping-particle":"","family":"Korakakis","given":"Vasileios","non-dropping-particle":"","parse-names":false,"suffix":""},{"dropping-particle":"","family":"Whiteley","given":"Rodney","non-dropping-particle":"","parse-names":false,"suffix":""},{"dropping-particle":"","family":"Epameinontidis","given":"Konstantinos","non-dropping-particle":"","parse-names":false,"suffix":""}],"container-title":"Physical Therapy in Sport","id":"ITEM-2","issued":{"date-parts":[["2018"]]},"page":"235-243","publisher":"Elsevier Ltd","title":"Blood Flow Restriction induces hypoalgesia in recreationally active adult male anterior knee pain patients allowing therapeutic exercise loading","type":"article-journal","volume":"32"},"uris":["http://www.mendeley.com/documents/?uuid=fcf8d2b9-cc8f-41dd-8424-f9b05869734d"]}],"mendeley":{"formattedCitation":"(41, 42)","plainTextFormattedCitation":"(41, 42)","previouslyFormattedCitation":"(41, 42)"},"properties":{"noteIndex":0},"schema":"https://github.com/citation-style-language/schema/raw/master/csl-citation.json"}</w:instrText>
      </w:r>
      <w:r w:rsidR="008859CB"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(41, 42)</w:t>
      </w:r>
      <w:r w:rsidR="008859CB" w:rsidRPr="008072C7">
        <w:rPr>
          <w:rFonts w:ascii="Arial" w:hAnsi="Arial" w:cs="Arial"/>
          <w:color w:val="000000" w:themeColor="text1"/>
          <w:sz w:val="20"/>
          <w:szCs w:val="20"/>
        </w:rPr>
        <w:fldChar w:fldCharType="end"/>
      </w:r>
      <w:r w:rsidR="005D4E6F" w:rsidRPr="008072C7">
        <w:rPr>
          <w:rFonts w:ascii="Arial" w:hAnsi="Arial" w:cs="Arial"/>
          <w:color w:val="000000" w:themeColor="text1"/>
          <w:sz w:val="20"/>
          <w:szCs w:val="20"/>
        </w:rPr>
        <w:t xml:space="preserve"> and has been shown to reduce pain across a training programme in individuals with a knee pathology </w:t>
      </w:r>
      <w:r w:rsidR="005D4E6F"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{"citationItems":[{"id":"ITEM-1","itemData":{"DOI":"10.1136/bjsports-2016-096329","ISBN":"0306-3674","ISSN":"14730480","PMID":"28500081","abstract":"BACKGROUND Quadriceps strengthening exercises are part of the treatment of patellofemoral pain (PFP), but the heavy resistance exercises may aggravate knee pain. Blood flow restriction (BFR) training may provide a low-load quadriceps strengthening method to treat PFP. METHODS Seventy-nine participants were randomly allocated to a standardised quadriceps strengthening (standard) or low-load BFR. Both groups performed 8 weeks of leg press and leg extension, the standard group at 70% of 1 repetition maximum (1RM) and the BFR group at 30% of 1RM. Interventions were compared using repeated-measures analysis of variance for Kujala Patellofemoral Score, Visual Analogue Scale for 'worst pain' and 'pain with daily activity', isometric knee extensor torque (Newton metre) and quadriceps muscle thickness (cm). Subgroup analyses were performed on those participants with painful resisted knee extension at 60°. RESULTS Sixty-nine participants (87%) completed the study (standard, n=34; BFR, n=35). The BFR group had a 93% greater reduction in pain with activities of daily living (p=0.02) than the standard group. Participants with painful resisted knee extension (n=39) had greater increases in knee extensor torque with BFR than standard (p&lt;0.01). No between-group differences were found for change in Kujala Patellofemoral Score (p=0.31), worst pain (p=0.24), knee extensor torque (p=0.07) or quadriceps thickness (p=0.2). No difference was found between interventions at 6 months. CONCLUSION Compared with standard quadriceps strengthening, low load with BFR produced greater reduction in pain with daily living at 8 weeks in people with PFP. Improvements were similar between groups in worst pain and Kujala score. The subgroup with painful resisted knee extension had larger improvements in quadriceps strength from BFR. TRIAL REGISTRATION NUMBER 12614001164684.","author":[{"dropping-particle":"","family":"Giles","given":"Lachlan","non-dropping-particle":"","parse-names":false,"suffix":""},{"dropping-particle":"","family":"Webster","given":"Kate E.","non-dropping-particle":"","parse-names":false,"suffix":""},{"dropping-particle":"","family":"Mcclelland","given":"Jodie","non-dropping-particle":"","parse-names":false,"suffix":""},{"dropping-particle":"","family":"Cook","given":"Jill L.","non-dropping-particle":"","parse-names":false,"suffix":""}],"container-title":"British Journal of Sports Medicine","id":"ITEM-1","issue":"23","issued":{"date-parts":[["2017"]]},"page":"1688-1694","title":"Quadriceps strengthening with and without blood flow restriction in the treatment of patellofemoral pain: A double-blind randomised trial","type":"article-journal","volume":"51"},"uris":["http://www.mendeley.com/documents/?uuid=90681d34-de6d-46d5-b904-cfe0f02dc07d"]},{"id":"ITEM-2","itemData":{"DOI":"10.1249/MSS.0000000000001530","ISBN":"0000000000","ISSN":"15300315","abstract":"PURPOSE Evaluate the effects of a low-intensity resistance training (LI-RT) program associated with partial blood flow restriction on selected clinical outcomes in patients with knee osteoarthritis (OA). METHODS Forty-eight women with knee OA were randomized into one of the three groups: LI-RT (30% one repetition maximum [1-RM]) associated (blood flow restriction training [BFRT]) or not (LI-RT) with partial blood flow restriction, and high-intensity resistance training (HI-RT, 80% 1-RM). Patients underwent a 12-wk supervised training program and were assessed for lower-limb 1-RM, quadriceps cross-sectional area, functionality (timed-stands test and timed-up-and-go test), and disease-specific inventory (Western Ontario and McMaster Universities Osteoarthritis Index [WOMAC]) before (PRE) and after (POST) the protocol. RESULTS Similar within-group increases were observed in leg press (26% and 33%, all P &lt; 0.0001), knee extension 1-RM (23% and 22%; all P &lt; 0.0001) and cross-sectional area (7% and 8%; all P &lt; 0.0001) in BFRT and HI-RT, respectively, and these were significantly greater (all P &lt; 0.05) than those of LI-RT. The BFRT and HI-RT showed comparable improvements in timed-stands test (7% and 14%, respectively), with the latter showing greater increases than LI-RT. Timed-up-and-go test scores were not significantly changed within or between groups. WOMAC physical function was improved in BFRT and HI-RT (-49% and -42%, respectively; all P &lt; 0.05), and WOMAC pain was improved in BFRT and LI-RT (-45% and -39%, respectively; all P &lt; 0.05). Four patients (of 16) were excluded due to exercise-induced knee pain in HI-RT. CONCLUSIONS Blood flow restriction training and HI-RT were similarly effective in increasing muscle strength, quadriceps muscle mass, and functionality in knee OA patients. Importantly, BFRT was also able to improve pain while inducing less joint stress, emerging as a feasible and effective therapeutic adjuvant in OA management.","author":[{"dropping-particle":"","family":"Ferraz","given":"Rodrigo Branco","non-dropping-particle":"","parse-names":false,"suffix":""},{"dropping-particle":"","family":"Gualano","given":"Bruno","non-dropping-particle":"","parse-names":false,"suffix":""},{"dropping-particle":"","family":"Rodrigues","given":"Reynaldo","non-dropping-particle":"","parse-names":false,"suffix":""},{"dropping-particle":"","family":"Kurimori","given":"Ceci Obara","non-dropping-particle":"","parse-names":false,"suffix":""},{"dropping-particle":"","family":"Fuller","given":"Ricardo","non-dropping-particle":"","parse-names":false,"suffix":""},{"dropping-particle":"","family":"Lima","given":"Fernanda Rodrigues","non-dropping-particle":"","parse-names":false,"suffix":""},{"dropping-particle":"","family":"Sá-Pinto","given":"Ana Lúcia","non-dropping-particle":"De","parse-names":false,"suffix":""},{"dropping-particle":"","family":"Roschel","given":"Hamilton","non-dropping-particle":"","parse-names":false,"suffix":""}],"container-title":"Medicine and Science in Sports and Exercise","id":"ITEM-2","issue":"5","issued":{"date-parts":[["2017"]]},"number-of-pages":"897-905","title":"Benefits of Resistance Training with Blood Flow Restriction in Knee Osteoarthritis","type":"book","volume":"50"},"uris":["http://www.mendeley.com/documents/?uuid=91d13432-e2c4-4125-8ece-100c6a0fbe38"]},{"id":"ITEM-3","itemData":{"DOI":"10.1007/s40279-019-01137-2","author":[{"dropping-particle":"","family":"Hughes","given":"Luke","non-dropping-particle":"","parse-names":false,"suffix":""},{"dropping-particle":"","family":"Rosenblatt","given":"Benjamin","non-dropping-particle":"","parse-names":false,"suffix":""},{"dropping-particle":"","family":"Haddad","given":"Fares","non-dropping-particle":"","parse-names":false,"suffix":""},{"dropping-particle":"","family":"Gissane","given":"Conor","non-dropping-particle":"","parse-names":false,"suffix":""},{"dropping-particle":"","family":"McCarthy","given":"Daniel","non-dropping-particle":"","parse-names":false,"suffix":""},{"dropping-particle":"","family":"Clarke","given":"Thomas","non-dropping-particle":"","parse-names":false,"suffix":""},{"dropping-particle":"","family":"Ferris","given":"Graham","non-dropping-particle":"","parse-names":false,"suffix":""},{"dropping-particle":"","family":"Dawes","given":"Joanna","non-dropping-particle":"","parse-names":false,"suffix":""},{"dropping-particle":"","family":"Paton","given":"Bruce","non-dropping-particle":"","parse-names":false,"suffix":""},{"dropping-particle":"","family":"Patterson","given":"Stephen David","non-dropping-particle":"","parse-names":false,"suffix":""}],"container-title":"Sports Medicine","id":"ITEM-3","issue":"11","issued":{"date-parts":[["2019"]]},"page":"1787-1805","title":"Comparing the Effectiveness of Blood Flow Restriction and Traditional Heavy Load Resistance Training in the Post-Surgery Rehabilitation of Anterior Cruciate Ligament Reconstruction Patients: A UK National Health Service Randomised Controlled Trial","type":"article-journal","volume":"49"},"uris":["http://www.mendeley.com/documents/?uuid=e388b49f-11a0-485d-ac33-e9f486bc0f83"]}],"mendeley":{"formattedCitation":"(9, 15, 31)","plainTextFormattedCitation":"(9, 15, 31)","previouslyFormattedCitation":"(9, 15, 31)"},"properties":{"noteIndex":0},"schema":"https://github.com/citation-style-language/schema/raw/master/csl-citation.json"}</w:instrText>
      </w:r>
      <w:r w:rsidR="005D4E6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(9, 15, 31)</w:t>
      </w:r>
      <w:r w:rsidR="005D4E6F" w:rsidRPr="008072C7">
        <w:rPr>
          <w:rFonts w:ascii="Arial" w:hAnsi="Arial" w:cs="Arial"/>
          <w:color w:val="000000" w:themeColor="text1"/>
          <w:sz w:val="20"/>
          <w:szCs w:val="20"/>
        </w:rPr>
        <w:fldChar w:fldCharType="end"/>
      </w:r>
      <w:r w:rsidR="005D4E6F" w:rsidRPr="008072C7">
        <w:rPr>
          <w:rFonts w:ascii="Arial" w:hAnsi="Arial" w:cs="Arial"/>
          <w:color w:val="000000" w:themeColor="text1"/>
          <w:sz w:val="20"/>
          <w:szCs w:val="20"/>
        </w:rPr>
        <w:t>.</w:t>
      </w:r>
      <w:r w:rsidR="00CE3CA3" w:rsidRPr="008072C7">
        <w:rPr>
          <w:rFonts w:ascii="Arial" w:hAnsi="Arial" w:cs="Arial"/>
          <w:color w:val="000000" w:themeColor="text1"/>
          <w:sz w:val="20"/>
          <w:szCs w:val="20"/>
        </w:rPr>
        <w:t xml:space="preserve"> </w:t>
      </w:r>
      <w:r w:rsidR="0065408D" w:rsidRPr="008072C7">
        <w:rPr>
          <w:rFonts w:ascii="Arial" w:hAnsi="Arial" w:cs="Arial"/>
          <w:color w:val="000000" w:themeColor="text1"/>
          <w:sz w:val="20"/>
          <w:szCs w:val="20"/>
        </w:rPr>
        <w:t>For load compromised and rehabilitating populations with chronic pain that cannot withstand high intensity exercise or low intensity exercise to failure, BFR-RE would therefore have a dual effect for pain and muscular adaptations</w:t>
      </w:r>
      <w:r w:rsidR="00CE3CA3" w:rsidRPr="008072C7">
        <w:rPr>
          <w:rFonts w:ascii="Arial" w:hAnsi="Arial" w:cs="Arial"/>
          <w:color w:val="000000" w:themeColor="text1"/>
          <w:sz w:val="20"/>
          <w:szCs w:val="20"/>
        </w:rPr>
        <w:t>. However</w:t>
      </w:r>
      <w:r w:rsidR="005C4753" w:rsidRPr="008072C7">
        <w:rPr>
          <w:rFonts w:ascii="Arial" w:hAnsi="Arial" w:cs="Arial"/>
          <w:color w:val="000000" w:themeColor="text1"/>
          <w:sz w:val="20"/>
          <w:szCs w:val="20"/>
        </w:rPr>
        <w:t xml:space="preserve"> </w:t>
      </w:r>
      <w:r w:rsidR="00286E9F" w:rsidRPr="008072C7">
        <w:rPr>
          <w:rFonts w:ascii="Arial" w:hAnsi="Arial" w:cs="Arial"/>
          <w:color w:val="000000" w:themeColor="text1"/>
          <w:sz w:val="20"/>
          <w:szCs w:val="20"/>
        </w:rPr>
        <w:t>the</w:t>
      </w:r>
      <w:r w:rsidR="00EC2AC4" w:rsidRPr="008072C7">
        <w:rPr>
          <w:rFonts w:ascii="Arial" w:hAnsi="Arial" w:cs="Arial"/>
          <w:color w:val="000000" w:themeColor="text1"/>
          <w:sz w:val="20"/>
          <w:szCs w:val="20"/>
        </w:rPr>
        <w:t xml:space="preserve"> </w:t>
      </w:r>
      <w:r w:rsidR="0065408D" w:rsidRPr="008072C7">
        <w:rPr>
          <w:rFonts w:ascii="Arial" w:hAnsi="Arial" w:cs="Arial"/>
          <w:color w:val="000000" w:themeColor="text1"/>
          <w:sz w:val="20"/>
          <w:szCs w:val="20"/>
        </w:rPr>
        <w:t xml:space="preserve">magnitude of EIH with BFR-RE </w:t>
      </w:r>
      <w:r w:rsidR="005C4753" w:rsidRPr="008072C7">
        <w:rPr>
          <w:rFonts w:ascii="Arial" w:hAnsi="Arial" w:cs="Arial"/>
          <w:color w:val="000000" w:themeColor="text1"/>
          <w:sz w:val="20"/>
          <w:szCs w:val="20"/>
        </w:rPr>
        <w:t>compared</w:t>
      </w:r>
      <w:r w:rsidR="004243B7" w:rsidRPr="008072C7">
        <w:rPr>
          <w:rFonts w:ascii="Arial" w:hAnsi="Arial" w:cs="Arial"/>
          <w:color w:val="000000" w:themeColor="text1"/>
          <w:sz w:val="20"/>
          <w:szCs w:val="20"/>
        </w:rPr>
        <w:t xml:space="preserve"> to</w:t>
      </w:r>
      <w:r w:rsidR="0065408D" w:rsidRPr="008072C7">
        <w:rPr>
          <w:rFonts w:ascii="Arial" w:hAnsi="Arial" w:cs="Arial"/>
          <w:color w:val="000000" w:themeColor="text1"/>
          <w:sz w:val="20"/>
          <w:szCs w:val="20"/>
        </w:rPr>
        <w:t xml:space="preserve"> an equivalent form of exercise at both low and high intensit</w:t>
      </w:r>
      <w:r w:rsidR="004243B7" w:rsidRPr="008072C7">
        <w:rPr>
          <w:rFonts w:ascii="Arial" w:hAnsi="Arial" w:cs="Arial"/>
          <w:color w:val="000000" w:themeColor="text1"/>
          <w:sz w:val="20"/>
          <w:szCs w:val="20"/>
        </w:rPr>
        <w:t>ies has not been examined</w:t>
      </w:r>
      <w:r w:rsidR="00286E9F" w:rsidRPr="008072C7">
        <w:rPr>
          <w:rFonts w:ascii="Arial" w:hAnsi="Arial" w:cs="Arial"/>
          <w:color w:val="000000" w:themeColor="text1"/>
          <w:sz w:val="20"/>
          <w:szCs w:val="20"/>
        </w:rPr>
        <w:t xml:space="preserve">, </w:t>
      </w:r>
      <w:r w:rsidR="005C4753" w:rsidRPr="008072C7">
        <w:rPr>
          <w:rFonts w:ascii="Arial" w:hAnsi="Arial" w:cs="Arial"/>
          <w:color w:val="000000" w:themeColor="text1"/>
          <w:sz w:val="20"/>
          <w:szCs w:val="20"/>
        </w:rPr>
        <w:t>and the effect on the opioid and ECB systems is unknown</w:t>
      </w:r>
      <w:r w:rsidR="008F7B0F" w:rsidRPr="008072C7">
        <w:rPr>
          <w:rFonts w:ascii="Arial" w:hAnsi="Arial" w:cs="Arial"/>
          <w:color w:val="000000" w:themeColor="text1"/>
          <w:sz w:val="20"/>
          <w:szCs w:val="20"/>
        </w:rPr>
        <w:t xml:space="preserve"> </w:t>
      </w:r>
      <w:r w:rsidR="008F7B0F"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mehy.2019.109370","ISSN":"03069877","author":[{"dropping-particle":"","family":"Hughes","given":"Luke","non-dropping-particle":"","parse-names":false,"suffix":""},{"dropping-particle":"","family":"Patterson","given":"Stephen David","non-dropping-particle":"","parse-names":false,"suffix":""}],"container-title":"Medical Hypotheses","id":"ITEM-1","issued":{"date-parts":[["2019"]]},"page":"109370","title":"Low intensity blood flow restriction exercise: Rationale for a hypoalgesia effect","type":"article-journal","volume":"132"},"uris":["http://www.mendeley.com/documents/?uuid=588c1dcc-3792-47e8-a6dd-e33b6f09998a"]}],"mendeley":{"formattedCitation":"(27)","plainTextFormattedCitation":"(27)","previouslyFormattedCitation":"(27)"},"properties":{"noteIndex":0},"schema":"https://github.com/citation-style-language/schema/raw/master/csl-citation.json"}</w:instrText>
      </w:r>
      <w:r w:rsidR="008F7B0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(27)</w:t>
      </w:r>
      <w:r w:rsidR="008F7B0F" w:rsidRPr="008072C7">
        <w:rPr>
          <w:rFonts w:ascii="Arial" w:hAnsi="Arial" w:cs="Arial"/>
          <w:color w:val="000000" w:themeColor="text1"/>
          <w:sz w:val="20"/>
          <w:szCs w:val="20"/>
        </w:rPr>
        <w:fldChar w:fldCharType="end"/>
      </w:r>
      <w:r w:rsidR="005C4753" w:rsidRPr="008072C7">
        <w:rPr>
          <w:rFonts w:ascii="Arial" w:hAnsi="Arial" w:cs="Arial"/>
          <w:color w:val="000000" w:themeColor="text1"/>
          <w:sz w:val="20"/>
          <w:szCs w:val="20"/>
        </w:rPr>
        <w:t>.</w:t>
      </w:r>
      <w:r w:rsidR="00FD046A" w:rsidRPr="008072C7">
        <w:rPr>
          <w:rFonts w:ascii="Arial" w:hAnsi="Arial" w:cs="Arial"/>
          <w:color w:val="000000" w:themeColor="text1"/>
          <w:sz w:val="20"/>
          <w:szCs w:val="20"/>
        </w:rPr>
        <w:t xml:space="preserve"> In addition, research shows that higher BFR pressures augment various acute responses to BFR-RE compared to lower pressures </w:t>
      </w:r>
      <w:r w:rsidR="00FD046A"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{"citationItems":[{"id":"ITEM-1","itemData":{"DOI":"10.3389/fphys.2019.01018","ISSN":"1664-042X","author":[{"dropping-particle":"","family":"Ilett","given":"Michael J.","non-dropping-particle":"","parse-names":false,"suffix":""},{"dropping-particle":"","family":"Rantalainen","given":"Timo","non-dropping-particle":"","parse-names":false,"suffix":""},{"dropping-particle":"","family":"Keske","given":"Michelle A.","non-dropping-particle":"","parse-names":false,"suffix":""},{"dropping-particle":"","family":"May","given":"Anthony K.","non-dropping-particle":"","parse-names":false,"suffix":""},{"dropping-particle":"","family":"Warmington","given":"Stuart A.","non-dropping-particle":"","parse-names":false,"suffix":""}],"container-title":"Frontiers in Physiology","id":"ITEM-1","issue":"1018","issued":{"date-parts":[["2019"]]},"page":"1-11","title":"The Effects of Restriction Pressures on the Acute Responses to Blood Flow Restriction Exercise","type":"article-journal","volume":"10"},"uris":["http://www.mendeley.com/documents/?uuid=e7d4ce4b-a153-494e-be05-797dab8e6030"]}],"mendeley":{"formattedCitation":"(32)","plainTextFormattedCitation":"(32)","previouslyFormattedCitation":"(32)"},"properties":{"noteIndex":0},"schema":"https://github.com/citation-style-language/schema/raw/master/csl-citation.json"}</w:instrText>
      </w:r>
      <w:r w:rsidR="00FD046A"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(32)</w:t>
      </w:r>
      <w:r w:rsidR="00FD046A" w:rsidRPr="008072C7">
        <w:rPr>
          <w:rFonts w:ascii="Arial" w:hAnsi="Arial" w:cs="Arial"/>
          <w:color w:val="000000" w:themeColor="text1"/>
          <w:sz w:val="20"/>
          <w:szCs w:val="20"/>
        </w:rPr>
        <w:fldChar w:fldCharType="end"/>
      </w:r>
      <w:r w:rsidR="00FD046A" w:rsidRPr="008072C7">
        <w:rPr>
          <w:rFonts w:ascii="Arial" w:hAnsi="Arial" w:cs="Arial"/>
          <w:color w:val="000000" w:themeColor="text1"/>
          <w:sz w:val="20"/>
          <w:szCs w:val="20"/>
        </w:rPr>
        <w:t xml:space="preserve">, </w:t>
      </w:r>
      <w:r w:rsidR="00465199" w:rsidRPr="008072C7">
        <w:rPr>
          <w:rFonts w:ascii="Arial" w:hAnsi="Arial" w:cs="Arial"/>
          <w:color w:val="000000" w:themeColor="text1"/>
          <w:sz w:val="20"/>
          <w:szCs w:val="20"/>
        </w:rPr>
        <w:t>however it is not yet known if pressure affects the acute EIH response to BFR-RE.</w:t>
      </w:r>
      <w:r w:rsidR="00B736EF" w:rsidRPr="008072C7">
        <w:rPr>
          <w:rFonts w:ascii="Arial" w:hAnsi="Arial" w:cs="Arial"/>
          <w:color w:val="000000" w:themeColor="text1"/>
          <w:sz w:val="20"/>
          <w:szCs w:val="20"/>
        </w:rPr>
        <w:t xml:space="preserve"> </w:t>
      </w:r>
      <w:r w:rsidR="004243B7" w:rsidRPr="008072C7">
        <w:rPr>
          <w:rFonts w:ascii="Arial" w:hAnsi="Arial" w:cs="Arial"/>
          <w:color w:val="000000" w:themeColor="text1"/>
          <w:sz w:val="20"/>
          <w:szCs w:val="20"/>
        </w:rPr>
        <w:t>Therefore,</w:t>
      </w:r>
      <w:r w:rsidR="00745190" w:rsidRPr="008072C7">
        <w:rPr>
          <w:rFonts w:ascii="Arial" w:hAnsi="Arial" w:cs="Arial"/>
          <w:color w:val="000000" w:themeColor="text1"/>
          <w:sz w:val="20"/>
          <w:szCs w:val="20"/>
        </w:rPr>
        <w:t xml:space="preserve"> the aim of this study w</w:t>
      </w:r>
      <w:r w:rsidR="00B736EF" w:rsidRPr="008072C7">
        <w:rPr>
          <w:rFonts w:ascii="Arial" w:hAnsi="Arial" w:cs="Arial"/>
          <w:color w:val="000000" w:themeColor="text1"/>
          <w:sz w:val="20"/>
          <w:szCs w:val="20"/>
        </w:rPr>
        <w:t>as</w:t>
      </w:r>
      <w:r w:rsidR="00745190" w:rsidRPr="008072C7">
        <w:rPr>
          <w:rFonts w:ascii="Arial" w:hAnsi="Arial" w:cs="Arial"/>
          <w:color w:val="000000" w:themeColor="text1"/>
          <w:sz w:val="20"/>
          <w:szCs w:val="20"/>
        </w:rPr>
        <w:t xml:space="preserve"> </w:t>
      </w:r>
      <w:r w:rsidR="0065241A" w:rsidRPr="008072C7">
        <w:rPr>
          <w:rFonts w:ascii="Arial" w:hAnsi="Arial" w:cs="Arial"/>
          <w:color w:val="000000" w:themeColor="text1"/>
          <w:sz w:val="20"/>
          <w:szCs w:val="20"/>
        </w:rPr>
        <w:t xml:space="preserve">to </w:t>
      </w:r>
      <w:r w:rsidR="00745190" w:rsidRPr="008072C7">
        <w:rPr>
          <w:rFonts w:ascii="Arial" w:hAnsi="Arial" w:cs="Arial"/>
          <w:color w:val="000000" w:themeColor="text1"/>
          <w:sz w:val="20"/>
          <w:szCs w:val="20"/>
        </w:rPr>
        <w:t xml:space="preserve">compare the magnitude of EIH with </w:t>
      </w:r>
      <w:r w:rsidR="00EC2AC4" w:rsidRPr="008072C7">
        <w:rPr>
          <w:rFonts w:ascii="Arial" w:hAnsi="Arial" w:cs="Arial"/>
          <w:color w:val="000000" w:themeColor="text1"/>
          <w:sz w:val="20"/>
          <w:szCs w:val="20"/>
        </w:rPr>
        <w:t>BFR-RE</w:t>
      </w:r>
      <w:r w:rsidR="00B736EF" w:rsidRPr="008072C7">
        <w:rPr>
          <w:rFonts w:ascii="Arial" w:hAnsi="Arial" w:cs="Arial"/>
          <w:color w:val="000000" w:themeColor="text1"/>
          <w:sz w:val="20"/>
          <w:szCs w:val="20"/>
        </w:rPr>
        <w:t xml:space="preserve"> using a low and high pressure </w:t>
      </w:r>
      <w:r w:rsidR="00EC2AC4" w:rsidRPr="008072C7">
        <w:rPr>
          <w:rFonts w:ascii="Arial" w:hAnsi="Arial" w:cs="Arial"/>
          <w:color w:val="000000" w:themeColor="text1"/>
          <w:sz w:val="20"/>
          <w:szCs w:val="20"/>
        </w:rPr>
        <w:t xml:space="preserve">to </w:t>
      </w:r>
      <w:r w:rsidR="00691FC1" w:rsidRPr="008072C7">
        <w:rPr>
          <w:rFonts w:ascii="Arial" w:hAnsi="Arial" w:cs="Arial"/>
          <w:color w:val="000000" w:themeColor="text1"/>
          <w:sz w:val="20"/>
          <w:szCs w:val="20"/>
        </w:rPr>
        <w:t>resistance exercise at both low and high intensities</w:t>
      </w:r>
      <w:r w:rsidR="00B736EF" w:rsidRPr="008072C7">
        <w:rPr>
          <w:rFonts w:ascii="Arial" w:hAnsi="Arial" w:cs="Arial"/>
          <w:color w:val="000000" w:themeColor="text1"/>
          <w:sz w:val="20"/>
          <w:szCs w:val="20"/>
        </w:rPr>
        <w:t xml:space="preserve">. </w:t>
      </w:r>
      <w:r w:rsidR="002961EF" w:rsidRPr="008072C7">
        <w:rPr>
          <w:rFonts w:ascii="Arial" w:hAnsi="Arial" w:cs="Arial"/>
          <w:color w:val="000000" w:themeColor="text1"/>
          <w:sz w:val="20"/>
          <w:szCs w:val="20"/>
        </w:rPr>
        <w:t>It was hypothesised that BFR-RE would increase the EIH response compared to LLRE</w:t>
      </w:r>
      <w:r w:rsidR="00B736EF" w:rsidRPr="008072C7">
        <w:rPr>
          <w:rFonts w:ascii="Arial" w:hAnsi="Arial" w:cs="Arial"/>
          <w:color w:val="000000" w:themeColor="text1"/>
          <w:sz w:val="20"/>
          <w:szCs w:val="20"/>
        </w:rPr>
        <w:t xml:space="preserve">, which would be augmented to a </w:t>
      </w:r>
      <w:r w:rsidR="002961EF" w:rsidRPr="008072C7">
        <w:rPr>
          <w:rFonts w:ascii="Arial" w:hAnsi="Arial" w:cs="Arial"/>
          <w:color w:val="000000" w:themeColor="text1"/>
          <w:sz w:val="20"/>
          <w:szCs w:val="20"/>
        </w:rPr>
        <w:t>similar level as HLRE</w:t>
      </w:r>
      <w:r w:rsidR="00B736EF" w:rsidRPr="008072C7">
        <w:rPr>
          <w:rFonts w:ascii="Arial" w:hAnsi="Arial" w:cs="Arial"/>
          <w:color w:val="000000" w:themeColor="text1"/>
          <w:sz w:val="20"/>
          <w:szCs w:val="20"/>
        </w:rPr>
        <w:t xml:space="preserve"> by use of a higher pressure.</w:t>
      </w:r>
      <w:r w:rsidR="00725333" w:rsidRPr="008072C7">
        <w:rPr>
          <w:rFonts w:ascii="Arial" w:hAnsi="Arial" w:cs="Arial"/>
          <w:color w:val="000000" w:themeColor="text1"/>
          <w:sz w:val="20"/>
          <w:szCs w:val="20"/>
        </w:rPr>
        <w:t xml:space="preserve"> To understand the mechanisms driving EIH, we examined the response of the opioid and ECB systems</w:t>
      </w:r>
      <w:r w:rsidR="00CE0605" w:rsidRPr="008072C7">
        <w:rPr>
          <w:rFonts w:ascii="Arial" w:hAnsi="Arial" w:cs="Arial"/>
          <w:color w:val="000000" w:themeColor="text1"/>
          <w:sz w:val="20"/>
          <w:szCs w:val="20"/>
        </w:rPr>
        <w:t xml:space="preserve"> and muscle discomfort during exercise and employed mediation analyses to assess how much of the measured effect of the independent variable (exercise intervention) on the dependent variable (hypoalgesia) is </w:t>
      </w:r>
      <w:r w:rsidR="00CE0605" w:rsidRPr="008072C7">
        <w:rPr>
          <w:rFonts w:ascii="Arial" w:hAnsi="Arial" w:cs="Arial"/>
          <w:color w:val="000000" w:themeColor="text1"/>
          <w:sz w:val="20"/>
          <w:szCs w:val="20"/>
        </w:rPr>
        <w:lastRenderedPageBreak/>
        <w:t>attributable to each of the potential mediator variables (opioid production, endocannabinoid production and muscle discomfort).</w:t>
      </w:r>
    </w:p>
    <w:p w14:paraId="0526239F" w14:textId="7343ACEC" w:rsidR="00AD630B" w:rsidRPr="008072C7" w:rsidRDefault="00673CE3" w:rsidP="00AA6C48">
      <w:pPr>
        <w:pStyle w:val="Header"/>
        <w:rPr>
          <w:rFonts w:ascii="Arial" w:hAnsi="Arial" w:cs="Arial"/>
          <w:color w:val="000000" w:themeColor="text1"/>
          <w:sz w:val="20"/>
          <w:szCs w:val="20"/>
        </w:rPr>
      </w:pPr>
      <w:r w:rsidRPr="008072C7">
        <w:rPr>
          <w:rFonts w:ascii="Arial" w:hAnsi="Arial" w:cs="Arial"/>
          <w:color w:val="000000" w:themeColor="text1"/>
          <w:sz w:val="20"/>
          <w:szCs w:val="20"/>
        </w:rPr>
        <w:t>Materials and methods</w:t>
      </w:r>
    </w:p>
    <w:p w14:paraId="347AECD5" w14:textId="58097F0B" w:rsidR="00AD630B" w:rsidRPr="008072C7" w:rsidRDefault="00AD630B" w:rsidP="00AA6C48">
      <w:pPr>
        <w:pStyle w:val="Heading2"/>
        <w:rPr>
          <w:rStyle w:val="Strong"/>
          <w:rFonts w:ascii="Arial" w:hAnsi="Arial" w:cs="Arial"/>
          <w:b/>
          <w:bCs w:val="0"/>
          <w:sz w:val="20"/>
          <w:szCs w:val="20"/>
        </w:rPr>
      </w:pPr>
      <w:r w:rsidRPr="008072C7">
        <w:rPr>
          <w:rStyle w:val="Strong"/>
          <w:rFonts w:ascii="Arial" w:hAnsi="Arial" w:cs="Arial"/>
          <w:b/>
          <w:bCs w:val="0"/>
          <w:sz w:val="20"/>
          <w:szCs w:val="20"/>
        </w:rPr>
        <w:t>Participant</w:t>
      </w:r>
      <w:r w:rsidR="00B227F4" w:rsidRPr="008072C7">
        <w:rPr>
          <w:rStyle w:val="Strong"/>
          <w:rFonts w:ascii="Arial" w:hAnsi="Arial" w:cs="Arial"/>
          <w:b/>
          <w:bCs w:val="0"/>
          <w:sz w:val="20"/>
          <w:szCs w:val="20"/>
        </w:rPr>
        <w:t xml:space="preserve"> information</w:t>
      </w:r>
    </w:p>
    <w:p w14:paraId="0ABDF271" w14:textId="178E5115" w:rsidR="000777B1" w:rsidRPr="008072C7" w:rsidRDefault="00A44F1D"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Twelve </w:t>
      </w:r>
      <w:r w:rsidR="0002598C" w:rsidRPr="008072C7">
        <w:rPr>
          <w:rFonts w:ascii="Arial" w:hAnsi="Arial" w:cs="Arial"/>
          <w:color w:val="000000" w:themeColor="text1"/>
          <w:sz w:val="20"/>
          <w:szCs w:val="20"/>
        </w:rPr>
        <w:t xml:space="preserve">recreationally active </w:t>
      </w:r>
      <w:r w:rsidR="00671DE2" w:rsidRPr="008072C7">
        <w:rPr>
          <w:rFonts w:ascii="Arial" w:hAnsi="Arial" w:cs="Arial"/>
          <w:color w:val="000000" w:themeColor="text1"/>
          <w:sz w:val="20"/>
          <w:szCs w:val="20"/>
        </w:rPr>
        <w:t>individuals</w:t>
      </w:r>
      <w:r w:rsidR="006D0966" w:rsidRPr="008072C7">
        <w:rPr>
          <w:rFonts w:ascii="Arial" w:hAnsi="Arial" w:cs="Arial"/>
          <w:color w:val="000000" w:themeColor="text1"/>
          <w:sz w:val="20"/>
          <w:szCs w:val="20"/>
        </w:rPr>
        <w:t xml:space="preserve"> (mean ± standard deviation: </w:t>
      </w:r>
      <w:r w:rsidR="00516744" w:rsidRPr="008072C7">
        <w:rPr>
          <w:rFonts w:ascii="Arial" w:hAnsi="Arial" w:cs="Arial"/>
          <w:color w:val="000000" w:themeColor="text1"/>
          <w:sz w:val="20"/>
          <w:szCs w:val="20"/>
        </w:rPr>
        <w:t>age = 29 ± 6 y; height = 1</w:t>
      </w:r>
      <w:r w:rsidR="00E37E62" w:rsidRPr="008072C7">
        <w:rPr>
          <w:rFonts w:ascii="Arial" w:hAnsi="Arial" w:cs="Arial"/>
          <w:color w:val="000000" w:themeColor="text1"/>
          <w:sz w:val="20"/>
          <w:szCs w:val="20"/>
        </w:rPr>
        <w:t>.78</w:t>
      </w:r>
      <w:r w:rsidR="00516744" w:rsidRPr="008072C7">
        <w:rPr>
          <w:rFonts w:ascii="Arial" w:hAnsi="Arial" w:cs="Arial"/>
          <w:color w:val="000000" w:themeColor="text1"/>
          <w:sz w:val="20"/>
          <w:szCs w:val="20"/>
        </w:rPr>
        <w:t xml:space="preserve"> ± </w:t>
      </w:r>
      <w:r w:rsidR="00E37E62" w:rsidRPr="008072C7">
        <w:rPr>
          <w:rFonts w:ascii="Arial" w:hAnsi="Arial" w:cs="Arial"/>
          <w:color w:val="000000" w:themeColor="text1"/>
          <w:sz w:val="20"/>
          <w:szCs w:val="20"/>
        </w:rPr>
        <w:t>0.08</w:t>
      </w:r>
      <w:r w:rsidR="00516744" w:rsidRPr="008072C7">
        <w:rPr>
          <w:rFonts w:ascii="Arial" w:hAnsi="Arial" w:cs="Arial"/>
          <w:color w:val="000000" w:themeColor="text1"/>
          <w:sz w:val="20"/>
          <w:szCs w:val="20"/>
        </w:rPr>
        <w:t xml:space="preserve"> m; weight = 81.1 ± 10.7 kg; body mass index = 26.07 ± </w:t>
      </w:r>
      <w:r w:rsidR="00880499" w:rsidRPr="008072C7">
        <w:rPr>
          <w:rFonts w:ascii="Arial" w:hAnsi="Arial" w:cs="Arial"/>
          <w:color w:val="000000" w:themeColor="text1"/>
          <w:sz w:val="20"/>
          <w:szCs w:val="20"/>
        </w:rPr>
        <w:t>3</w:t>
      </w:r>
      <w:r w:rsidR="00516744" w:rsidRPr="008072C7">
        <w:rPr>
          <w:rFonts w:ascii="Arial" w:hAnsi="Arial" w:cs="Arial"/>
          <w:color w:val="000000" w:themeColor="text1"/>
          <w:sz w:val="20"/>
          <w:szCs w:val="20"/>
        </w:rPr>
        <w:t>.29</w:t>
      </w:r>
      <w:r w:rsidR="00880499" w:rsidRPr="008072C7">
        <w:rPr>
          <w:rFonts w:ascii="Arial" w:hAnsi="Arial" w:cs="Arial"/>
          <w:color w:val="000000" w:themeColor="text1"/>
          <w:sz w:val="20"/>
          <w:szCs w:val="20"/>
        </w:rPr>
        <w:t>; mean arterial pressure = 76 ± 25 mmHg</w:t>
      </w:r>
      <w:r w:rsidR="00555A57" w:rsidRPr="008072C7">
        <w:rPr>
          <w:rFonts w:ascii="Arial" w:hAnsi="Arial" w:cs="Arial"/>
          <w:color w:val="000000" w:themeColor="text1"/>
          <w:sz w:val="20"/>
          <w:szCs w:val="20"/>
        </w:rPr>
        <w:t>; 1RM = 156 ± 62 kg</w:t>
      </w:r>
      <w:r w:rsidR="000E3580" w:rsidRPr="008072C7">
        <w:rPr>
          <w:rFonts w:ascii="Arial" w:hAnsi="Arial" w:cs="Arial"/>
          <w:color w:val="000000" w:themeColor="text1"/>
          <w:sz w:val="20"/>
          <w:szCs w:val="20"/>
        </w:rPr>
        <w:t xml:space="preserve">; </w:t>
      </w:r>
      <w:r w:rsidR="000E3580" w:rsidRPr="008072C7">
        <w:rPr>
          <w:rFonts w:ascii="Arial" w:hAnsi="Arial" w:cs="Arial"/>
          <w:i/>
          <w:iCs/>
          <w:color w:val="000000" w:themeColor="text1"/>
          <w:sz w:val="20"/>
          <w:szCs w:val="20"/>
        </w:rPr>
        <w:t xml:space="preserve"> n</w:t>
      </w:r>
      <w:r w:rsidR="000E3580" w:rsidRPr="008072C7">
        <w:rPr>
          <w:rFonts w:ascii="Arial" w:hAnsi="Arial" w:cs="Arial"/>
          <w:color w:val="000000" w:themeColor="text1"/>
          <w:sz w:val="20"/>
          <w:szCs w:val="20"/>
        </w:rPr>
        <w:t xml:space="preserve"> males = 10, </w:t>
      </w:r>
      <w:r w:rsidR="000E3580" w:rsidRPr="008072C7">
        <w:rPr>
          <w:rFonts w:ascii="Arial" w:hAnsi="Arial" w:cs="Arial"/>
          <w:i/>
          <w:iCs/>
          <w:color w:val="000000" w:themeColor="text1"/>
          <w:sz w:val="20"/>
          <w:szCs w:val="20"/>
        </w:rPr>
        <w:t xml:space="preserve">n </w:t>
      </w:r>
      <w:r w:rsidR="000E3580" w:rsidRPr="008072C7">
        <w:rPr>
          <w:rFonts w:ascii="Arial" w:hAnsi="Arial" w:cs="Arial"/>
          <w:color w:val="000000" w:themeColor="text1"/>
          <w:sz w:val="20"/>
          <w:szCs w:val="20"/>
        </w:rPr>
        <w:t>females = 2</w:t>
      </w:r>
      <w:r w:rsidR="000777B1" w:rsidRPr="008072C7">
        <w:rPr>
          <w:rFonts w:ascii="Arial" w:hAnsi="Arial" w:cs="Arial"/>
          <w:color w:val="000000" w:themeColor="text1"/>
          <w:sz w:val="20"/>
          <w:szCs w:val="20"/>
        </w:rPr>
        <w:t xml:space="preserve">) </w:t>
      </w:r>
      <w:r w:rsidR="00A679E4" w:rsidRPr="008072C7">
        <w:rPr>
          <w:rFonts w:ascii="Arial" w:hAnsi="Arial" w:cs="Arial"/>
          <w:color w:val="000000" w:themeColor="text1"/>
          <w:sz w:val="20"/>
          <w:szCs w:val="20"/>
        </w:rPr>
        <w:t>were recruited</w:t>
      </w:r>
      <w:r w:rsidR="00671DE2" w:rsidRPr="008072C7">
        <w:rPr>
          <w:rFonts w:ascii="Arial" w:hAnsi="Arial" w:cs="Arial"/>
          <w:color w:val="000000" w:themeColor="text1"/>
          <w:sz w:val="20"/>
          <w:szCs w:val="20"/>
        </w:rPr>
        <w:t xml:space="preserve"> to participa</w:t>
      </w:r>
      <w:r w:rsidR="00A679E4" w:rsidRPr="008072C7">
        <w:rPr>
          <w:rFonts w:ascii="Arial" w:hAnsi="Arial" w:cs="Arial"/>
          <w:color w:val="000000" w:themeColor="text1"/>
          <w:sz w:val="20"/>
          <w:szCs w:val="20"/>
        </w:rPr>
        <w:t>te in this study</w:t>
      </w:r>
      <w:r w:rsidR="00A32890" w:rsidRPr="008072C7">
        <w:rPr>
          <w:rFonts w:ascii="Arial" w:hAnsi="Arial" w:cs="Arial"/>
          <w:color w:val="000000" w:themeColor="text1"/>
          <w:sz w:val="20"/>
          <w:szCs w:val="20"/>
        </w:rPr>
        <w:t xml:space="preserve">. </w:t>
      </w:r>
      <w:r w:rsidR="000777B1" w:rsidRPr="008072C7">
        <w:rPr>
          <w:rFonts w:ascii="Arial" w:hAnsi="Arial" w:cs="Arial"/>
          <w:color w:val="000000" w:themeColor="text1"/>
          <w:sz w:val="20"/>
          <w:szCs w:val="20"/>
        </w:rPr>
        <w:t>All protocols were approved by the University Ethical Committee and participants provided written informed consent in compliance with the Declaration of Helsinki, 7</w:t>
      </w:r>
      <w:r w:rsidR="000777B1" w:rsidRPr="008072C7">
        <w:rPr>
          <w:rFonts w:ascii="Arial" w:hAnsi="Arial" w:cs="Arial"/>
          <w:color w:val="000000" w:themeColor="text1"/>
          <w:sz w:val="20"/>
          <w:szCs w:val="20"/>
          <w:vertAlign w:val="superscript"/>
        </w:rPr>
        <w:t>th</w:t>
      </w:r>
      <w:r w:rsidR="000777B1" w:rsidRPr="008072C7">
        <w:rPr>
          <w:rFonts w:ascii="Arial" w:hAnsi="Arial" w:cs="Arial"/>
          <w:color w:val="000000" w:themeColor="text1"/>
          <w:sz w:val="20"/>
          <w:szCs w:val="20"/>
        </w:rPr>
        <w:t xml:space="preserve"> version, October 2013 </w:t>
      </w:r>
      <w:r w:rsidR="000777B1"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{"citationItems":[{"id":"ITEM-1","itemData":{"DOI":"10.1001/jama.2013.281053","ISBN":"1145-0762 (Print)\\r1145-0762 (Linking)","ISSN":"1538-3598","PMID":"24141714","abstract":"TheWorld Medical Association(WMA)has developed the Dec- laration of Helsinki as a statementof ethical principles formedi- cal research involving human subjects, including research on identifiable human material and data. The Declaration is intended to be read as a whole and each of its constituent paragraphs should be applied with consider- ation of all other relevant paragraphs.","author":[{"dropping-particle":"","family":"World Medical Association","given":"","non-dropping-particle":"","parse-names":false,"suffix":""}],"container-title":"Journal of American Medical Association","id":"ITEM-1","issue":"20","issued":{"date-parts":[["2013"]]},"page":"2191-2194","title":"World Medical Association Declaration of Helsinki. Ethical principles for medical research involving human subjects","type":"article-journal","volume":"310"},"uris":["http://www.mendeley.com/documents/?uuid=dd88f292-894f-461f-a8f8-f8ac0f4316ec"]}],"mendeley":{"formattedCitation":"(72)","plainTextFormattedCitation":"(72)","previouslyFormattedCitation":"(72)"},"properties":{"noteIndex":0},"schema":"https://github.com/citation-style-language/schema/raw/master/csl-citation.json"}</w:instrText>
      </w:r>
      <w:r w:rsidR="000777B1"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(72)</w:t>
      </w:r>
      <w:r w:rsidR="000777B1" w:rsidRPr="008072C7">
        <w:rPr>
          <w:rFonts w:ascii="Arial" w:hAnsi="Arial" w:cs="Arial"/>
          <w:color w:val="000000" w:themeColor="text1"/>
          <w:sz w:val="20"/>
          <w:szCs w:val="20"/>
        </w:rPr>
        <w:fldChar w:fldCharType="end"/>
      </w:r>
      <w:r w:rsidR="000777B1" w:rsidRPr="008072C7">
        <w:rPr>
          <w:rFonts w:ascii="Arial" w:hAnsi="Arial" w:cs="Arial"/>
          <w:color w:val="000000" w:themeColor="text1"/>
          <w:sz w:val="20"/>
          <w:szCs w:val="20"/>
        </w:rPr>
        <w:t>. Participants refrained from strenuous exercise, caffeine and alcohol in the 24</w:t>
      </w:r>
      <w:r w:rsidR="000B7193" w:rsidRPr="008072C7">
        <w:rPr>
          <w:rFonts w:ascii="Arial" w:hAnsi="Arial" w:cs="Arial"/>
          <w:color w:val="000000" w:themeColor="text1"/>
          <w:sz w:val="20"/>
          <w:szCs w:val="20"/>
        </w:rPr>
        <w:t xml:space="preserve">h </w:t>
      </w:r>
      <w:r w:rsidR="000777B1" w:rsidRPr="008072C7">
        <w:rPr>
          <w:rFonts w:ascii="Arial" w:hAnsi="Arial" w:cs="Arial"/>
          <w:color w:val="000000" w:themeColor="text1"/>
          <w:sz w:val="20"/>
          <w:szCs w:val="20"/>
        </w:rPr>
        <w:t xml:space="preserve">prior to experimental sessions and maintained normal dietary habits for the study duration. </w:t>
      </w:r>
      <w:r w:rsidR="0002598C" w:rsidRPr="008072C7">
        <w:rPr>
          <w:rFonts w:ascii="Arial" w:hAnsi="Arial" w:cs="Arial"/>
          <w:color w:val="000000" w:themeColor="text1"/>
          <w:sz w:val="20"/>
          <w:szCs w:val="20"/>
        </w:rPr>
        <w:t xml:space="preserve">All </w:t>
      </w:r>
      <w:r w:rsidR="00263AF1" w:rsidRPr="008072C7">
        <w:rPr>
          <w:rFonts w:ascii="Arial" w:hAnsi="Arial" w:cs="Arial"/>
          <w:color w:val="000000" w:themeColor="text1"/>
          <w:sz w:val="20"/>
          <w:szCs w:val="20"/>
        </w:rPr>
        <w:t>were non-smokers free from neurological, cardiovascular, pulmonary and metabolic diseases and musculoskeletal injuries in the previous 12 months.</w:t>
      </w:r>
    </w:p>
    <w:p w14:paraId="6BE08E93" w14:textId="69F23733" w:rsidR="003402D0" w:rsidRPr="008072C7" w:rsidRDefault="003402D0" w:rsidP="00476D7D">
      <w:pPr>
        <w:pStyle w:val="Heading2"/>
        <w:rPr>
          <w:rFonts w:ascii="Arial" w:hAnsi="Arial" w:cs="Arial"/>
          <w:sz w:val="20"/>
          <w:szCs w:val="20"/>
        </w:rPr>
      </w:pPr>
      <w:r w:rsidRPr="008072C7">
        <w:rPr>
          <w:rFonts w:ascii="Arial" w:hAnsi="Arial" w:cs="Arial"/>
          <w:sz w:val="20"/>
          <w:szCs w:val="20"/>
        </w:rPr>
        <w:t>Sample size calculation</w:t>
      </w:r>
    </w:p>
    <w:p w14:paraId="07819764" w14:textId="701ED4CA" w:rsidR="00036D91" w:rsidRPr="008072C7" w:rsidRDefault="00C10CA1" w:rsidP="00476D7D">
      <w:pPr>
        <w:rPr>
          <w:rFonts w:ascii="Arial" w:hAnsi="Arial" w:cs="Arial"/>
          <w:color w:val="000000" w:themeColor="text1"/>
          <w:sz w:val="20"/>
          <w:szCs w:val="20"/>
        </w:rPr>
      </w:pPr>
      <w:r w:rsidRPr="008072C7">
        <w:rPr>
          <w:rFonts w:ascii="Arial" w:hAnsi="Arial" w:cs="Arial"/>
          <w:color w:val="000000" w:themeColor="text1"/>
          <w:sz w:val="20"/>
          <w:szCs w:val="20"/>
        </w:rPr>
        <w:t>The primary outcome measure of pressure pain threshold</w:t>
      </w:r>
      <w:r w:rsidR="000F603F" w:rsidRPr="008072C7">
        <w:rPr>
          <w:rFonts w:ascii="Arial" w:hAnsi="Arial" w:cs="Arial"/>
          <w:color w:val="000000" w:themeColor="text1"/>
          <w:sz w:val="20"/>
          <w:szCs w:val="20"/>
        </w:rPr>
        <w:t xml:space="preserve"> (PPT)</w:t>
      </w:r>
      <w:r w:rsidRPr="008072C7">
        <w:rPr>
          <w:rFonts w:ascii="Arial" w:hAnsi="Arial" w:cs="Arial"/>
          <w:color w:val="000000" w:themeColor="text1"/>
          <w:sz w:val="20"/>
          <w:szCs w:val="20"/>
        </w:rPr>
        <w:t xml:space="preserve"> was used </w:t>
      </w:r>
      <w:r w:rsidR="006E12D1" w:rsidRPr="008072C7">
        <w:rPr>
          <w:rFonts w:ascii="Arial" w:hAnsi="Arial" w:cs="Arial"/>
          <w:color w:val="000000" w:themeColor="text1"/>
          <w:sz w:val="20"/>
          <w:szCs w:val="20"/>
        </w:rPr>
        <w:t xml:space="preserve">to calculate </w:t>
      </w:r>
      <w:r w:rsidRPr="008072C7">
        <w:rPr>
          <w:rFonts w:ascii="Arial" w:hAnsi="Arial" w:cs="Arial"/>
          <w:color w:val="000000" w:themeColor="text1"/>
          <w:sz w:val="20"/>
          <w:szCs w:val="20"/>
        </w:rPr>
        <w:t xml:space="preserve">the required </w:t>
      </w:r>
      <w:r w:rsidR="00E92CAE" w:rsidRPr="008072C7">
        <w:rPr>
          <w:rFonts w:ascii="Arial" w:hAnsi="Arial" w:cs="Arial"/>
          <w:color w:val="000000" w:themeColor="text1"/>
          <w:sz w:val="20"/>
          <w:szCs w:val="20"/>
        </w:rPr>
        <w:t xml:space="preserve">a priori </w:t>
      </w:r>
      <w:r w:rsidRPr="008072C7">
        <w:rPr>
          <w:rFonts w:ascii="Arial" w:hAnsi="Arial" w:cs="Arial"/>
          <w:color w:val="000000" w:themeColor="text1"/>
          <w:sz w:val="20"/>
          <w:szCs w:val="20"/>
        </w:rPr>
        <w:t xml:space="preserve">sample size </w:t>
      </w:r>
      <w:r w:rsidR="00E92CAE" w:rsidRPr="008072C7">
        <w:rPr>
          <w:rFonts w:ascii="Arial" w:hAnsi="Arial" w:cs="Arial"/>
          <w:color w:val="000000" w:themeColor="text1"/>
          <w:sz w:val="20"/>
          <w:szCs w:val="20"/>
        </w:rPr>
        <w:t xml:space="preserve">for a repeated measures ANOVA </w:t>
      </w:r>
      <w:r w:rsidRPr="008072C7">
        <w:rPr>
          <w:rFonts w:ascii="Arial" w:hAnsi="Arial" w:cs="Arial"/>
          <w:color w:val="000000" w:themeColor="text1"/>
          <w:sz w:val="20"/>
          <w:szCs w:val="20"/>
        </w:rPr>
        <w:t xml:space="preserve">using G* Power Version 3.1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Fual","given":"F","non-dropping-particle":"","parse-names":false,"suffix":""},{"dropping-particle":"","family":"Erdfelder","given":"E","non-dropping-particle":"","parse-names":false,"suffix":""},{"dropping-particle":"","family":"Lang","given":"A","non-dropping-particle":"","parse-names":false,"suffix":""},{"dropping-particle":"","family":"Buchner","given":"A","non-dropping-particle":"","parse-names":false,"suffix":""}],"container-title":"Behaviour Research Methods","id":"ITEM-1","issue":"2","issued":{"date-parts":[["2007"]]},"page":"175-191","title":"G*Power 3: A flexible statistical power analysis program for the social, behavioral, and biomedical sciences.","type":"article-journal","volume":"39"},"uris":["http://www.mendeley.com/documents/?uuid=3e4a8e76-cf2e-445d-87e3-384ca7148dcd"]}],"mendeley":{"formattedCitation":"(13)","plainTextFormattedCitation":"(13)","previouslyFormattedCitation":"(13)"},"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(13)</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w:t>
      </w:r>
      <w:r w:rsidR="006E12D1" w:rsidRPr="008072C7">
        <w:rPr>
          <w:rFonts w:ascii="Arial" w:hAnsi="Arial" w:cs="Arial"/>
          <w:color w:val="000000" w:themeColor="text1"/>
          <w:sz w:val="20"/>
          <w:szCs w:val="20"/>
        </w:rPr>
        <w:t xml:space="preserve"> This was based on the effect size</w:t>
      </w:r>
      <w:r w:rsidR="00E92CAE" w:rsidRPr="008072C7">
        <w:rPr>
          <w:rFonts w:ascii="Arial" w:hAnsi="Arial" w:cs="Arial"/>
          <w:color w:val="000000" w:themeColor="text1"/>
          <w:sz w:val="20"/>
          <w:szCs w:val="20"/>
        </w:rPr>
        <w:t xml:space="preserve"> of d=0.6</w:t>
      </w:r>
      <w:r w:rsidR="006E12D1" w:rsidRPr="008072C7">
        <w:rPr>
          <w:rFonts w:ascii="Arial" w:hAnsi="Arial" w:cs="Arial"/>
          <w:color w:val="000000" w:themeColor="text1"/>
          <w:sz w:val="20"/>
          <w:szCs w:val="20"/>
        </w:rPr>
        <w:t xml:space="preserve"> </w:t>
      </w:r>
      <w:r w:rsidR="003953A4" w:rsidRPr="008072C7">
        <w:rPr>
          <w:rFonts w:ascii="Arial" w:hAnsi="Arial" w:cs="Arial"/>
          <w:color w:val="000000" w:themeColor="text1"/>
          <w:sz w:val="20"/>
          <w:szCs w:val="20"/>
        </w:rPr>
        <w:t xml:space="preserve">for </w:t>
      </w:r>
      <w:r w:rsidR="00C35922" w:rsidRPr="008072C7">
        <w:rPr>
          <w:rFonts w:ascii="Arial" w:hAnsi="Arial" w:cs="Arial"/>
          <w:color w:val="000000" w:themeColor="text1"/>
          <w:sz w:val="20"/>
          <w:szCs w:val="20"/>
        </w:rPr>
        <w:t xml:space="preserve">change in </w:t>
      </w:r>
      <w:r w:rsidR="006E12D1" w:rsidRPr="008072C7">
        <w:rPr>
          <w:rFonts w:ascii="Arial" w:hAnsi="Arial" w:cs="Arial"/>
          <w:color w:val="000000" w:themeColor="text1"/>
          <w:sz w:val="20"/>
          <w:szCs w:val="20"/>
        </w:rPr>
        <w:t xml:space="preserve">pressure pain threshold with dynamic resistance exercise reported in a </w:t>
      </w:r>
      <w:r w:rsidR="00D022FD" w:rsidRPr="008072C7">
        <w:rPr>
          <w:rFonts w:ascii="Arial" w:hAnsi="Arial" w:cs="Arial"/>
          <w:color w:val="000000" w:themeColor="text1"/>
          <w:sz w:val="20"/>
          <w:szCs w:val="20"/>
        </w:rPr>
        <w:t xml:space="preserve">previous </w:t>
      </w:r>
      <w:r w:rsidR="006E12D1" w:rsidRPr="008072C7">
        <w:rPr>
          <w:rFonts w:ascii="Arial" w:hAnsi="Arial" w:cs="Arial"/>
          <w:color w:val="000000" w:themeColor="text1"/>
          <w:sz w:val="20"/>
          <w:szCs w:val="20"/>
        </w:rPr>
        <w:t xml:space="preserve">meta-analysis </w:t>
      </w:r>
      <w:r w:rsidR="006E12D1"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{"citationItems":[{"id":"ITEM-1","itemData":{"DOI":"10.1016/j.jpain.2012.09.006","author":[{"dropping-particle":"","family":"Naugle","given":"Kelly M","non-dropping-particle":"","parse-names":false,"suffix":""},{"dropping-particle":"","family":"Fillingim","given":"Roger B","non-dropping-particle":"","parse-names":false,"suffix":""},{"dropping-particle":"","family":"Riley","given":"Joseph L","non-dropping-particle":"","parse-names":false,"suffix":""}],"container-title":"The Journal of Pain","id":"ITEM-1","issue":"12","issued":{"date-parts":[["2012"]]},"page":"1139-1150","publisher":"Elsevier Ltd","title":"A Meta-Analytic Review of the Hypoalgesic Effects of Exercise","type":"article-journal","volume":"13"},"uris":["http://www.mendeley.com/documents/?uuid=41e6aa37-b2fe-4496-8691-4ccaff877651"]}],"mendeley":{"formattedCitation":"(53)","plainTextFormattedCitation":"(53)","previouslyFormattedCitation":"(53)"},"properties":{"noteIndex":0},"schema":"https://github.com/citation-style-language/schema/raw/master/csl-citation.json"}</w:instrText>
      </w:r>
      <w:r w:rsidR="006E12D1"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(53)</w:t>
      </w:r>
      <w:r w:rsidR="006E12D1" w:rsidRPr="008072C7">
        <w:rPr>
          <w:rFonts w:ascii="Arial" w:hAnsi="Arial" w:cs="Arial"/>
          <w:color w:val="000000" w:themeColor="text1"/>
          <w:sz w:val="20"/>
          <w:szCs w:val="20"/>
        </w:rPr>
        <w:fldChar w:fldCharType="end"/>
      </w:r>
      <w:r w:rsidR="006E12D1" w:rsidRPr="008072C7">
        <w:rPr>
          <w:rFonts w:ascii="Arial" w:hAnsi="Arial" w:cs="Arial"/>
          <w:color w:val="000000" w:themeColor="text1"/>
          <w:sz w:val="20"/>
          <w:szCs w:val="20"/>
        </w:rPr>
        <w:t>.</w:t>
      </w:r>
      <w:r w:rsidR="00D022FD" w:rsidRPr="008072C7">
        <w:rPr>
          <w:rFonts w:ascii="Arial" w:hAnsi="Arial" w:cs="Arial"/>
          <w:color w:val="000000" w:themeColor="text1"/>
          <w:sz w:val="20"/>
          <w:szCs w:val="20"/>
        </w:rPr>
        <w:t xml:space="preserve"> To achieve a power of </w:t>
      </w:r>
      <w:r w:rsidR="00E92CAE" w:rsidRPr="008072C7">
        <w:rPr>
          <w:rFonts w:ascii="Arial" w:hAnsi="Arial" w:cs="Arial"/>
          <w:color w:val="000000" w:themeColor="text1"/>
          <w:sz w:val="20"/>
          <w:szCs w:val="20"/>
        </w:rPr>
        <w:t>95</w:t>
      </w:r>
      <w:r w:rsidR="00D022FD" w:rsidRPr="008072C7">
        <w:rPr>
          <w:rFonts w:ascii="Arial" w:hAnsi="Arial" w:cs="Arial"/>
          <w:color w:val="000000" w:themeColor="text1"/>
          <w:sz w:val="20"/>
          <w:szCs w:val="20"/>
        </w:rPr>
        <w:t>% at an alpha level of 0.05</w:t>
      </w:r>
      <w:r w:rsidR="00E92CAE" w:rsidRPr="008072C7">
        <w:rPr>
          <w:rFonts w:ascii="Arial" w:hAnsi="Arial" w:cs="Arial"/>
          <w:color w:val="000000" w:themeColor="text1"/>
          <w:sz w:val="20"/>
          <w:szCs w:val="20"/>
        </w:rPr>
        <w:t>, including four conditions and three measurement timepoints,</w:t>
      </w:r>
      <w:r w:rsidR="00D022FD" w:rsidRPr="008072C7">
        <w:rPr>
          <w:rFonts w:ascii="Arial" w:hAnsi="Arial" w:cs="Arial"/>
          <w:color w:val="000000" w:themeColor="text1"/>
          <w:sz w:val="20"/>
          <w:szCs w:val="20"/>
        </w:rPr>
        <w:t xml:space="preserve"> a total of 12 participants was required.</w:t>
      </w:r>
    </w:p>
    <w:p w14:paraId="4D2C32F4" w14:textId="62F8E9F6" w:rsidR="00036D91" w:rsidRPr="008072C7" w:rsidRDefault="00036D91" w:rsidP="00476D7D">
      <w:pPr>
        <w:pStyle w:val="Heading2"/>
        <w:rPr>
          <w:rFonts w:ascii="Arial" w:hAnsi="Arial" w:cs="Arial"/>
          <w:sz w:val="20"/>
          <w:szCs w:val="20"/>
        </w:rPr>
      </w:pPr>
      <w:r w:rsidRPr="008072C7">
        <w:rPr>
          <w:rFonts w:ascii="Arial" w:hAnsi="Arial" w:cs="Arial"/>
          <w:sz w:val="20"/>
          <w:szCs w:val="20"/>
        </w:rPr>
        <w:t xml:space="preserve">Experimental </w:t>
      </w:r>
      <w:r w:rsidR="00B77804" w:rsidRPr="008072C7">
        <w:rPr>
          <w:rFonts w:ascii="Arial" w:hAnsi="Arial" w:cs="Arial"/>
          <w:sz w:val="20"/>
          <w:szCs w:val="20"/>
        </w:rPr>
        <w:t>design</w:t>
      </w:r>
    </w:p>
    <w:p w14:paraId="4F0D6897" w14:textId="3219D969" w:rsidR="00036D91" w:rsidRPr="008072C7" w:rsidRDefault="00A32890" w:rsidP="00476D7D">
      <w:pPr>
        <w:rPr>
          <w:rFonts w:ascii="Arial" w:hAnsi="Arial" w:cs="Arial"/>
          <w:color w:val="000000" w:themeColor="text1"/>
          <w:sz w:val="20"/>
          <w:szCs w:val="20"/>
        </w:rPr>
      </w:pPr>
      <w:r w:rsidRPr="008072C7">
        <w:rPr>
          <w:rFonts w:ascii="Arial" w:hAnsi="Arial" w:cs="Arial"/>
          <w:color w:val="000000" w:themeColor="text1"/>
          <w:sz w:val="20"/>
          <w:szCs w:val="20"/>
        </w:rPr>
        <w:t>A randomised crossover design was used that involved</w:t>
      </w:r>
      <w:r w:rsidR="00547E62" w:rsidRPr="008072C7">
        <w:rPr>
          <w:rFonts w:ascii="Arial" w:hAnsi="Arial" w:cs="Arial"/>
          <w:color w:val="000000" w:themeColor="text1"/>
          <w:sz w:val="20"/>
          <w:szCs w:val="20"/>
        </w:rPr>
        <w:t xml:space="preserve"> 8</w:t>
      </w:r>
      <w:r w:rsidRPr="008072C7">
        <w:rPr>
          <w:rFonts w:ascii="Arial" w:hAnsi="Arial" w:cs="Arial"/>
          <w:color w:val="000000" w:themeColor="text1"/>
          <w:sz w:val="20"/>
          <w:szCs w:val="20"/>
        </w:rPr>
        <w:t xml:space="preserve"> acute experimental trials. All participants </w:t>
      </w:r>
      <w:r w:rsidR="005101A6" w:rsidRPr="008072C7">
        <w:rPr>
          <w:rFonts w:ascii="Arial" w:hAnsi="Arial" w:cs="Arial"/>
          <w:color w:val="000000" w:themeColor="text1"/>
          <w:sz w:val="20"/>
          <w:szCs w:val="20"/>
        </w:rPr>
        <w:t xml:space="preserve">first </w:t>
      </w:r>
      <w:r w:rsidRPr="008072C7">
        <w:rPr>
          <w:rFonts w:ascii="Arial" w:hAnsi="Arial" w:cs="Arial"/>
          <w:color w:val="000000" w:themeColor="text1"/>
          <w:sz w:val="20"/>
          <w:szCs w:val="20"/>
        </w:rPr>
        <w:t xml:space="preserve">completed a familiarisation session </w:t>
      </w:r>
      <w:r w:rsidR="00343D72" w:rsidRPr="008072C7">
        <w:rPr>
          <w:rFonts w:ascii="Arial" w:hAnsi="Arial" w:cs="Arial"/>
          <w:color w:val="000000" w:themeColor="text1"/>
          <w:sz w:val="20"/>
          <w:szCs w:val="20"/>
        </w:rPr>
        <w:t>involving a medical health screening, collection of anthropometric data</w:t>
      </w:r>
      <w:r w:rsidR="00DD4BD3" w:rsidRPr="008072C7">
        <w:rPr>
          <w:rFonts w:ascii="Arial" w:hAnsi="Arial" w:cs="Arial"/>
          <w:color w:val="000000" w:themeColor="text1"/>
          <w:sz w:val="20"/>
          <w:szCs w:val="20"/>
        </w:rPr>
        <w:t xml:space="preserve">, calculation of unilateral 1RM strength and </w:t>
      </w:r>
      <w:r w:rsidR="00343D72" w:rsidRPr="008072C7">
        <w:rPr>
          <w:rFonts w:ascii="Arial" w:hAnsi="Arial" w:cs="Arial"/>
          <w:color w:val="000000" w:themeColor="text1"/>
          <w:sz w:val="20"/>
          <w:szCs w:val="20"/>
        </w:rPr>
        <w:t xml:space="preserve">familiarisation to </w:t>
      </w:r>
      <w:r w:rsidR="00547E62" w:rsidRPr="008072C7">
        <w:rPr>
          <w:rFonts w:ascii="Arial" w:hAnsi="Arial" w:cs="Arial"/>
          <w:color w:val="000000" w:themeColor="text1"/>
          <w:sz w:val="20"/>
          <w:szCs w:val="20"/>
        </w:rPr>
        <w:t xml:space="preserve">all </w:t>
      </w:r>
      <w:r w:rsidR="00343D72" w:rsidRPr="008072C7">
        <w:rPr>
          <w:rFonts w:ascii="Arial" w:hAnsi="Arial" w:cs="Arial"/>
          <w:color w:val="000000" w:themeColor="text1"/>
          <w:sz w:val="20"/>
          <w:szCs w:val="20"/>
        </w:rPr>
        <w:t>protocols</w:t>
      </w:r>
      <w:r w:rsidR="00325CCB" w:rsidRPr="008072C7">
        <w:rPr>
          <w:rFonts w:ascii="Arial" w:hAnsi="Arial" w:cs="Arial"/>
          <w:color w:val="000000" w:themeColor="text1"/>
          <w:sz w:val="20"/>
          <w:szCs w:val="20"/>
        </w:rPr>
        <w:t xml:space="preserve">. </w:t>
      </w:r>
      <w:r w:rsidR="00547E62" w:rsidRPr="008072C7">
        <w:rPr>
          <w:rFonts w:ascii="Arial" w:hAnsi="Arial" w:cs="Arial"/>
          <w:color w:val="000000" w:themeColor="text1"/>
          <w:sz w:val="20"/>
          <w:szCs w:val="20"/>
        </w:rPr>
        <w:t>Participants then attended 4 experimental trials in a randomised order, determined using a random number generat</w:t>
      </w:r>
      <w:r w:rsidR="00B77804" w:rsidRPr="008072C7">
        <w:rPr>
          <w:rFonts w:ascii="Arial" w:hAnsi="Arial" w:cs="Arial"/>
          <w:color w:val="000000" w:themeColor="text1"/>
          <w:sz w:val="20"/>
          <w:szCs w:val="20"/>
        </w:rPr>
        <w:t>or</w:t>
      </w:r>
      <w:r w:rsidR="00547E62" w:rsidRPr="008072C7">
        <w:rPr>
          <w:rFonts w:ascii="Arial" w:hAnsi="Arial" w:cs="Arial"/>
          <w:color w:val="000000" w:themeColor="text1"/>
          <w:sz w:val="20"/>
          <w:szCs w:val="20"/>
        </w:rPr>
        <w:t xml:space="preserve"> (https://www.random.org).</w:t>
      </w:r>
      <w:r w:rsidR="009E4A52" w:rsidRPr="008072C7">
        <w:rPr>
          <w:rFonts w:ascii="Arial" w:hAnsi="Arial" w:cs="Arial"/>
          <w:color w:val="000000" w:themeColor="text1"/>
          <w:sz w:val="20"/>
          <w:szCs w:val="20"/>
        </w:rPr>
        <w:t xml:space="preserve"> </w:t>
      </w:r>
      <w:r w:rsidR="002311D8" w:rsidRPr="008072C7">
        <w:rPr>
          <w:rFonts w:ascii="Arial" w:hAnsi="Arial" w:cs="Arial"/>
          <w:color w:val="000000" w:themeColor="text1"/>
          <w:sz w:val="20"/>
          <w:szCs w:val="20"/>
        </w:rPr>
        <w:t>For each</w:t>
      </w:r>
      <w:r w:rsidR="009E4A52" w:rsidRPr="008072C7">
        <w:rPr>
          <w:rFonts w:ascii="Arial" w:hAnsi="Arial" w:cs="Arial"/>
          <w:color w:val="000000" w:themeColor="text1"/>
          <w:sz w:val="20"/>
          <w:szCs w:val="20"/>
        </w:rPr>
        <w:t xml:space="preserve"> trial participants attended a 24</w:t>
      </w:r>
      <w:r w:rsidR="002050E8" w:rsidRPr="008072C7">
        <w:rPr>
          <w:rFonts w:ascii="Arial" w:hAnsi="Arial" w:cs="Arial"/>
          <w:color w:val="000000" w:themeColor="text1"/>
          <w:sz w:val="20"/>
          <w:szCs w:val="20"/>
        </w:rPr>
        <w:t xml:space="preserve">h </w:t>
      </w:r>
      <w:r w:rsidR="009E4A52" w:rsidRPr="008072C7">
        <w:rPr>
          <w:rFonts w:ascii="Arial" w:hAnsi="Arial" w:cs="Arial"/>
          <w:color w:val="000000" w:themeColor="text1"/>
          <w:sz w:val="20"/>
          <w:szCs w:val="20"/>
        </w:rPr>
        <w:t xml:space="preserve">follow up </w:t>
      </w:r>
      <w:r w:rsidR="002311D8" w:rsidRPr="008072C7">
        <w:rPr>
          <w:rFonts w:ascii="Arial" w:hAnsi="Arial" w:cs="Arial"/>
          <w:color w:val="000000" w:themeColor="text1"/>
          <w:sz w:val="20"/>
          <w:szCs w:val="20"/>
        </w:rPr>
        <w:t>trial</w:t>
      </w:r>
      <w:r w:rsidR="003B12D3" w:rsidRPr="008072C7">
        <w:rPr>
          <w:rFonts w:ascii="Arial" w:hAnsi="Arial" w:cs="Arial"/>
          <w:color w:val="000000" w:themeColor="text1"/>
          <w:sz w:val="20"/>
          <w:szCs w:val="20"/>
        </w:rPr>
        <w:t xml:space="preserve"> </w:t>
      </w:r>
      <w:r w:rsidR="009E4A52" w:rsidRPr="008072C7">
        <w:rPr>
          <w:rFonts w:ascii="Arial" w:hAnsi="Arial" w:cs="Arial"/>
          <w:color w:val="000000" w:themeColor="text1"/>
          <w:sz w:val="20"/>
          <w:szCs w:val="20"/>
        </w:rPr>
        <w:t xml:space="preserve">and were instructed to refrain from any exercise in the </w:t>
      </w:r>
      <w:r w:rsidR="002311D8" w:rsidRPr="008072C7">
        <w:rPr>
          <w:rFonts w:ascii="Arial" w:hAnsi="Arial" w:cs="Arial"/>
          <w:color w:val="000000" w:themeColor="text1"/>
          <w:sz w:val="20"/>
          <w:szCs w:val="20"/>
        </w:rPr>
        <w:t xml:space="preserve">period between the trial and follow-up. </w:t>
      </w:r>
      <w:r w:rsidR="00413B62" w:rsidRPr="008072C7">
        <w:rPr>
          <w:rFonts w:ascii="Arial" w:hAnsi="Arial" w:cs="Arial"/>
          <w:color w:val="000000" w:themeColor="text1"/>
          <w:sz w:val="20"/>
          <w:szCs w:val="20"/>
        </w:rPr>
        <w:t xml:space="preserve">All </w:t>
      </w:r>
      <w:r w:rsidR="002311D8" w:rsidRPr="008072C7">
        <w:rPr>
          <w:rFonts w:ascii="Arial" w:hAnsi="Arial" w:cs="Arial"/>
          <w:color w:val="000000" w:themeColor="text1"/>
          <w:sz w:val="20"/>
          <w:szCs w:val="20"/>
        </w:rPr>
        <w:t>experimental trials</w:t>
      </w:r>
      <w:r w:rsidR="00413B62" w:rsidRPr="008072C7">
        <w:rPr>
          <w:rFonts w:ascii="Arial" w:hAnsi="Arial" w:cs="Arial"/>
          <w:color w:val="000000" w:themeColor="text1"/>
          <w:sz w:val="20"/>
          <w:szCs w:val="20"/>
        </w:rPr>
        <w:t xml:space="preserve"> were separated by a minimum of </w:t>
      </w:r>
      <w:r w:rsidR="00DF4D76" w:rsidRPr="008072C7">
        <w:rPr>
          <w:rFonts w:ascii="Arial" w:hAnsi="Arial" w:cs="Arial"/>
          <w:color w:val="000000" w:themeColor="text1"/>
          <w:sz w:val="20"/>
          <w:szCs w:val="20"/>
        </w:rPr>
        <w:t>72</w:t>
      </w:r>
      <w:r w:rsidR="002050E8" w:rsidRPr="008072C7">
        <w:rPr>
          <w:rFonts w:ascii="Arial" w:hAnsi="Arial" w:cs="Arial"/>
          <w:color w:val="000000" w:themeColor="text1"/>
          <w:sz w:val="20"/>
          <w:szCs w:val="20"/>
        </w:rPr>
        <w:t>h</w:t>
      </w:r>
      <w:r w:rsidR="00413B62" w:rsidRPr="008072C7">
        <w:rPr>
          <w:rFonts w:ascii="Arial" w:hAnsi="Arial" w:cs="Arial"/>
          <w:color w:val="000000" w:themeColor="text1"/>
          <w:sz w:val="20"/>
          <w:szCs w:val="20"/>
        </w:rPr>
        <w:t>.</w:t>
      </w:r>
    </w:p>
    <w:p w14:paraId="7F8CCF4C" w14:textId="08C9F8AE" w:rsidR="00C677F9" w:rsidRPr="008072C7" w:rsidRDefault="00C677F9" w:rsidP="00476D7D">
      <w:pPr>
        <w:pStyle w:val="Heading2"/>
        <w:rPr>
          <w:rFonts w:ascii="Arial" w:hAnsi="Arial" w:cs="Arial"/>
          <w:sz w:val="20"/>
          <w:szCs w:val="20"/>
        </w:rPr>
      </w:pPr>
      <w:r w:rsidRPr="008072C7">
        <w:rPr>
          <w:rFonts w:ascii="Arial" w:hAnsi="Arial" w:cs="Arial"/>
          <w:sz w:val="20"/>
          <w:szCs w:val="20"/>
        </w:rPr>
        <w:lastRenderedPageBreak/>
        <w:t>Experimental protocol</w:t>
      </w:r>
    </w:p>
    <w:p w14:paraId="6090C1E9" w14:textId="4A55ADC7" w:rsidR="005A0026" w:rsidRPr="008072C7" w:rsidRDefault="00CC058E" w:rsidP="00476D7D">
      <w:pPr>
        <w:rPr>
          <w:rFonts w:ascii="Arial" w:hAnsi="Arial" w:cs="Arial"/>
          <w:color w:val="000000" w:themeColor="text1"/>
          <w:sz w:val="20"/>
          <w:szCs w:val="20"/>
        </w:rPr>
      </w:pPr>
      <w:r w:rsidRPr="008072C7">
        <w:rPr>
          <w:rFonts w:ascii="Arial" w:hAnsi="Arial" w:cs="Arial"/>
          <w:color w:val="000000" w:themeColor="text1"/>
          <w:sz w:val="20"/>
          <w:szCs w:val="20"/>
        </w:rPr>
        <w:t>Participants</w:t>
      </w:r>
      <w:r w:rsidR="00C677F9" w:rsidRPr="008072C7">
        <w:rPr>
          <w:rFonts w:ascii="Arial" w:hAnsi="Arial" w:cs="Arial"/>
          <w:color w:val="000000" w:themeColor="text1"/>
          <w:sz w:val="20"/>
          <w:szCs w:val="20"/>
        </w:rPr>
        <w:t xml:space="preserve"> arrived at the laboratory having fasted for 2</w:t>
      </w:r>
      <w:r w:rsidR="002050E8" w:rsidRPr="008072C7">
        <w:rPr>
          <w:rFonts w:ascii="Arial" w:hAnsi="Arial" w:cs="Arial"/>
          <w:color w:val="000000" w:themeColor="text1"/>
          <w:sz w:val="20"/>
          <w:szCs w:val="20"/>
        </w:rPr>
        <w:t xml:space="preserve">h </w:t>
      </w:r>
      <w:r w:rsidR="00C677F9" w:rsidRPr="008072C7">
        <w:rPr>
          <w:rFonts w:ascii="Arial" w:hAnsi="Arial" w:cs="Arial"/>
          <w:color w:val="000000" w:themeColor="text1"/>
          <w:sz w:val="20"/>
          <w:szCs w:val="20"/>
        </w:rPr>
        <w:t xml:space="preserve">prior. </w:t>
      </w:r>
      <w:r w:rsidR="00AB1FEC" w:rsidRPr="008072C7">
        <w:rPr>
          <w:rFonts w:ascii="Arial" w:hAnsi="Arial" w:cs="Arial"/>
          <w:color w:val="000000" w:themeColor="text1"/>
          <w:sz w:val="20"/>
          <w:szCs w:val="20"/>
        </w:rPr>
        <w:t xml:space="preserve">Following 5min of rest in a seated position, </w:t>
      </w:r>
      <w:r w:rsidR="004C60D7" w:rsidRPr="008072C7">
        <w:rPr>
          <w:rFonts w:ascii="Arial" w:hAnsi="Arial" w:cs="Arial"/>
          <w:color w:val="000000" w:themeColor="text1"/>
          <w:sz w:val="20"/>
          <w:szCs w:val="20"/>
        </w:rPr>
        <w:t xml:space="preserve">a </w:t>
      </w:r>
      <w:r w:rsidR="00AB1FEC" w:rsidRPr="008072C7">
        <w:rPr>
          <w:rFonts w:ascii="Arial" w:hAnsi="Arial" w:cs="Arial"/>
          <w:color w:val="000000" w:themeColor="text1"/>
          <w:sz w:val="20"/>
          <w:szCs w:val="20"/>
        </w:rPr>
        <w:t xml:space="preserve">venous blood sample </w:t>
      </w:r>
      <w:r w:rsidR="004C60D7" w:rsidRPr="008072C7">
        <w:rPr>
          <w:rFonts w:ascii="Arial" w:hAnsi="Arial" w:cs="Arial"/>
          <w:color w:val="000000" w:themeColor="text1"/>
          <w:sz w:val="20"/>
          <w:szCs w:val="20"/>
        </w:rPr>
        <w:t>was collected from an antecubital vein in a plasma separator tube.</w:t>
      </w:r>
      <w:r w:rsidRPr="008072C7">
        <w:rPr>
          <w:rFonts w:ascii="Arial" w:hAnsi="Arial" w:cs="Arial"/>
          <w:color w:val="000000" w:themeColor="text1"/>
          <w:sz w:val="20"/>
          <w:szCs w:val="20"/>
        </w:rPr>
        <w:t xml:space="preserve"> </w:t>
      </w:r>
      <w:r w:rsidR="005123EE" w:rsidRPr="008072C7">
        <w:rPr>
          <w:rFonts w:ascii="Arial" w:hAnsi="Arial" w:cs="Arial"/>
          <w:color w:val="000000" w:themeColor="text1"/>
          <w:sz w:val="20"/>
          <w:szCs w:val="20"/>
        </w:rPr>
        <w:t xml:space="preserve">Haematocrit was measured to determine plasma volume. </w:t>
      </w:r>
      <w:r w:rsidR="000F603F" w:rsidRPr="008072C7">
        <w:rPr>
          <w:rFonts w:ascii="Arial" w:hAnsi="Arial" w:cs="Arial"/>
          <w:color w:val="000000" w:themeColor="text1"/>
          <w:sz w:val="20"/>
          <w:szCs w:val="20"/>
        </w:rPr>
        <w:t>PPT</w:t>
      </w:r>
      <w:r w:rsidR="005123EE" w:rsidRPr="008072C7">
        <w:rPr>
          <w:rFonts w:ascii="Arial" w:hAnsi="Arial" w:cs="Arial"/>
          <w:color w:val="000000" w:themeColor="text1"/>
          <w:sz w:val="20"/>
          <w:szCs w:val="20"/>
        </w:rPr>
        <w:t xml:space="preserve"> </w:t>
      </w:r>
      <w:r w:rsidR="0084649B" w:rsidRPr="008072C7">
        <w:rPr>
          <w:rFonts w:ascii="Arial" w:hAnsi="Arial" w:cs="Arial"/>
          <w:color w:val="000000" w:themeColor="text1"/>
          <w:sz w:val="20"/>
          <w:szCs w:val="20"/>
        </w:rPr>
        <w:t xml:space="preserve">was </w:t>
      </w:r>
      <w:r w:rsidR="005123EE" w:rsidRPr="008072C7">
        <w:rPr>
          <w:rFonts w:ascii="Arial" w:hAnsi="Arial" w:cs="Arial"/>
          <w:color w:val="000000" w:themeColor="text1"/>
          <w:sz w:val="20"/>
          <w:szCs w:val="20"/>
        </w:rPr>
        <w:t xml:space="preserve">then assessed </w:t>
      </w:r>
      <w:r w:rsidR="0084649B" w:rsidRPr="008072C7">
        <w:rPr>
          <w:rFonts w:ascii="Arial" w:hAnsi="Arial" w:cs="Arial"/>
          <w:color w:val="000000" w:themeColor="text1"/>
          <w:sz w:val="20"/>
          <w:szCs w:val="20"/>
        </w:rPr>
        <w:t xml:space="preserve">at multiple body sites </w:t>
      </w:r>
      <w:r w:rsidR="005123EE" w:rsidRPr="008072C7">
        <w:rPr>
          <w:rFonts w:ascii="Arial" w:hAnsi="Arial" w:cs="Arial"/>
          <w:color w:val="000000" w:themeColor="text1"/>
          <w:sz w:val="20"/>
          <w:szCs w:val="20"/>
        </w:rPr>
        <w:t xml:space="preserve">using a handheld </w:t>
      </w:r>
      <w:r w:rsidR="00C04BB5" w:rsidRPr="008072C7">
        <w:rPr>
          <w:rFonts w:ascii="Arial" w:hAnsi="Arial" w:cs="Arial"/>
          <w:color w:val="000000" w:themeColor="text1"/>
          <w:sz w:val="20"/>
          <w:szCs w:val="20"/>
        </w:rPr>
        <w:t xml:space="preserve">pressure </w:t>
      </w:r>
      <w:r w:rsidR="005123EE" w:rsidRPr="008072C7">
        <w:rPr>
          <w:rFonts w:ascii="Arial" w:hAnsi="Arial" w:cs="Arial"/>
          <w:color w:val="000000" w:themeColor="text1"/>
          <w:sz w:val="20"/>
          <w:szCs w:val="20"/>
        </w:rPr>
        <w:t xml:space="preserve">algometer (Wagner Instruments, </w:t>
      </w:r>
      <w:r w:rsidR="009B2829" w:rsidRPr="008072C7">
        <w:rPr>
          <w:rFonts w:ascii="Arial" w:hAnsi="Arial" w:cs="Arial"/>
          <w:color w:val="000000" w:themeColor="text1"/>
          <w:sz w:val="20"/>
          <w:szCs w:val="20"/>
        </w:rPr>
        <w:t>CT, U</w:t>
      </w:r>
      <w:r w:rsidR="00C04BB5" w:rsidRPr="008072C7">
        <w:rPr>
          <w:rFonts w:ascii="Arial" w:hAnsi="Arial" w:cs="Arial"/>
          <w:color w:val="000000" w:themeColor="text1"/>
          <w:sz w:val="20"/>
          <w:szCs w:val="20"/>
        </w:rPr>
        <w:t>nited States</w:t>
      </w:r>
      <w:r w:rsidR="009B2829" w:rsidRPr="008072C7">
        <w:rPr>
          <w:rFonts w:ascii="Arial" w:hAnsi="Arial" w:cs="Arial"/>
          <w:color w:val="000000" w:themeColor="text1"/>
          <w:sz w:val="20"/>
          <w:szCs w:val="20"/>
        </w:rPr>
        <w:t xml:space="preserve">). Following this, participants </w:t>
      </w:r>
      <w:r w:rsidR="00D243ED" w:rsidRPr="008072C7">
        <w:rPr>
          <w:rFonts w:ascii="Arial" w:hAnsi="Arial" w:cs="Arial"/>
          <w:color w:val="000000" w:themeColor="text1"/>
          <w:sz w:val="20"/>
          <w:szCs w:val="20"/>
        </w:rPr>
        <w:t>performed</w:t>
      </w:r>
      <w:r w:rsidR="009B2829" w:rsidRPr="008072C7">
        <w:rPr>
          <w:rFonts w:ascii="Arial" w:hAnsi="Arial" w:cs="Arial"/>
          <w:color w:val="000000" w:themeColor="text1"/>
          <w:sz w:val="20"/>
          <w:szCs w:val="20"/>
        </w:rPr>
        <w:t xml:space="preserve"> a warm</w:t>
      </w:r>
      <w:r w:rsidR="00986352" w:rsidRPr="008072C7">
        <w:rPr>
          <w:rFonts w:ascii="Arial" w:hAnsi="Arial" w:cs="Arial"/>
          <w:color w:val="000000" w:themeColor="text1"/>
          <w:sz w:val="20"/>
          <w:szCs w:val="20"/>
        </w:rPr>
        <w:t>-</w:t>
      </w:r>
      <w:r w:rsidR="009B2829" w:rsidRPr="008072C7">
        <w:rPr>
          <w:rFonts w:ascii="Arial" w:hAnsi="Arial" w:cs="Arial"/>
          <w:color w:val="000000" w:themeColor="text1"/>
          <w:sz w:val="20"/>
          <w:szCs w:val="20"/>
        </w:rPr>
        <w:t xml:space="preserve">up of 2min of unloaded cycling on </w:t>
      </w:r>
      <w:r w:rsidR="005A0026" w:rsidRPr="008072C7">
        <w:rPr>
          <w:rFonts w:ascii="Arial" w:hAnsi="Arial" w:cs="Arial"/>
          <w:color w:val="000000" w:themeColor="text1"/>
          <w:sz w:val="20"/>
          <w:szCs w:val="20"/>
        </w:rPr>
        <w:t xml:space="preserve">a </w:t>
      </w:r>
      <w:r w:rsidR="009B2829" w:rsidRPr="008072C7">
        <w:rPr>
          <w:rFonts w:ascii="Arial" w:hAnsi="Arial" w:cs="Arial"/>
          <w:color w:val="000000" w:themeColor="text1"/>
          <w:sz w:val="20"/>
          <w:szCs w:val="20"/>
        </w:rPr>
        <w:t xml:space="preserve">stationary ergometer followed by </w:t>
      </w:r>
      <w:r w:rsidR="003512BE" w:rsidRPr="008072C7">
        <w:rPr>
          <w:rFonts w:ascii="Arial" w:hAnsi="Arial" w:cs="Arial"/>
          <w:color w:val="000000" w:themeColor="text1"/>
          <w:sz w:val="20"/>
          <w:szCs w:val="20"/>
        </w:rPr>
        <w:t>10</w:t>
      </w:r>
      <w:r w:rsidR="00D243ED" w:rsidRPr="008072C7">
        <w:rPr>
          <w:rFonts w:ascii="Arial" w:hAnsi="Arial" w:cs="Arial"/>
          <w:color w:val="000000" w:themeColor="text1"/>
          <w:sz w:val="20"/>
          <w:szCs w:val="20"/>
        </w:rPr>
        <w:t xml:space="preserve"> </w:t>
      </w:r>
      <w:r w:rsidR="003512BE" w:rsidRPr="008072C7">
        <w:rPr>
          <w:rFonts w:ascii="Arial" w:hAnsi="Arial" w:cs="Arial"/>
          <w:color w:val="000000" w:themeColor="text1"/>
          <w:sz w:val="20"/>
          <w:szCs w:val="20"/>
        </w:rPr>
        <w:t xml:space="preserve">repetitions of unilateral leg press exercise </w:t>
      </w:r>
      <w:r w:rsidR="00FE0C23" w:rsidRPr="008072C7">
        <w:rPr>
          <w:rFonts w:ascii="Arial" w:hAnsi="Arial" w:cs="Arial"/>
          <w:color w:val="000000" w:themeColor="text1"/>
          <w:sz w:val="20"/>
          <w:szCs w:val="20"/>
        </w:rPr>
        <w:t>on</w:t>
      </w:r>
      <w:r w:rsidR="003512BE" w:rsidRPr="008072C7">
        <w:rPr>
          <w:rFonts w:ascii="Arial" w:hAnsi="Arial" w:cs="Arial"/>
          <w:color w:val="000000" w:themeColor="text1"/>
          <w:sz w:val="20"/>
          <w:szCs w:val="20"/>
        </w:rPr>
        <w:t xml:space="preserve"> the dominant limb at 15% 1RM.</w:t>
      </w:r>
      <w:r w:rsidR="00687DD9" w:rsidRPr="008072C7">
        <w:rPr>
          <w:rFonts w:ascii="Arial" w:hAnsi="Arial" w:cs="Arial"/>
          <w:color w:val="000000" w:themeColor="text1"/>
          <w:sz w:val="20"/>
          <w:szCs w:val="20"/>
        </w:rPr>
        <w:t xml:space="preserve"> Following 2min of rest, participants </w:t>
      </w:r>
      <w:r w:rsidR="00763547" w:rsidRPr="008072C7">
        <w:rPr>
          <w:rFonts w:ascii="Arial" w:hAnsi="Arial" w:cs="Arial"/>
          <w:color w:val="000000" w:themeColor="text1"/>
          <w:sz w:val="20"/>
          <w:szCs w:val="20"/>
        </w:rPr>
        <w:t>performed</w:t>
      </w:r>
      <w:r w:rsidR="00687DD9" w:rsidRPr="008072C7">
        <w:rPr>
          <w:rFonts w:ascii="Arial" w:hAnsi="Arial" w:cs="Arial"/>
          <w:color w:val="000000" w:themeColor="text1"/>
          <w:sz w:val="20"/>
          <w:szCs w:val="20"/>
        </w:rPr>
        <w:t xml:space="preserve"> the resistance exercise protocol assigned to that trial. </w:t>
      </w:r>
      <w:r w:rsidR="00FC6499" w:rsidRPr="008072C7">
        <w:rPr>
          <w:rFonts w:ascii="Arial" w:hAnsi="Arial" w:cs="Arial"/>
          <w:color w:val="000000" w:themeColor="text1"/>
          <w:sz w:val="20"/>
          <w:szCs w:val="20"/>
        </w:rPr>
        <w:t>PPT</w:t>
      </w:r>
      <w:r w:rsidR="00763547" w:rsidRPr="008072C7">
        <w:rPr>
          <w:rFonts w:ascii="Arial" w:hAnsi="Arial" w:cs="Arial"/>
          <w:color w:val="000000" w:themeColor="text1"/>
          <w:sz w:val="20"/>
          <w:szCs w:val="20"/>
        </w:rPr>
        <w:t xml:space="preserve"> assessment</w:t>
      </w:r>
      <w:r w:rsidR="00FC6499" w:rsidRPr="008072C7">
        <w:rPr>
          <w:rFonts w:ascii="Arial" w:hAnsi="Arial" w:cs="Arial"/>
          <w:color w:val="000000" w:themeColor="text1"/>
          <w:sz w:val="20"/>
          <w:szCs w:val="20"/>
        </w:rPr>
        <w:t xml:space="preserve"> and venous blood sample collection</w:t>
      </w:r>
      <w:r w:rsidR="00687DD9" w:rsidRPr="008072C7">
        <w:rPr>
          <w:rFonts w:ascii="Arial" w:hAnsi="Arial" w:cs="Arial"/>
          <w:color w:val="000000" w:themeColor="text1"/>
          <w:sz w:val="20"/>
          <w:szCs w:val="20"/>
        </w:rPr>
        <w:t xml:space="preserve"> wer</w:t>
      </w:r>
      <w:r w:rsidR="00FC6499" w:rsidRPr="008072C7">
        <w:rPr>
          <w:rFonts w:ascii="Arial" w:hAnsi="Arial" w:cs="Arial"/>
          <w:color w:val="000000" w:themeColor="text1"/>
          <w:sz w:val="20"/>
          <w:szCs w:val="20"/>
        </w:rPr>
        <w:t>e repeated</w:t>
      </w:r>
      <w:r w:rsidR="00687DD9" w:rsidRPr="008072C7">
        <w:rPr>
          <w:rFonts w:ascii="Arial" w:hAnsi="Arial" w:cs="Arial"/>
          <w:color w:val="000000" w:themeColor="text1"/>
          <w:sz w:val="20"/>
          <w:szCs w:val="20"/>
        </w:rPr>
        <w:t xml:space="preserve"> </w:t>
      </w:r>
      <w:r w:rsidR="00FC6499" w:rsidRPr="008072C7">
        <w:rPr>
          <w:rFonts w:ascii="Arial" w:hAnsi="Arial" w:cs="Arial"/>
          <w:color w:val="000000" w:themeColor="text1"/>
          <w:sz w:val="20"/>
          <w:szCs w:val="20"/>
        </w:rPr>
        <w:t xml:space="preserve">at </w:t>
      </w:r>
      <w:r w:rsidR="00687DD9" w:rsidRPr="008072C7">
        <w:rPr>
          <w:rFonts w:ascii="Arial" w:hAnsi="Arial" w:cs="Arial"/>
          <w:color w:val="000000" w:themeColor="text1"/>
          <w:sz w:val="20"/>
          <w:szCs w:val="20"/>
        </w:rPr>
        <w:t xml:space="preserve">5min </w:t>
      </w:r>
      <w:r w:rsidR="00FC6499" w:rsidRPr="008072C7">
        <w:rPr>
          <w:rFonts w:ascii="Arial" w:hAnsi="Arial" w:cs="Arial"/>
          <w:color w:val="000000" w:themeColor="text1"/>
          <w:sz w:val="20"/>
          <w:szCs w:val="20"/>
        </w:rPr>
        <w:t xml:space="preserve">and 10min </w:t>
      </w:r>
      <w:r w:rsidR="00687DD9" w:rsidRPr="008072C7">
        <w:rPr>
          <w:rFonts w:ascii="Arial" w:hAnsi="Arial" w:cs="Arial"/>
          <w:color w:val="000000" w:themeColor="text1"/>
          <w:sz w:val="20"/>
          <w:szCs w:val="20"/>
        </w:rPr>
        <w:t>post-exercise</w:t>
      </w:r>
      <w:r w:rsidR="00FC6499" w:rsidRPr="008072C7">
        <w:rPr>
          <w:rFonts w:ascii="Arial" w:hAnsi="Arial" w:cs="Arial"/>
          <w:color w:val="000000" w:themeColor="text1"/>
          <w:sz w:val="20"/>
          <w:szCs w:val="20"/>
        </w:rPr>
        <w:t xml:space="preserve">, respectively. During the 24h follow up trial, </w:t>
      </w:r>
      <w:r w:rsidR="00763547" w:rsidRPr="008072C7">
        <w:rPr>
          <w:rFonts w:ascii="Arial" w:hAnsi="Arial" w:cs="Arial"/>
          <w:color w:val="000000" w:themeColor="text1"/>
          <w:sz w:val="20"/>
          <w:szCs w:val="20"/>
        </w:rPr>
        <w:t>PPT assessment and venous blood sample collection were repeated</w:t>
      </w:r>
      <w:r w:rsidR="008F6E96" w:rsidRPr="008072C7">
        <w:rPr>
          <w:rFonts w:ascii="Arial" w:hAnsi="Arial" w:cs="Arial"/>
          <w:color w:val="000000" w:themeColor="text1"/>
          <w:sz w:val="20"/>
          <w:szCs w:val="20"/>
        </w:rPr>
        <w:t xml:space="preserve"> (Figure 1).</w:t>
      </w:r>
    </w:p>
    <w:p w14:paraId="44F4DE58" w14:textId="6C1823FE" w:rsidR="005A0026" w:rsidRPr="008072C7" w:rsidRDefault="005A0026" w:rsidP="00476D7D">
      <w:pPr>
        <w:pStyle w:val="Heading2"/>
        <w:rPr>
          <w:rFonts w:ascii="Arial" w:hAnsi="Arial" w:cs="Arial"/>
          <w:sz w:val="20"/>
          <w:szCs w:val="20"/>
        </w:rPr>
      </w:pPr>
      <w:r w:rsidRPr="008072C7">
        <w:rPr>
          <w:rFonts w:ascii="Arial" w:hAnsi="Arial" w:cs="Arial"/>
          <w:sz w:val="20"/>
          <w:szCs w:val="20"/>
        </w:rPr>
        <w:t>Resistance exercise protocols</w:t>
      </w:r>
    </w:p>
    <w:p w14:paraId="17CFF1F1" w14:textId="2B8F3E5C" w:rsidR="00D578B5" w:rsidRPr="008072C7" w:rsidRDefault="008B4FDD" w:rsidP="00476D7D">
      <w:pPr>
        <w:rPr>
          <w:rFonts w:ascii="Arial" w:hAnsi="Arial" w:cs="Arial"/>
          <w:color w:val="000000" w:themeColor="text1"/>
          <w:sz w:val="20"/>
          <w:szCs w:val="20"/>
        </w:rPr>
      </w:pPr>
      <w:r w:rsidRPr="008072C7">
        <w:rPr>
          <w:rFonts w:ascii="Arial" w:hAnsi="Arial" w:cs="Arial"/>
          <w:color w:val="000000" w:themeColor="text1"/>
          <w:sz w:val="20"/>
          <w:szCs w:val="20"/>
        </w:rPr>
        <w:t>Participant’s unilateral concentric 1RM was assessed during the familiarisation as previously described</w:t>
      </w:r>
      <w:r w:rsidR="007E3C4D" w:rsidRPr="008072C7">
        <w:rPr>
          <w:rFonts w:ascii="Arial" w:hAnsi="Arial" w:cs="Arial"/>
          <w:color w:val="000000" w:themeColor="text1"/>
          <w:sz w:val="20"/>
          <w:szCs w:val="20"/>
        </w:rPr>
        <w:t xml:space="preserve"> </w:t>
      </w:r>
      <w:r w:rsidR="007E3C4D"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{"citationItems":[{"id":"ITEM-1","itemData":{"DOI":"10.1111/sms.13092","ISSN":"09057188","PMID":"29630752","abstract":"This study examined the cuff to limb interface pressure during blood flow restriction (BFR), and the perceptual and mean arterial pressure responses, in different BFR systems. Eighteen participants attended three experimental sessions in a randomised, crossover, counterbalanced design. Participants underwent inflations at 40% and 80% limb occlusive pressure (LOP) at rest and completed 4 sets of unilateral leg press exercise at 30% of one repetition maximum with BFR at 80% LOP. Different BFR systems were used each session: an automatic rapid-inflation (RI), automatic personalised tourniquet (PT) and manual handheld pump and sphygmomanometer (HS) system. Interface pressure was measured using a universal interface device with pressure sensors. Perceived exertion and pain were measured after each set, mean arterial pressure (MAP) was measured pre-, 1-min post- and 5-min post-exercise. Interface pressure was lower than the set pressure in all BFR systems at rest (p&lt;0.05). Interface pressure was, on average, 10 ± 8 and 48 ± 36 mmHg higher than the set pressure in the RI and HS system (p&lt;0.01), with no differences observed in the PT system (p&gt;0.05), during exercise. Pain and exertion were greater in sets 3 and 4 in the RI and HS system compared to the PT system (p&lt;0.05). MAP was higher in the RI and HS system compared to the PT system at 1-min and 5 min post-exercise (p&lt;0.05). BFR systems applying higher pressures amplify mean arterial pressure and perceptual responses. Automatic BFR systems appear to regulate pressure effectively within an acceptable range during BFR exercise.","author":[{"dropping-particle":"","family":"Hughes","given":"Luke","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David","non-dropping-particle":"","parse-names":false,"suffix":""}],"container-title":"Scandinavian Journal of Medicine &amp; Science in Sports","id":"ITEM-1","issue":"7","issued":{"date-parts":[["2018"]]},"page":"1757-1765","title":"Interface pressure, perceptual and mean arterial pressure responses to different blood flow restriction systems","type":"article-journal","volume":"28"},"uris":["http://www.mendeley.com/documents/?uuid=723dfb66-f803-4b0a-b185-209c6c548655"]}],"mendeley":{"formattedCitation":"(30)","plainTextFormattedCitation":"(30)","previouslyFormattedCitation":"(30)"},"properties":{"noteIndex":0},"schema":"https://github.com/citation-style-language/schema/raw/master/csl-citation.json"}</w:instrText>
      </w:r>
      <w:r w:rsidR="007E3C4D"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(30)</w:t>
      </w:r>
      <w:r w:rsidR="007E3C4D" w:rsidRPr="008072C7">
        <w:rPr>
          <w:rFonts w:ascii="Arial" w:hAnsi="Arial" w:cs="Arial"/>
          <w:color w:val="000000" w:themeColor="text1"/>
          <w:sz w:val="20"/>
          <w:szCs w:val="20"/>
        </w:rPr>
        <w:fldChar w:fldCharType="end"/>
      </w:r>
      <w:r w:rsidR="007E3C4D" w:rsidRPr="008072C7">
        <w:rPr>
          <w:rFonts w:ascii="Arial" w:hAnsi="Arial" w:cs="Arial"/>
          <w:color w:val="000000" w:themeColor="text1"/>
          <w:sz w:val="20"/>
          <w:szCs w:val="20"/>
        </w:rPr>
        <w:t xml:space="preserve">. </w:t>
      </w:r>
      <w:r w:rsidR="00CC6F62" w:rsidRPr="008072C7">
        <w:rPr>
          <w:rFonts w:ascii="Arial" w:hAnsi="Arial" w:cs="Arial"/>
          <w:color w:val="000000" w:themeColor="text1"/>
          <w:sz w:val="20"/>
          <w:szCs w:val="20"/>
        </w:rPr>
        <w:t>Four</w:t>
      </w:r>
      <w:r w:rsidR="005256DB" w:rsidRPr="008072C7">
        <w:rPr>
          <w:rFonts w:ascii="Arial" w:hAnsi="Arial" w:cs="Arial"/>
          <w:color w:val="000000" w:themeColor="text1"/>
          <w:sz w:val="20"/>
          <w:szCs w:val="20"/>
        </w:rPr>
        <w:t xml:space="preserve"> resistance exercise protocols were u</w:t>
      </w:r>
      <w:r w:rsidR="007F6F85" w:rsidRPr="008072C7">
        <w:rPr>
          <w:rFonts w:ascii="Arial" w:hAnsi="Arial" w:cs="Arial"/>
          <w:color w:val="000000" w:themeColor="text1"/>
          <w:sz w:val="20"/>
          <w:szCs w:val="20"/>
        </w:rPr>
        <w:t>sed in a randomised order</w:t>
      </w:r>
      <w:r w:rsidR="005256DB" w:rsidRPr="008072C7">
        <w:rPr>
          <w:rFonts w:ascii="Arial" w:hAnsi="Arial" w:cs="Arial"/>
          <w:color w:val="000000" w:themeColor="text1"/>
          <w:sz w:val="20"/>
          <w:szCs w:val="20"/>
        </w:rPr>
        <w:t>, including: 1) light load resistance exercise (LLRE); 2) BFR-RE with low pressure (BFR40);</w:t>
      </w:r>
      <w:r w:rsidR="007F6F85" w:rsidRPr="008072C7">
        <w:rPr>
          <w:rFonts w:ascii="Arial" w:hAnsi="Arial" w:cs="Arial"/>
          <w:color w:val="000000" w:themeColor="text1"/>
          <w:sz w:val="20"/>
          <w:szCs w:val="20"/>
        </w:rPr>
        <w:t xml:space="preserve"> 3) BFR-RE with high pressure (BFR80) and 4) heavy load resistance exercise (HLRE). </w:t>
      </w:r>
      <w:r w:rsidR="00831255" w:rsidRPr="008072C7">
        <w:rPr>
          <w:rFonts w:ascii="Arial" w:hAnsi="Arial" w:cs="Arial"/>
          <w:color w:val="000000" w:themeColor="text1"/>
          <w:sz w:val="20"/>
          <w:szCs w:val="20"/>
        </w:rPr>
        <w:t xml:space="preserve">All exercise was </w:t>
      </w:r>
      <w:r w:rsidRPr="008072C7">
        <w:rPr>
          <w:rFonts w:ascii="Arial" w:hAnsi="Arial" w:cs="Arial"/>
          <w:color w:val="000000" w:themeColor="text1"/>
          <w:sz w:val="20"/>
          <w:szCs w:val="20"/>
        </w:rPr>
        <w:t>performed</w:t>
      </w:r>
      <w:r w:rsidR="00831255" w:rsidRPr="008072C7">
        <w:rPr>
          <w:rFonts w:ascii="Arial" w:hAnsi="Arial" w:cs="Arial"/>
          <w:color w:val="000000" w:themeColor="text1"/>
          <w:sz w:val="20"/>
          <w:szCs w:val="20"/>
        </w:rPr>
        <w:t xml:space="preserve"> with the dominant lower limb</w:t>
      </w:r>
      <w:r w:rsidR="00C61A28" w:rsidRPr="008072C7">
        <w:rPr>
          <w:rFonts w:ascii="Arial" w:hAnsi="Arial" w:cs="Arial"/>
          <w:color w:val="000000" w:themeColor="text1"/>
          <w:sz w:val="20"/>
          <w:szCs w:val="20"/>
        </w:rPr>
        <w:t xml:space="preserve">. Contractions were performed through 0-90° range of knee flexion through a </w:t>
      </w:r>
      <w:r w:rsidR="007C3184" w:rsidRPr="008072C7">
        <w:rPr>
          <w:rFonts w:ascii="Arial" w:hAnsi="Arial" w:cs="Arial"/>
          <w:color w:val="000000" w:themeColor="text1"/>
          <w:sz w:val="20"/>
          <w:szCs w:val="20"/>
        </w:rPr>
        <w:t xml:space="preserve">contraction </w:t>
      </w:r>
      <w:r w:rsidR="00C61A28" w:rsidRPr="008072C7">
        <w:rPr>
          <w:rFonts w:ascii="Arial" w:hAnsi="Arial" w:cs="Arial"/>
          <w:color w:val="000000" w:themeColor="text1"/>
          <w:sz w:val="20"/>
          <w:szCs w:val="20"/>
        </w:rPr>
        <w:t>cycle of 1</w:t>
      </w:r>
      <w:r w:rsidR="007C3184" w:rsidRPr="008072C7">
        <w:rPr>
          <w:rFonts w:ascii="Arial" w:hAnsi="Arial" w:cs="Arial"/>
          <w:color w:val="000000" w:themeColor="text1"/>
          <w:sz w:val="20"/>
          <w:szCs w:val="20"/>
        </w:rPr>
        <w:t>.5</w:t>
      </w:r>
      <w:r w:rsidR="00C61A28" w:rsidRPr="008072C7">
        <w:rPr>
          <w:rFonts w:ascii="Arial" w:hAnsi="Arial" w:cs="Arial"/>
          <w:color w:val="000000" w:themeColor="text1"/>
          <w:sz w:val="20"/>
          <w:szCs w:val="20"/>
        </w:rPr>
        <w:t>s concentric and 1</w:t>
      </w:r>
      <w:r w:rsidR="007C3184" w:rsidRPr="008072C7">
        <w:rPr>
          <w:rFonts w:ascii="Arial" w:hAnsi="Arial" w:cs="Arial"/>
          <w:color w:val="000000" w:themeColor="text1"/>
          <w:sz w:val="20"/>
          <w:szCs w:val="20"/>
        </w:rPr>
        <w:t>.5</w:t>
      </w:r>
      <w:r w:rsidR="00C61A28" w:rsidRPr="008072C7">
        <w:rPr>
          <w:rFonts w:ascii="Arial" w:hAnsi="Arial" w:cs="Arial"/>
          <w:color w:val="000000" w:themeColor="text1"/>
          <w:sz w:val="20"/>
          <w:szCs w:val="20"/>
        </w:rPr>
        <w:t xml:space="preserve">s eccentric, assessed using a metronome. </w:t>
      </w:r>
      <w:r w:rsidR="00145ECB" w:rsidRPr="008072C7">
        <w:rPr>
          <w:rFonts w:ascii="Arial" w:hAnsi="Arial" w:cs="Arial"/>
          <w:color w:val="000000" w:themeColor="text1"/>
          <w:sz w:val="20"/>
          <w:szCs w:val="20"/>
        </w:rPr>
        <w:t>During the</w:t>
      </w:r>
      <w:r w:rsidR="00402739" w:rsidRPr="008072C7">
        <w:rPr>
          <w:rFonts w:ascii="Arial" w:hAnsi="Arial" w:cs="Arial"/>
          <w:color w:val="000000" w:themeColor="text1"/>
          <w:sz w:val="20"/>
          <w:szCs w:val="20"/>
        </w:rPr>
        <w:t xml:space="preserve"> LLRE</w:t>
      </w:r>
      <w:r w:rsidR="00C674DA" w:rsidRPr="008072C7">
        <w:rPr>
          <w:rFonts w:ascii="Arial" w:hAnsi="Arial" w:cs="Arial"/>
          <w:color w:val="000000" w:themeColor="text1"/>
          <w:sz w:val="20"/>
          <w:szCs w:val="20"/>
        </w:rPr>
        <w:t xml:space="preserve"> and BFR40 and BFR80</w:t>
      </w:r>
      <w:r w:rsidR="00402739" w:rsidRPr="008072C7">
        <w:rPr>
          <w:rFonts w:ascii="Arial" w:hAnsi="Arial" w:cs="Arial"/>
          <w:color w:val="000000" w:themeColor="text1"/>
          <w:sz w:val="20"/>
          <w:szCs w:val="20"/>
        </w:rPr>
        <w:t xml:space="preserve"> </w:t>
      </w:r>
      <w:r w:rsidR="00145ECB" w:rsidRPr="008072C7">
        <w:rPr>
          <w:rFonts w:ascii="Arial" w:hAnsi="Arial" w:cs="Arial"/>
          <w:color w:val="000000" w:themeColor="text1"/>
          <w:sz w:val="20"/>
          <w:szCs w:val="20"/>
        </w:rPr>
        <w:t>trials</w:t>
      </w:r>
      <w:r w:rsidR="00402739" w:rsidRPr="008072C7">
        <w:rPr>
          <w:rFonts w:ascii="Arial" w:hAnsi="Arial" w:cs="Arial"/>
          <w:color w:val="000000" w:themeColor="text1"/>
          <w:sz w:val="20"/>
          <w:szCs w:val="20"/>
        </w:rPr>
        <w:t xml:space="preserve">, participants performed </w:t>
      </w:r>
      <w:r w:rsidR="00831255" w:rsidRPr="008072C7">
        <w:rPr>
          <w:rFonts w:ascii="Arial" w:hAnsi="Arial" w:cs="Arial"/>
          <w:color w:val="000000" w:themeColor="text1"/>
          <w:sz w:val="20"/>
          <w:szCs w:val="20"/>
        </w:rPr>
        <w:t>4 sets (30, 15, 15 and 15 repetitions, respectively) of unilateral leg press exercise at 30% 1RM with 30s inter-set rest periods</w:t>
      </w:r>
      <w:r w:rsidR="00024415" w:rsidRPr="008072C7">
        <w:rPr>
          <w:rFonts w:ascii="Arial" w:hAnsi="Arial" w:cs="Arial"/>
          <w:color w:val="000000" w:themeColor="text1"/>
          <w:sz w:val="20"/>
          <w:szCs w:val="20"/>
        </w:rPr>
        <w:t xml:space="preserve">. </w:t>
      </w:r>
      <w:r w:rsidR="00145ECB" w:rsidRPr="008072C7">
        <w:rPr>
          <w:rFonts w:ascii="Arial" w:hAnsi="Arial" w:cs="Arial"/>
          <w:color w:val="000000" w:themeColor="text1"/>
          <w:sz w:val="20"/>
          <w:szCs w:val="20"/>
        </w:rPr>
        <w:t>During</w:t>
      </w:r>
      <w:r w:rsidR="001B7A0F" w:rsidRPr="008072C7">
        <w:rPr>
          <w:rFonts w:ascii="Arial" w:hAnsi="Arial" w:cs="Arial"/>
          <w:color w:val="000000" w:themeColor="text1"/>
          <w:sz w:val="20"/>
          <w:szCs w:val="20"/>
        </w:rPr>
        <w:t xml:space="preserve"> the </w:t>
      </w:r>
      <w:r w:rsidR="00C674DA" w:rsidRPr="008072C7">
        <w:rPr>
          <w:rFonts w:ascii="Arial" w:hAnsi="Arial" w:cs="Arial"/>
          <w:color w:val="000000" w:themeColor="text1"/>
          <w:sz w:val="20"/>
          <w:szCs w:val="20"/>
        </w:rPr>
        <w:t>BFR40</w:t>
      </w:r>
      <w:r w:rsidR="001B7A0F" w:rsidRPr="008072C7">
        <w:rPr>
          <w:rFonts w:ascii="Arial" w:hAnsi="Arial" w:cs="Arial"/>
          <w:color w:val="000000" w:themeColor="text1"/>
          <w:sz w:val="20"/>
          <w:szCs w:val="20"/>
        </w:rPr>
        <w:t xml:space="preserve"> and BFR80 trials,</w:t>
      </w:r>
      <w:r w:rsidR="00756005" w:rsidRPr="008072C7">
        <w:rPr>
          <w:rFonts w:ascii="Arial" w:hAnsi="Arial" w:cs="Arial"/>
          <w:color w:val="000000" w:themeColor="text1"/>
          <w:sz w:val="20"/>
          <w:szCs w:val="20"/>
        </w:rPr>
        <w:t xml:space="preserve"> BFR </w:t>
      </w:r>
      <w:r w:rsidR="001B7A0F" w:rsidRPr="008072C7">
        <w:rPr>
          <w:rFonts w:ascii="Arial" w:hAnsi="Arial" w:cs="Arial"/>
          <w:color w:val="000000" w:themeColor="text1"/>
          <w:sz w:val="20"/>
          <w:szCs w:val="20"/>
        </w:rPr>
        <w:t xml:space="preserve">was </w:t>
      </w:r>
      <w:r w:rsidR="00756005" w:rsidRPr="008072C7">
        <w:rPr>
          <w:rFonts w:ascii="Arial" w:hAnsi="Arial" w:cs="Arial"/>
          <w:color w:val="000000" w:themeColor="text1"/>
          <w:sz w:val="20"/>
          <w:szCs w:val="20"/>
        </w:rPr>
        <w:t xml:space="preserve">applied </w:t>
      </w:r>
      <w:r w:rsidR="0001462C" w:rsidRPr="008072C7">
        <w:rPr>
          <w:rFonts w:ascii="Arial" w:hAnsi="Arial" w:cs="Arial"/>
          <w:color w:val="000000" w:themeColor="text1"/>
          <w:sz w:val="20"/>
          <w:szCs w:val="20"/>
        </w:rPr>
        <w:t xml:space="preserve">continuously throughout all exercise and rest periods </w:t>
      </w:r>
      <w:r w:rsidR="00756005" w:rsidRPr="008072C7">
        <w:rPr>
          <w:rFonts w:ascii="Arial" w:hAnsi="Arial" w:cs="Arial"/>
          <w:color w:val="000000" w:themeColor="text1"/>
          <w:sz w:val="20"/>
          <w:szCs w:val="20"/>
        </w:rPr>
        <w:t xml:space="preserve">at 40% </w:t>
      </w:r>
      <w:r w:rsidR="001B7A0F" w:rsidRPr="008072C7">
        <w:rPr>
          <w:rFonts w:ascii="Arial" w:hAnsi="Arial" w:cs="Arial"/>
          <w:color w:val="000000" w:themeColor="text1"/>
          <w:sz w:val="20"/>
          <w:szCs w:val="20"/>
        </w:rPr>
        <w:t xml:space="preserve">and 80% </w:t>
      </w:r>
      <w:r w:rsidR="00756005" w:rsidRPr="008072C7">
        <w:rPr>
          <w:rFonts w:ascii="Arial" w:hAnsi="Arial" w:cs="Arial"/>
          <w:color w:val="000000" w:themeColor="text1"/>
          <w:sz w:val="20"/>
          <w:szCs w:val="20"/>
        </w:rPr>
        <w:t>of limb occlusion pressure (LOP</w:t>
      </w:r>
      <w:r w:rsidR="001B7A0F" w:rsidRPr="008072C7">
        <w:rPr>
          <w:rFonts w:ascii="Arial" w:hAnsi="Arial" w:cs="Arial"/>
          <w:color w:val="000000" w:themeColor="text1"/>
          <w:sz w:val="20"/>
          <w:szCs w:val="20"/>
        </w:rPr>
        <w:t>), respectively</w:t>
      </w:r>
      <w:r w:rsidR="005E17C2" w:rsidRPr="008072C7">
        <w:rPr>
          <w:rFonts w:ascii="Arial" w:hAnsi="Arial" w:cs="Arial"/>
          <w:color w:val="000000" w:themeColor="text1"/>
          <w:sz w:val="20"/>
          <w:szCs w:val="20"/>
        </w:rPr>
        <w:t xml:space="preserve">. </w:t>
      </w:r>
      <w:r w:rsidR="00145ECB" w:rsidRPr="008072C7">
        <w:rPr>
          <w:rFonts w:ascii="Arial" w:hAnsi="Arial" w:cs="Arial"/>
          <w:color w:val="000000" w:themeColor="text1"/>
          <w:sz w:val="20"/>
          <w:szCs w:val="20"/>
        </w:rPr>
        <w:t>During</w:t>
      </w:r>
      <w:r w:rsidR="00322129" w:rsidRPr="008072C7">
        <w:rPr>
          <w:rFonts w:ascii="Arial" w:hAnsi="Arial" w:cs="Arial"/>
          <w:color w:val="000000" w:themeColor="text1"/>
          <w:sz w:val="20"/>
          <w:szCs w:val="20"/>
        </w:rPr>
        <w:t xml:space="preserve"> the HLRE </w:t>
      </w:r>
      <w:r w:rsidR="00145ECB" w:rsidRPr="008072C7">
        <w:rPr>
          <w:rFonts w:ascii="Arial" w:hAnsi="Arial" w:cs="Arial"/>
          <w:color w:val="000000" w:themeColor="text1"/>
          <w:sz w:val="20"/>
          <w:szCs w:val="20"/>
        </w:rPr>
        <w:t>trial</w:t>
      </w:r>
      <w:r w:rsidR="00322129" w:rsidRPr="008072C7">
        <w:rPr>
          <w:rFonts w:ascii="Arial" w:hAnsi="Arial" w:cs="Arial"/>
          <w:color w:val="000000" w:themeColor="text1"/>
          <w:sz w:val="20"/>
          <w:szCs w:val="20"/>
        </w:rPr>
        <w:t xml:space="preserve">, participants performed </w:t>
      </w:r>
      <w:r w:rsidR="006F3D96" w:rsidRPr="008072C7">
        <w:rPr>
          <w:rFonts w:ascii="Arial" w:hAnsi="Arial" w:cs="Arial"/>
          <w:color w:val="000000" w:themeColor="text1"/>
          <w:sz w:val="20"/>
          <w:szCs w:val="20"/>
        </w:rPr>
        <w:t>4 x 10 repetitions of unilateral leg press exercise at 70% 1RM</w:t>
      </w:r>
      <w:r w:rsidR="00024415" w:rsidRPr="008072C7">
        <w:rPr>
          <w:rFonts w:ascii="Arial" w:hAnsi="Arial" w:cs="Arial"/>
          <w:color w:val="000000" w:themeColor="text1"/>
          <w:sz w:val="20"/>
          <w:szCs w:val="20"/>
        </w:rPr>
        <w:t>. An interset rest period of 53s</w:t>
      </w:r>
      <w:r w:rsidR="006F3D96" w:rsidRPr="008072C7">
        <w:rPr>
          <w:rFonts w:ascii="Arial" w:hAnsi="Arial" w:cs="Arial"/>
          <w:color w:val="000000" w:themeColor="text1"/>
          <w:sz w:val="20"/>
          <w:szCs w:val="20"/>
        </w:rPr>
        <w:t xml:space="preserve"> </w:t>
      </w:r>
      <w:r w:rsidR="00024415" w:rsidRPr="008072C7">
        <w:rPr>
          <w:rFonts w:ascii="Arial" w:hAnsi="Arial" w:cs="Arial"/>
          <w:color w:val="000000" w:themeColor="text1"/>
          <w:sz w:val="20"/>
          <w:szCs w:val="20"/>
        </w:rPr>
        <w:t>was used for th</w:t>
      </w:r>
      <w:r w:rsidR="00362ECA" w:rsidRPr="008072C7">
        <w:rPr>
          <w:rFonts w:ascii="Arial" w:hAnsi="Arial" w:cs="Arial"/>
          <w:color w:val="000000" w:themeColor="text1"/>
          <w:sz w:val="20"/>
          <w:szCs w:val="20"/>
        </w:rPr>
        <w:t xml:space="preserve">e HLRE trial, to ensure that the overall exercise </w:t>
      </w:r>
      <w:r w:rsidR="00134039" w:rsidRPr="008072C7">
        <w:rPr>
          <w:rFonts w:ascii="Arial" w:hAnsi="Arial" w:cs="Arial"/>
          <w:color w:val="000000" w:themeColor="text1"/>
          <w:sz w:val="20"/>
          <w:szCs w:val="20"/>
        </w:rPr>
        <w:t>duration</w:t>
      </w:r>
      <w:r w:rsidR="00F144A7" w:rsidRPr="008072C7">
        <w:rPr>
          <w:rFonts w:ascii="Arial" w:hAnsi="Arial" w:cs="Arial"/>
          <w:color w:val="000000" w:themeColor="text1"/>
          <w:sz w:val="20"/>
          <w:szCs w:val="20"/>
        </w:rPr>
        <w:t xml:space="preserve"> was equal</w:t>
      </w:r>
      <w:r w:rsidR="00362ECA" w:rsidRPr="008072C7">
        <w:rPr>
          <w:rFonts w:ascii="Arial" w:hAnsi="Arial" w:cs="Arial"/>
          <w:color w:val="000000" w:themeColor="text1"/>
          <w:sz w:val="20"/>
          <w:szCs w:val="20"/>
        </w:rPr>
        <w:t xml:space="preserve"> across all protocols </w:t>
      </w:r>
      <w:r w:rsidR="00F144A7" w:rsidRPr="008072C7">
        <w:rPr>
          <w:rFonts w:ascii="Arial" w:hAnsi="Arial" w:cs="Arial"/>
          <w:color w:val="000000" w:themeColor="text1"/>
          <w:sz w:val="20"/>
          <w:szCs w:val="20"/>
        </w:rPr>
        <w:t>and</w:t>
      </w:r>
      <w:r w:rsidR="00362ECA" w:rsidRPr="008072C7">
        <w:rPr>
          <w:rFonts w:ascii="Arial" w:hAnsi="Arial" w:cs="Arial"/>
          <w:color w:val="000000" w:themeColor="text1"/>
          <w:sz w:val="20"/>
          <w:szCs w:val="20"/>
        </w:rPr>
        <w:t xml:space="preserve"> thus post-exercise measures were conducted at the same</w:t>
      </w:r>
      <w:r w:rsidR="00F144A7" w:rsidRPr="008072C7">
        <w:rPr>
          <w:rFonts w:ascii="Arial" w:hAnsi="Arial" w:cs="Arial"/>
          <w:color w:val="000000" w:themeColor="text1"/>
          <w:sz w:val="20"/>
          <w:szCs w:val="20"/>
        </w:rPr>
        <w:t xml:space="preserve"> time</w:t>
      </w:r>
      <w:r w:rsidR="00362ECA" w:rsidRPr="008072C7">
        <w:rPr>
          <w:rFonts w:ascii="Arial" w:hAnsi="Arial" w:cs="Arial"/>
          <w:color w:val="000000" w:themeColor="text1"/>
          <w:sz w:val="20"/>
          <w:szCs w:val="20"/>
        </w:rPr>
        <w:t xml:space="preserve"> </w:t>
      </w:r>
      <w:r w:rsidR="00F144A7" w:rsidRPr="008072C7">
        <w:rPr>
          <w:rFonts w:ascii="Arial" w:hAnsi="Arial" w:cs="Arial"/>
          <w:color w:val="000000" w:themeColor="text1"/>
          <w:sz w:val="20"/>
          <w:szCs w:val="20"/>
        </w:rPr>
        <w:t xml:space="preserve">relative to </w:t>
      </w:r>
      <w:r w:rsidR="00362ECA" w:rsidRPr="008072C7">
        <w:rPr>
          <w:rFonts w:ascii="Arial" w:hAnsi="Arial" w:cs="Arial"/>
          <w:color w:val="000000" w:themeColor="text1"/>
          <w:sz w:val="20"/>
          <w:szCs w:val="20"/>
        </w:rPr>
        <w:t xml:space="preserve">exercise completion. </w:t>
      </w:r>
      <w:r w:rsidR="00024415" w:rsidRPr="008072C7">
        <w:rPr>
          <w:rFonts w:ascii="Arial" w:hAnsi="Arial" w:cs="Arial"/>
          <w:color w:val="000000" w:themeColor="text1"/>
          <w:sz w:val="20"/>
          <w:szCs w:val="20"/>
        </w:rPr>
        <w:t>Both protocols were designed consistent with recommendations for each type of exercise</w:t>
      </w:r>
      <w:r w:rsidR="0053250D" w:rsidRPr="008072C7">
        <w:rPr>
          <w:rFonts w:ascii="Arial" w:hAnsi="Arial" w:cs="Arial"/>
          <w:color w:val="000000" w:themeColor="text1"/>
          <w:sz w:val="20"/>
          <w:szCs w:val="20"/>
        </w:rPr>
        <w:t xml:space="preserve"> </w:t>
      </w:r>
      <w:r w:rsidR="0053250D"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{"citationItems":[{"id":"ITEM-1","itemData":{"DOI":"10.1249/MSS.0b013e318213fefb","ISBN":"0195-9131","ISSN":"01959131","PMID":"21694556","abstract":"The purpose of this Position Stand is to provide guidance to professionals who counsel and prescribe individualized exercise to apparently healthy adults of all ages. These recommendations also may apply to adults with certain chronic diseases or disabilities, when appropriately evaluated and advised by a health professional. This document supersedes the 1998 American College of Sports Medicine (ACSM) Position Stand, \"The Recommended Quantity and Quality of Exercise for Developing and Maintaining Cardiorespiratory and Muscular Fitness, and Flexibility in Healthy Adults.\" The scientific evidence demonstrating the beneficial effects of exercise is indisputable, and the benefits of exercise far outweigh the risks in most adults. A program of regular exercise that includes cardiorespiratory, resistance, flexibility, and neuromotor exercise training beyond activities of daily living to improve and maintain physical fitness and health is essential for most adults. The ACSM recommends that most adults engage in moderate-intensity cardiorespiratory exercise training for ≥30 min·d on ≥5 d·wk for a total of ≥150 min·wk, vigorous-intensity cardiorespiratory exercise training for ≥20 min·d on ≥3 d·wk (≥75 min·wk), or a combination of moderate- and vigorous-intensity exercise to achieve a total energy expenditure of ≥500-1000 MET·min·wk. On 2-3 d·wk, adults should also perform resistance exercises for each of the major muscle groups, and neuromotor exercise involving balance, agility, and coordination. Crucial to maintaining joint range of movement, completing a series of flexibility exercises for each the major muscle-tendon groups (a total of 60 s per exercise) on ≥2 d·wk is recommended. The exercise program should be modified according to an individual's habitual physical activity, physical function, health status, exercise responses, and stated goals. Adults who are unable or unwilling to meet the exercise targets outlined here still can benefit from engaging in amounts of exercise less than recommended. In addition to exercising regularly, there are health benefits in concurrently reducing total time engaged in sedentary pursuits and also by interspersing frequent, short bouts of standing and physical activity between periods of sedentary activity, even in physically active adults. Behaviorally based exercise interventions, the use of behavior change strategies, supervision by an experienced fitness instructor, and exercise that is pleasant and enjoyable can im…","author":[{"dropping-particle":"","family":"Garber","given":"Carol Ewing","non-dropping-particle":"","parse-names":false,"suffix":""},{"dropping-particle":"","family":"Blissmer","given":"Bryan","non-dropping-particle":"","parse-names":false,"suffix":""},{"dropping-particle":"","family":"Deschenes","given":"Michael R.","non-dropping-particle":"","parse-names":false,"suffix":""},{"dropping-particle":"","family":"Franklin","given":"Barry A.","non-dropping-particle":"","parse-names":false,"suffix":""},{"dropping-particle":"","family":"Lamonte","given":"Michael J.","non-dropping-particle":"","parse-names":false,"suffix":""},{"dropping-particle":"","family":"Lee","given":"I. Min","non-dropping-particle":"","parse-names":false,"suffix":""},{"dropping-particle":"","family":"Nieman","given":"David C.","non-dropping-particle":"","parse-names":false,"suffix":""},{"dropping-particle":"","family":"Swain","given":"David P.","non-dropping-particle":"","parse-names":false,"suffix":""}],"container-title":"Medicine and Science in Sports and Exercise","id":"ITEM-1","issue":"7","issued":{"date-parts":[["2011"]]},"page":"1334-1359","title":"Quantity and quality of exercise for developing and maintaining cardiorespiratory, musculoskeletal, and neuromotor fitness in apparently healthy adults: Guidance for prescribing exercise","type":"article-journal","volume":"43"},"uris":["http://www.mendeley.com/documents/?uuid=61d6ec3a-06f4-4e13-9487-b1d8b21f156a"]},{"id":"ITEM-2","itemData":{"DOI":"10.3389/fphys.2019.00533","ISSN":"1664042X","abstract":"The current manuscript sets out a position stand for blood flow restriction (BFR) exercise, focusing on the methodology, application and safety of this mode of training. With the emergence of this technique and the wide variety of applications within the literature, the aim of this position stand is to set out a current research informed guide to BFR training to practitioners. This covers the use of BFR to enhance muscular strength and hypertrophy via training with resistance and aerobic exercise and preventing muscle atrophy using the technique passively. The authorship team for this article was selected from the researchers focused in BFR training research with expertise in exercise science, strength and conditioning and sports medicine.","author":[{"dropping-particle":"","family":"Patterson","given":"Stephen D.","non-dropping-particle":"","parse-names":false,"suffix":""},{"dropping-particle":"","family":"Hughes","given":"Luke","non-dropping-particle":"","parse-names":false,"suffix":""},{"dropping-particle":"","family":"Warmington","given":"Stuart","non-dropping-particle":"","parse-names":false,"suffix":""},{"dropping-particle":"","family":"Burr","given":"Jamie","non-dropping-particle":"","parse-names":false,"suffix":""},{"dropping-particle":"","family":"Scott","given":"Brendan R.","non-dropping-particle":"","parse-names":false,"suffix":""},{"dropping-particle":"","family":"Owens","given":"Johnny","non-dropping-particle":"","parse-names":false,"suffix":""},{"dropping-particle":"","family":"Abe","given":"Takashi","non-dropping-particle":"","parse-names":false,"suffix":""},{"dropping-particle":"","family":"Nielsen","given":"Jakob L.","non-dropping-particle":"","parse-names":false,"suffix":""},{"dropping-particle":"","family":"Libardi","given":"Cleiton Augusto","non-dropping-particle":"","parse-names":false,"suffix":""},{"dropping-particle":"","family":"Laurentino","given":"Gilberto","non-dropping-particle":"","parse-names":false,"suffix":""},{"dropping-particle":"","family":"Neto","given":"Gabriel Rodrigues","non-dropping-particle":"","parse-names":false,"suffix":""},{"dropping-particle":"","family":"Brandner","given":"Christopher","non-dropping-particle":"","parse-names":false,"suffix":""},{"dropping-particle":"","family":"Martin-Hernandez","given":"Juan","non-dropping-particle":"","parse-names":false,"suffix":""},{"dropping-particle":"","family":"Loenneke","given":"Jeremy","non-dropping-particle":"","parse-names":false,"suffix":""}],"container-title":"Frontiers in Physiology","id":"ITEM-2","issued":{"date-parts":[["2019"]]},"page":"1-15","title":"Blood flow restriction exercise: Considerations of Methodology, Application, and Safety","type":"article-journal"},"uris":["http://www.mendeley.com/documents/?uuid=47ee8dfa-8a1e-4781-9e45-3c78a40f261e"]}],"mendeley":{"formattedCitation":"(14, 54)","plainTextFormattedCitation":"(14, 54)","previouslyFormattedCitation":"(14, 54)"},"properties":{"noteIndex":0},"schema":"https://github.com/citation-style-language/schema/raw/master/csl-citation.json"}</w:instrText>
      </w:r>
      <w:r w:rsidR="0053250D"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(14, 54)</w:t>
      </w:r>
      <w:r w:rsidR="0053250D" w:rsidRPr="008072C7">
        <w:rPr>
          <w:rFonts w:ascii="Arial" w:hAnsi="Arial" w:cs="Arial"/>
          <w:color w:val="000000" w:themeColor="text1"/>
          <w:sz w:val="20"/>
          <w:szCs w:val="20"/>
        </w:rPr>
        <w:fldChar w:fldCharType="end"/>
      </w:r>
      <w:r w:rsidR="0053250D" w:rsidRPr="008072C7">
        <w:rPr>
          <w:rFonts w:ascii="Arial" w:hAnsi="Arial" w:cs="Arial"/>
          <w:color w:val="000000" w:themeColor="text1"/>
          <w:sz w:val="20"/>
          <w:szCs w:val="20"/>
        </w:rPr>
        <w:t xml:space="preserve">. </w:t>
      </w:r>
      <w:r w:rsidR="005E7148" w:rsidRPr="008072C7">
        <w:rPr>
          <w:rFonts w:ascii="Arial" w:hAnsi="Arial" w:cs="Arial"/>
          <w:color w:val="000000" w:themeColor="text1"/>
          <w:sz w:val="20"/>
          <w:szCs w:val="20"/>
        </w:rPr>
        <w:t>Exercise volume (kg) was calculated as:</w:t>
      </w:r>
      <w:r w:rsidR="0013798A" w:rsidRPr="008072C7">
        <w:rPr>
          <w:rFonts w:ascii="Arial" w:hAnsi="Arial" w:cs="Arial"/>
          <w:color w:val="000000" w:themeColor="text1"/>
          <w:sz w:val="20"/>
          <w:szCs w:val="20"/>
        </w:rPr>
        <w:t xml:space="preserve"> </w:t>
      </w:r>
      <w:r w:rsidR="005E7148" w:rsidRPr="008072C7">
        <w:rPr>
          <w:rFonts w:ascii="Arial" w:hAnsi="Arial" w:cs="Arial"/>
          <w:color w:val="000000" w:themeColor="text1"/>
          <w:sz w:val="20"/>
          <w:szCs w:val="20"/>
        </w:rPr>
        <w:t>repetitions x exercise load (kg).</w:t>
      </w:r>
    </w:p>
    <w:p w14:paraId="4E6C9C40" w14:textId="0222BB10" w:rsidR="00DE250F" w:rsidRPr="008072C7" w:rsidRDefault="00DE250F" w:rsidP="00476D7D">
      <w:pPr>
        <w:pStyle w:val="Heading2"/>
        <w:rPr>
          <w:rFonts w:ascii="Arial" w:hAnsi="Arial" w:cs="Arial"/>
          <w:sz w:val="20"/>
          <w:szCs w:val="20"/>
        </w:rPr>
      </w:pPr>
      <w:r w:rsidRPr="008072C7">
        <w:rPr>
          <w:rFonts w:ascii="Arial" w:hAnsi="Arial" w:cs="Arial"/>
          <w:sz w:val="20"/>
          <w:szCs w:val="20"/>
        </w:rPr>
        <w:lastRenderedPageBreak/>
        <w:t>Blood flow restriction</w:t>
      </w:r>
    </w:p>
    <w:p w14:paraId="40462C9F" w14:textId="0922285A" w:rsidR="005E7148" w:rsidRPr="008072C7" w:rsidRDefault="00DE250F" w:rsidP="00476D7D">
      <w:pPr>
        <w:rPr>
          <w:rFonts w:ascii="Arial" w:hAnsi="Arial" w:cs="Arial"/>
          <w:color w:val="000000" w:themeColor="text1"/>
          <w:sz w:val="20"/>
          <w:szCs w:val="20"/>
        </w:rPr>
      </w:pPr>
      <w:r w:rsidRPr="008072C7">
        <w:rPr>
          <w:rFonts w:ascii="Arial" w:hAnsi="Arial" w:cs="Arial"/>
          <w:color w:val="000000" w:themeColor="text1"/>
          <w:sz w:val="20"/>
          <w:szCs w:val="20"/>
        </w:rPr>
        <w:t>An automatic Personalised Tourniquet system (Delfi Medical Inc, Vancouver, BC, Canada) was used to apply BFR. This system is designed to automatically calculate LOP</w:t>
      </w:r>
      <w:r w:rsidR="00802742" w:rsidRPr="008072C7">
        <w:rPr>
          <w:rFonts w:ascii="Arial" w:hAnsi="Arial" w:cs="Arial"/>
          <w:color w:val="000000" w:themeColor="text1"/>
          <w:sz w:val="20"/>
          <w:szCs w:val="20"/>
        </w:rPr>
        <w:t>, defined as the minimum pressure required for full arterial occlusion</w:t>
      </w:r>
      <w:r w:rsidR="000C14F5" w:rsidRPr="008072C7">
        <w:rPr>
          <w:rFonts w:ascii="Arial" w:hAnsi="Arial" w:cs="Arial"/>
          <w:color w:val="000000" w:themeColor="text1"/>
          <w:sz w:val="20"/>
          <w:szCs w:val="20"/>
        </w:rPr>
        <w:t xml:space="preserve"> of a limb</w:t>
      </w:r>
      <w:r w:rsidR="00802742" w:rsidRPr="008072C7">
        <w:rPr>
          <w:rFonts w:ascii="Arial" w:hAnsi="Arial" w:cs="Arial"/>
          <w:color w:val="000000" w:themeColor="text1"/>
          <w:sz w:val="20"/>
          <w:szCs w:val="20"/>
        </w:rPr>
        <w:t xml:space="preserve"> </w:t>
      </w:r>
      <w:r w:rsidR="00802742" w:rsidRPr="008072C7">
        <w:rPr>
          <w:rFonts w:ascii="Arial" w:hAnsi="Arial" w:cs="Arial"/>
          <w:color w:val="000000" w:themeColor="text1"/>
          <w:sz w:val="20"/>
          <w:szCs w:val="20"/>
        </w:rPr>
        <w:fldChar w:fldCharType="begin" w:fldLock="1"/>
      </w:r>
      <w:r w:rsidR="003E3195" w:rsidRPr="008072C7">
        <w:rPr>
          <w:rFonts w:ascii="Arial" w:hAnsi="Arial" w:cs="Arial"/>
          <w:color w:val="000000" w:themeColor="text1"/>
          <w:sz w:val="20"/>
          <w:szCs w:val="20"/>
        </w:rPr>
        <w:instrText>ADDIN CSL_CITATION {"citationItems":[{"id":"ITEM-1","itemData":{"DOI":"10.1016/j.aorn.2007.09.004","ISBN":"0001-2092","ISSN":"00012092","PMID":"18268836","author":[{"dropping-particle":"","family":"AORN Recommended Practices Committee","given":"","non-dropping-particle":"","parse-names":false,"suffix":""}],"container-title":"AORN journal","id":"ITEM-1","issue":"4","issued":{"date-parts":[["2007"]]},"page":"640-655","title":"Recommended practices for the use of the pneumatic tourniquet in the perioperative practice setting","type":"article-journal","volume":"86"},"uris":["http://www.mendeley.com/documents/?uuid=cf3f732c-e54b-418b-b2fc-1ec368247db2"]}],"mendeley":{"formattedCitation":"(1)","plainTextFormattedCitation":"(1)","previouslyFormattedCitation":"(1)"},"properties":{"noteIndex":0},"schema":"https://github.com/citation-style-language/schema/raw/master/csl-citation.json"}</w:instrText>
      </w:r>
      <w:r w:rsidR="00802742" w:rsidRPr="008072C7">
        <w:rPr>
          <w:rFonts w:ascii="Arial" w:hAnsi="Arial" w:cs="Arial"/>
          <w:color w:val="000000" w:themeColor="text1"/>
          <w:sz w:val="20"/>
          <w:szCs w:val="20"/>
        </w:rPr>
        <w:fldChar w:fldCharType="separate"/>
      </w:r>
      <w:r w:rsidR="003E3195" w:rsidRPr="008072C7">
        <w:rPr>
          <w:rFonts w:ascii="Arial" w:hAnsi="Arial" w:cs="Arial"/>
          <w:noProof/>
          <w:color w:val="000000" w:themeColor="text1"/>
          <w:sz w:val="20"/>
          <w:szCs w:val="20"/>
        </w:rPr>
        <w:t>(1)</w:t>
      </w:r>
      <w:r w:rsidR="00802742" w:rsidRPr="008072C7">
        <w:rPr>
          <w:rFonts w:ascii="Arial" w:hAnsi="Arial" w:cs="Arial"/>
          <w:color w:val="000000" w:themeColor="text1"/>
          <w:sz w:val="20"/>
          <w:szCs w:val="20"/>
        </w:rPr>
        <w:fldChar w:fldCharType="end"/>
      </w:r>
      <w:r w:rsidR="00802742" w:rsidRPr="008072C7">
        <w:rPr>
          <w:rFonts w:ascii="Arial" w:hAnsi="Arial" w:cs="Arial"/>
          <w:color w:val="000000" w:themeColor="text1"/>
          <w:sz w:val="20"/>
          <w:szCs w:val="20"/>
        </w:rPr>
        <w:t xml:space="preserve">, and has clinically acceptable accuracy and high reliability </w:t>
      </w:r>
      <w:r w:rsidR="00802742"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{"citationItems":[{"id":"ITEM-1","itemData":{"DOI":"10.1007/978-3-319-19387-8","ISBN":"9783319193878","ISSN":"16800737","abstract":"18F-Fluorocholine (FCH) PET imaging is of interest for the localization of prostate cancer and has the potential to allow more accurate targeting for both biopsy and intra-prostatic radiation dose escalation. However, studies using the standardized uptake value (SUV) have been unable to differentiate prostate cancer from benign prostatic hyperplasia, despite the fact that prostate cancer exhibits overexpression of choline kinase as well as higher phosphocholine levels compared to benign tissue. This may be due to the confounding effects of blood flow and blood volume in the local vasculature, which cannot be discriminated using the SUV. Kinetic analysis can account for this confounding effect by estimating the k3 parameter, which represents the activity of the choline kinase enzyme, but this is difficult because high parameter covariance reduces the robustness of the k3 estimate. We developed a hybrid DCE-CT/PET kinetic model, which uses DCE-CT blood flow, blood volume, and permeability functional maps to reduce the effect of parameter covariance. Furthermore, this linearized model is solved with a non-negative least squares algorithm and offers several advantages compared to nonlinear algorithms: 1) only one possible solution independent of the choice of starting parameter values, 2) parameter estimates are comparable in accuracy to those from nonlinear models, 3) significantly reduced computational time. Simulations showed a k3 bias of 76% with precision of 82.7%, which improved to 9.5% and 23.5%, respectively, when DCE-CT measurements were incorporated into the model. Preliminary results from a PC-3 mouse model and a human prostate cancer study show that k3 functional maps exhibit significantly higher tumor-to-background ratios compared to SUV maps and distribution volume maps calculated via graphical analysis with the Logan Plot. This computationally efficient technique has the potential to provide more accurate targeting of biopsy and intra-prostatic radiation dose escalation.","author":[{"dropping-particle":"","family":"McEwen","given":"J A","non-dropping-particle":"","parse-names":false,"suffix":""},{"dropping-particle":"","family":"Masri","given":"B A","non-dropping-particle":"","parse-names":false,"suffix":""},{"dropping-particle":"","family":"Day","given":"B","non-dropping-particle":"","parse-names":false,"suffix":""},{"dropping-particle":"","family":"Younger","given":"A S","non-dropping-particle":"","parse-names":false,"suffix":""},{"dropping-particle":"","family":"Jaffray","given":"David A.","non-dropping-particle":"","parse-names":false,"suffix":""},{"dropping-particle":"","family":"McEwen","given":"J A","non-dropping-particle":"","parse-names":false,"suffix":""},{"dropping-particle":"","family":"Masri","given":"B A","non-dropping-particle":"","parse-names":false,"suffix":""},{"dropping-particle":"","family":"Day","given":"B","non-dropping-particle":"","parse-names":false,"suffix":""},{"dropping-particle":"","family":"Younger","given":"A S","non-dropping-particle":"","parse-names":false,"suffix":""}],"container-title":"IFMBE Proceedings","id":"ITEM-1","issue":"November 2016","issued":{"date-parts":[["2015"]]},"title":"World congress on medical physics and biomedical engineering, june 7-12, 2015, Toronto, Canada","type":"article-journal","volume":"51"},"uris":["http://www.mendeley.com/documents/?uuid=04802f9c-d88b-4f43-b62a-9cdfb3e1f2dd"]},{"id":"ITEM-2","itemData":{"DOI":"10.1074/jbc.M115.641514","ISBN":"9780735405042","ISSN":"2167-8359","PMID":"29736337","abstract":"© 2018 Hughes et al. Background: Total arterial occlusive pressure (AOP) is used to prescribe pressures for surgery, blood flow restriction exercise (BFRE) and ischemic preconditioning (IPC). AOP is often measured in a supine position; however, the influence of body position on AOP measurement is unknown and may influence level of occlusion in different positions during BFR and IPC. The aim of this study was therefore to investigate the influence of body position on AOP. Methods: Fifty healthy individuals (age = 29 ± 6 y) underwent AOP measurements on the dominant lower-limb in supine, seated and standing positions in a randomised order. AOP was measured automatically using the DelfiPersonalised Tourniquet System device, with each measurement separated by 5 min of rest. Results: Arterial occlusive pressure was significantly lower in the supine position compared to the seated position (187.00 ± 32.5 vs 204.00 ± 28.5 mmHg, p &lt; 0.001) and standing position (187.00 ± 32.5 vs 241.50 ± 49.3 mmHg, p &lt; 0.001). AOP was significantly higher in the standing position compared to the seated position (241.50 ± 49.3 vs 204.00 ± 28.5 mmHg, p &lt; 0.001). Discussion: Arterial occlusive pressure measurement is body position dependent, thus for accurate prescription of occlusion pressure during surgery, BFR and IPC, AOP should be measured in the position intended for subsequent application of occlusion.","author":[{"dropping-particle":"","family":"Hughes","given":"Luke","non-dropping-particle":"","parse-names":false,"suffix":""},{"dropping-particle":"","family":"Jeffries","given":"Owen","non-dropping-particle":"","parse-names":false,"suffix":""},{"dropping-particle":"","family":"Waldron","given":"Mark","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David","non-dropping-particle":"","parse-names":false,"suffix":""}],"container-title":"PeerJ","id":"ITEM-2","issued":{"date-parts":[["2018"]]},"page":"e4697","title":"Influence and reliability of lower-limb arterial occlusion pressure at different body positions","type":"article-journal","volume":"6"},"uris":["http://www.mendeley.com/documents/?uuid=418bca36-da40-415b-89fd-0780cd9c36fd"]}],"mendeley":{"formattedCitation":"(24, 49)","plainTextFormattedCitation":"(24, 49)","previouslyFormattedCitation":"(24, 49)"},"properties":{"noteIndex":0},"schema":"https://github.com/citation-style-language/schema/raw/master/csl-citation.json"}</w:instrText>
      </w:r>
      <w:r w:rsidR="00802742"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(24, 49)</w:t>
      </w:r>
      <w:r w:rsidR="00802742" w:rsidRPr="008072C7">
        <w:rPr>
          <w:rFonts w:ascii="Arial" w:hAnsi="Arial" w:cs="Arial"/>
          <w:color w:val="000000" w:themeColor="text1"/>
          <w:sz w:val="20"/>
          <w:szCs w:val="20"/>
        </w:rPr>
        <w:fldChar w:fldCharType="end"/>
      </w:r>
      <w:r w:rsidR="00802742" w:rsidRPr="008072C7">
        <w:rPr>
          <w:rFonts w:ascii="Arial" w:hAnsi="Arial" w:cs="Arial"/>
          <w:color w:val="000000" w:themeColor="text1"/>
          <w:sz w:val="20"/>
          <w:szCs w:val="20"/>
        </w:rPr>
        <w:t>.</w:t>
      </w:r>
      <w:r w:rsidR="006C4CD0" w:rsidRPr="008072C7">
        <w:rPr>
          <w:rFonts w:ascii="Arial" w:hAnsi="Arial" w:cs="Arial"/>
          <w:color w:val="000000" w:themeColor="text1"/>
          <w:sz w:val="20"/>
          <w:szCs w:val="20"/>
        </w:rPr>
        <w:t xml:space="preserve"> This system has a dual purpose variable contour cuff (11.5 x 86 cm) </w:t>
      </w:r>
      <w:r w:rsidR="00175BB8" w:rsidRPr="008072C7">
        <w:rPr>
          <w:rFonts w:ascii="Arial" w:hAnsi="Arial" w:cs="Arial"/>
          <w:color w:val="000000" w:themeColor="text1"/>
          <w:sz w:val="20"/>
          <w:szCs w:val="20"/>
        </w:rPr>
        <w:t xml:space="preserve">connected by airtight hose tubing to a Personalised Tourniquet </w:t>
      </w:r>
      <w:r w:rsidR="00801263" w:rsidRPr="008072C7">
        <w:rPr>
          <w:rFonts w:ascii="Arial" w:hAnsi="Arial" w:cs="Arial"/>
          <w:color w:val="000000" w:themeColor="text1"/>
          <w:sz w:val="20"/>
          <w:szCs w:val="20"/>
        </w:rPr>
        <w:t>device</w:t>
      </w:r>
      <w:r w:rsidR="00175BB8" w:rsidRPr="008072C7">
        <w:rPr>
          <w:rFonts w:ascii="Arial" w:hAnsi="Arial" w:cs="Arial"/>
          <w:color w:val="000000" w:themeColor="text1"/>
          <w:sz w:val="20"/>
          <w:szCs w:val="20"/>
        </w:rPr>
        <w:t xml:space="preserve"> and automatically regulates pressure within acceptable limits </w:t>
      </w:r>
      <w:r w:rsidR="00175BB8"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{"citationItems":[{"id":"ITEM-1","itemData":{"DOI":"10.1111/sms.13092","ISSN":"09057188","PMID":"29630752","abstract":"This study examined the cuff to limb interface pressure during blood flow restriction (BFR), and the perceptual and mean arterial pressure responses, in different BFR systems. Eighteen participants attended three experimental sessions in a randomised, crossover, counterbalanced design. Participants underwent inflations at 40% and 80% limb occlusive pressure (LOP) at rest and completed 4 sets of unilateral leg press exercise at 30% of one repetition maximum with BFR at 80% LOP. Different BFR systems were used each session: an automatic rapid-inflation (RI), automatic personalised tourniquet (PT) and manual handheld pump and sphygmomanometer (HS) system. Interface pressure was measured using a universal interface device with pressure sensors. Perceived exertion and pain were measured after each set, mean arterial pressure (MAP) was measured pre-, 1-min post- and 5-min post-exercise. Interface pressure was lower than the set pressure in all BFR systems at rest (p&lt;0.05). Interface pressure was, on average, 10 ± 8 and 48 ± 36 mmHg higher than the set pressure in the RI and HS system (p&lt;0.01), with no differences observed in the PT system (p&gt;0.05), during exercise. Pain and exertion were greater in sets 3 and 4 in the RI and HS system compared to the PT system (p&lt;0.05). MAP was higher in the RI and HS system compared to the PT system at 1-min and 5 min post-exercise (p&lt;0.05). BFR systems applying higher pressures amplify mean arterial pressure and perceptual responses. Automatic BFR systems appear to regulate pressure effectively within an acceptable range during BFR exercise.","author":[{"dropping-particle":"","family":"Hughes","given":"Luke","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David","non-dropping-particle":"","parse-names":false,"suffix":""}],"container-title":"Scandinavian Journal of Medicine &amp; Science in Sports","id":"ITEM-1","issue":"7","issued":{"date-parts":[["2018"]]},"page":"1757-1765","title":"Interface pressure, perceptual and mean arterial pressure responses to different blood flow restriction systems","type":"article-journal","volume":"28"},"uris":["http://www.mendeley.com/documents/?uuid=723dfb66-f803-4b0a-b185-209c6c548655"]}],"mendeley":{"formattedCitation":"(30)","plainTextFormattedCitation":"(30)","previouslyFormattedCitation":"(30)"},"properties":{"noteIndex":0},"schema":"https://github.com/citation-style-language/schema/raw/master/csl-citation.json"}</w:instrText>
      </w:r>
      <w:r w:rsidR="00175BB8"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(30)</w:t>
      </w:r>
      <w:r w:rsidR="00175BB8" w:rsidRPr="008072C7">
        <w:rPr>
          <w:rFonts w:ascii="Arial" w:hAnsi="Arial" w:cs="Arial"/>
          <w:color w:val="000000" w:themeColor="text1"/>
          <w:sz w:val="20"/>
          <w:szCs w:val="20"/>
        </w:rPr>
        <w:fldChar w:fldCharType="end"/>
      </w:r>
      <w:r w:rsidR="00175BB8" w:rsidRPr="008072C7">
        <w:rPr>
          <w:rFonts w:ascii="Arial" w:hAnsi="Arial" w:cs="Arial"/>
          <w:color w:val="000000" w:themeColor="text1"/>
          <w:sz w:val="20"/>
          <w:szCs w:val="20"/>
        </w:rPr>
        <w:t xml:space="preserve">. With </w:t>
      </w:r>
      <w:r w:rsidR="0003531C" w:rsidRPr="008072C7">
        <w:rPr>
          <w:rFonts w:ascii="Arial" w:hAnsi="Arial" w:cs="Arial"/>
          <w:color w:val="000000" w:themeColor="text1"/>
          <w:sz w:val="20"/>
          <w:szCs w:val="20"/>
        </w:rPr>
        <w:t xml:space="preserve">participants positioned on the leg press </w:t>
      </w:r>
      <w:r w:rsidR="0003531C"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{"citationItems":[{"id":"ITEM-1","itemData":{"DOI":"10.1074/jbc.M115.641514","ISBN":"9780735405042","ISSN":"2167-8359","PMID":"29736337","abstract":"© 2018 Hughes et al. Background: Total arterial occlusive pressure (AOP) is used to prescribe pressures for surgery, blood flow restriction exercise (BFRE) and ischemic preconditioning (IPC). AOP is often measured in a supine position; however, the influence of body position on AOP measurement is unknown and may influence level of occlusion in different positions during BFR and IPC. The aim of this study was therefore to investigate the influence of body position on AOP. Methods: Fifty healthy individuals (age = 29 ± 6 y) underwent AOP measurements on the dominant lower-limb in supine, seated and standing positions in a randomised order. AOP was measured automatically using the DelfiPersonalised Tourniquet System device, with each measurement separated by 5 min of rest. Results: Arterial occlusive pressure was significantly lower in the supine position compared to the seated position (187.00 ± 32.5 vs 204.00 ± 28.5 mmHg, p &lt; 0.001) and standing position (187.00 ± 32.5 vs 241.50 ± 49.3 mmHg, p &lt; 0.001). AOP was significantly higher in the standing position compared to the seated position (241.50 ± 49.3 vs 204.00 ± 28.5 mmHg, p &lt; 0.001). Discussion: Arterial occlusive pressure measurement is body position dependent, thus for accurate prescription of occlusion pressure during surgery, BFR and IPC, AOP should be measured in the position intended for subsequent application of occlusion.","author":[{"dropping-particle":"","family":"Hughes","given":"Luke","non-dropping-particle":"","parse-names":false,"suffix":""},{"dropping-particle":"","family":"Jeffries","given":"Owen","non-dropping-particle":"","parse-names":false,"suffix":""},{"dropping-particle":"","family":"Waldron","given":"Mark","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David","non-dropping-particle":"","parse-names":false,"suffix":""}],"container-title":"PeerJ","id":"ITEM-1","issued":{"date-parts":[["2018"]]},"page":"e4697","title":"Influence and reliability of lower-limb arterial occlusion pressure at different body positions","type":"article-journal","volume":"6"},"uris":["http://www.mendeley.com/documents/?uuid=418bca36-da40-415b-89fd-0780cd9c36fd"]}],"mendeley":{"formattedCitation":"(24)","plainTextFormattedCitation":"(24)","previouslyFormattedCitation":"(24)"},"properties":{"noteIndex":0},"schema":"https://github.com/citation-style-language/schema/raw/master/csl-citation.json"}</w:instrText>
      </w:r>
      <w:r w:rsidR="0003531C"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(24)</w:t>
      </w:r>
      <w:r w:rsidR="0003531C" w:rsidRPr="008072C7">
        <w:rPr>
          <w:rFonts w:ascii="Arial" w:hAnsi="Arial" w:cs="Arial"/>
          <w:color w:val="000000" w:themeColor="text1"/>
          <w:sz w:val="20"/>
          <w:szCs w:val="20"/>
        </w:rPr>
        <w:fldChar w:fldCharType="end"/>
      </w:r>
      <w:r w:rsidR="0003531C" w:rsidRPr="008072C7">
        <w:rPr>
          <w:rFonts w:ascii="Arial" w:hAnsi="Arial" w:cs="Arial"/>
          <w:color w:val="000000" w:themeColor="text1"/>
          <w:sz w:val="20"/>
          <w:szCs w:val="20"/>
        </w:rPr>
        <w:t xml:space="preserve"> the cuff was applied to the most proximal portion of the limb and LOP was calculated</w:t>
      </w:r>
      <w:r w:rsidR="004719A3" w:rsidRPr="008072C7">
        <w:rPr>
          <w:rFonts w:ascii="Arial" w:hAnsi="Arial" w:cs="Arial"/>
          <w:color w:val="000000" w:themeColor="text1"/>
          <w:sz w:val="20"/>
          <w:szCs w:val="20"/>
        </w:rPr>
        <w:t>. LOP was calculated at both the BFR40 and BFR80 trial.</w:t>
      </w:r>
      <w:r w:rsidR="0003531C" w:rsidRPr="008072C7">
        <w:rPr>
          <w:rFonts w:ascii="Arial" w:hAnsi="Arial" w:cs="Arial"/>
          <w:color w:val="000000" w:themeColor="text1"/>
          <w:sz w:val="20"/>
          <w:szCs w:val="20"/>
        </w:rPr>
        <w:t xml:space="preserve"> Following 2min rest, the cuff was inflated prior to beginning exercise.</w:t>
      </w:r>
    </w:p>
    <w:p w14:paraId="6D5F12A0" w14:textId="2ACA6508" w:rsidR="003E6D52" w:rsidRPr="008072C7" w:rsidRDefault="003E6D52" w:rsidP="00476D7D">
      <w:pPr>
        <w:pStyle w:val="Heading2"/>
        <w:rPr>
          <w:rFonts w:ascii="Arial" w:hAnsi="Arial" w:cs="Arial"/>
          <w:sz w:val="20"/>
          <w:szCs w:val="20"/>
        </w:rPr>
      </w:pPr>
      <w:r w:rsidRPr="008072C7">
        <w:rPr>
          <w:rFonts w:ascii="Arial" w:hAnsi="Arial" w:cs="Arial"/>
          <w:sz w:val="20"/>
          <w:szCs w:val="20"/>
        </w:rPr>
        <w:t>Pressure pain threshold</w:t>
      </w:r>
    </w:p>
    <w:p w14:paraId="1565A9EF" w14:textId="68245C28" w:rsidR="00AE3C1B" w:rsidRPr="008072C7" w:rsidRDefault="00A80736" w:rsidP="00476D7D">
      <w:pPr>
        <w:rPr>
          <w:rFonts w:ascii="Arial" w:hAnsi="Arial" w:cs="Arial"/>
          <w:color w:val="000000" w:themeColor="text1"/>
          <w:sz w:val="20"/>
          <w:szCs w:val="20"/>
          <w:lang w:val="en-US"/>
        </w:rPr>
      </w:pPr>
      <w:r w:rsidRPr="008072C7">
        <w:rPr>
          <w:rFonts w:ascii="Arial" w:hAnsi="Arial" w:cs="Arial"/>
          <w:color w:val="000000" w:themeColor="text1"/>
          <w:sz w:val="20"/>
          <w:szCs w:val="20"/>
        </w:rPr>
        <w:t>All PPT measurements were conducted with the participants seated with both arms resting on the thighs</w:t>
      </w:r>
      <w:r w:rsidR="00617AF5" w:rsidRPr="008072C7">
        <w:rPr>
          <w:rFonts w:ascii="Arial" w:hAnsi="Arial" w:cs="Arial"/>
          <w:color w:val="000000" w:themeColor="text1"/>
          <w:sz w:val="20"/>
          <w:szCs w:val="20"/>
        </w:rPr>
        <w:t xml:space="preserve"> </w:t>
      </w:r>
      <w:r w:rsidR="00617AF5"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{"citationItems":[{"id":"ITEM-1","itemData":{"DOI":"10.1093/pm/pny087","author":[{"dropping-particle":"","family":"Vaegter","given":"Henrik Bjarke","non-dropping-particle":"","parse-names":false,"suffix":""},{"dropping-particle":"","family":"Lyng","given":"Kristian Damgaard","non-dropping-particle":"","parse-names":false,"suffix":""},{"dropping-particle":"","family":"Yttereng","given":"Fredrik Wannaebo","non-dropping-particle":"","parse-names":false,"suffix":""},{"dropping-particle":"","family":"Christensen","given":"Mads Holst","non-dropping-particle":"","parse-names":false,"suffix":""},{"dropping-particle":"","family":"Sørensen","given":"Mathias Brandhøj","non-dropping-particle":"","parse-names":false,"suffix":""},{"dropping-particle":"","family":"Graven-Nielsen","given":"Thomas","non-dropping-particle":"","parse-names":false,"suffix":""}],"container-title":"Pain Medicine","id":"ITEM-1","issued":{"date-parts":[["2019"]]},"page":"129-137","title":"Exercise-Induced Hypoalgesia After Isometric Wall Squat Exercise: A Test-Retest Reliabilty Study","type":"article-journal","volume":"20"},"uris":["http://www.mendeley.com/documents/?uuid=13bcaea6-2ed5-4102-9872-fe7f32e48803"]},{"id":"ITEM-2","itemData":{"DOI":"10.1093/pm/pny009","author":[{"dropping-particle":"","family":"Vaegter","given":"Henrik Bjarke","non-dropping-particle":"","parse-names":false,"suffix":""},{"dropping-particle":"","family":"Bandholtz","given":"Daniel","non-dropping-particle":"","parse-names":false,"suffix":""},{"dropping-particle":"","family":"Schmidt","given":"Kristian Sonne","non-dropping-particle":"","parse-names":false,"suffix":""}],"id":"ITEM-2","issued":{"date-parts":[["2018"]]},"page":"2212-2222","title":"Test-Retest Reliabilty of Exercise-Induced Hypoalgesia After Aerobic Exercise","type":"article-journal"},"uris":["http://www.mendeley.com/documents/?uuid=31488ee1-0fb4-4bd0-9ace-832ae20dcfc4"]},{"id":"ITEM-3","itemData":{"DOI":"10.1016/j.pain.2013.09.023","ISSN":"03043959","abstract":"Pain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-3","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humans","type":"article-journal","volume":"155"},"uris":["http://www.mendeley.com/documents/?uuid=bcdda900-a48b-4fdf-9f12-6bd82a0db598"]},{"id":"ITEM-4","itemData":{"DOI":"10.1007/s00421-018-4002-0","ISBN":"0042101840","ISSN":"1439-6327","abstract":"Purpose Exercise decreases pain sensitivity known as exercise-induced hypoalgesia (EIH). However, the consistency of EIH after an acute exercise protocol based on subjective ratings of perceived exertion has been questioned. Objectives were to compare the effect on pressure pain thresholds (PPTs) after bicycling with work-rate at the lactate threshold compared with quiet rest, and investigate between-session reliability of EIH. Methods Thirty-four healthy subjects completed three sessions with 7 days in-between. In session 1, the lactate threshold was determined via blood samples (finger-tip pinprick, &gt; 2 mmol/l increase from warm-up) during a graded bicycling task. In session 2 and 3, all subjects performed (1) 15 min quiet-rest, and (2) 15 min bicycling (work-rate corresponding to the lactate threshold) in the two identical sessions. PPTs at the quadriceps and trapezius muscles were assessed before and after both conditions. Reliability was assessed by intraclass correlations (ICCs). Results Bicycling increased quadriceps PPT compared with quiet-rest in both sessions [mean difference: 45 kPa (95% CI 19–72 kPa), P = 0.002]; however, the increase in trapezius PPT was not significant after exercise. The EIH responses demon- strated fair between-session test–retest reliability (quadriceps: ICC = 0.45; trapezius: ICC = 0.57, P &lt; 0.05), and agreement in EIH responders and non-responders between sessions was significant (quadriceps: κ = 0.46 and trapezius: κ = 0.43, P &lt; 0.05). Conclusions In conclusion, bicycling at the lactate threshold increased PPT at the exercising muscle with fair reliability of the local EIH response. The results have implications for future EIH studies in subjects with and without pain and for clini- cians who design exercise programs for pain relief.","author":[{"dropping-particle":"","family":"Vaegter","given":"Henrik Bjarke","non-dropping-particle":"","parse-names":false,"suffix":""},{"dropping-particle":"","family":"Kathrine","given":"Louise","non-dropping-particle":"","parse-names":false,"suffix":""},{"dropping-particle":"","family":"Mia","given":"Bjerregaard","non-dropping-particle":"","parse-names":false,"suffix":""},{"dropping-particle":"","family":"Redin","given":"Maja","non-dropping-particle":"","parse-names":false,"suffix":""},{"dropping-particle":"","family":"Hartung","given":"Sara","non-dropping-particle":"","parse-names":false,"suffix":""},{"dropping-particle":"","family":"Nielsen","given":"Thomas Graven","non-dropping-particle":"","parse-names":false,"suffix":""}],"container-title":"European Journal of Applied Physiology","id":"ITEM-4","issue":"1","issued":{"date-parts":[["2018"]]},"page":"91-102","publisher":"Springer Berlin Heidelberg","title":"Hypoalgesia after bicycling at lactate threshold is reliable between sessions","type":"article-journal","volume":"19"},"uris":["http://www.mendeley.com/documents/?uuid=aea50657-d5be-4bc9-b4fd-cc06ba3181fa"]}],"mendeley":{"formattedCitation":"(67–70)","plainTextFormattedCitation":"(67–70)","previouslyFormattedCitation":"(67–70)"},"properties":{"noteIndex":0},"schema":"https://github.com/citation-style-language/schema/raw/master/csl-citation.json"}</w:instrText>
      </w:r>
      <w:r w:rsidR="00617AF5"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(67–70)</w:t>
      </w:r>
      <w:r w:rsidR="00617AF5"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w:t>
      </w:r>
      <w:r w:rsidR="00C04BB5" w:rsidRPr="008072C7">
        <w:rPr>
          <w:rFonts w:ascii="Arial" w:hAnsi="Arial" w:cs="Arial"/>
          <w:color w:val="000000" w:themeColor="text1"/>
          <w:sz w:val="20"/>
          <w:szCs w:val="20"/>
        </w:rPr>
        <w:t>PPTs were assessed</w:t>
      </w:r>
      <w:r w:rsidRPr="008072C7">
        <w:rPr>
          <w:rFonts w:ascii="Arial" w:hAnsi="Arial" w:cs="Arial"/>
          <w:color w:val="000000" w:themeColor="text1"/>
          <w:sz w:val="20"/>
          <w:szCs w:val="20"/>
        </w:rPr>
        <w:t xml:space="preserve"> </w:t>
      </w:r>
      <w:r w:rsidR="00961AD5" w:rsidRPr="008072C7">
        <w:rPr>
          <w:rFonts w:ascii="Arial" w:hAnsi="Arial" w:cs="Arial"/>
          <w:color w:val="000000" w:themeColor="text1"/>
          <w:sz w:val="20"/>
          <w:szCs w:val="20"/>
        </w:rPr>
        <w:t>using</w:t>
      </w:r>
      <w:r w:rsidR="00C04BB5" w:rsidRPr="008072C7">
        <w:rPr>
          <w:rFonts w:ascii="Arial" w:hAnsi="Arial" w:cs="Arial"/>
          <w:color w:val="000000" w:themeColor="text1"/>
          <w:sz w:val="20"/>
          <w:szCs w:val="20"/>
        </w:rPr>
        <w:t xml:space="preserve"> a handheld pressure algometer (Wagner Instruments, CT, United States)</w:t>
      </w:r>
      <w:r w:rsidR="00961AD5" w:rsidRPr="008072C7">
        <w:rPr>
          <w:rFonts w:ascii="Arial" w:hAnsi="Arial" w:cs="Arial"/>
          <w:color w:val="000000" w:themeColor="text1"/>
          <w:sz w:val="20"/>
          <w:szCs w:val="20"/>
        </w:rPr>
        <w:t xml:space="preserve"> with a stimulation area of 1cm</w:t>
      </w:r>
      <w:r w:rsidR="00961AD5" w:rsidRPr="008072C7">
        <w:rPr>
          <w:rFonts w:ascii="Arial" w:hAnsi="Arial" w:cs="Arial"/>
          <w:color w:val="000000" w:themeColor="text1"/>
          <w:sz w:val="20"/>
          <w:szCs w:val="20"/>
          <w:vertAlign w:val="superscript"/>
        </w:rPr>
        <w:t>2</w:t>
      </w:r>
      <w:r w:rsidR="00961AD5" w:rsidRPr="008072C7">
        <w:rPr>
          <w:rFonts w:ascii="Arial" w:hAnsi="Arial" w:cs="Arial"/>
          <w:color w:val="000000" w:themeColor="text1"/>
          <w:sz w:val="20"/>
          <w:szCs w:val="20"/>
        </w:rPr>
        <w:t xml:space="preserve"> at a pressure rate increase of approximately 1kg</w:t>
      </w:r>
      <w:r w:rsidR="00AF5096" w:rsidRPr="008072C7">
        <w:rPr>
          <w:rFonts w:ascii="Arial" w:hAnsi="Arial" w:cs="Arial"/>
          <w:color w:val="000000" w:themeColor="text1"/>
          <w:sz w:val="20"/>
          <w:szCs w:val="20"/>
        </w:rPr>
        <w:t xml:space="preserve">f/s. </w:t>
      </w:r>
      <w:r w:rsidR="001A5262" w:rsidRPr="008072C7">
        <w:rPr>
          <w:rFonts w:ascii="Arial" w:hAnsi="Arial" w:cs="Arial"/>
          <w:color w:val="000000" w:themeColor="text1"/>
          <w:sz w:val="20"/>
          <w:szCs w:val="20"/>
        </w:rPr>
        <w:t xml:space="preserve">Assessment of PPT using a handheld algometer has previously been shown to be valid and reliable </w:t>
      </w:r>
      <w:r w:rsidR="0061550E"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{"citationItems":[{"id":"ITEM-1","itemData":{"DOI":"10.1589/jpts.27.1961","abstract":"[Purpose] This study aimed to establish the intrarater reliability and responsiveness of a clinically available algometer in patients with knee osteoarthritis as well as to determine the minimum-detectable-change and standard error of measurement of testing to facilitate clinical interpretation of temporal changes. [Subjects] Seventy-three patients with knee osteoarthritis were included. [Methods] Pressure pain threshold measured by algometry was evaluated 3 times at 2-min intervals over 2 clinically relevant sites-mediolateral to the medial femoral tubercle (distal) and lateral to the medial malleolus (local)-on the same day. Intrarater reliability was estimated by intraclass correlation coefficients. The minimum-detectable-change and standard error of measurement were calculated. As a measure of responsiveness, the effect size was calculated for the results at baseline and after treatment. [Results] The intrarater reliability was almost perfect (intraclass correlation coefficient = 0.93-0.97). The standard error of measurement and minimum-detectable-change were 0.70-0.66 and 1.62-1.53, respectively. The pressure pain threshold over the distal site was inadequately responsive in knee osteoarthritis, but the local site was responsive. The effect size was 0.70. [Conclusion] Algometry is reliable and responsive to assess measures of pressure pain threshold for evaluating pain patients with knee osteoarthritis.","author":[{"dropping-particle":"","family":"Mutlu","given":"Ebru Kaya","non-dropping-particle":"","parse-names":false,"suffix":""},{"dropping-particle":"","family":"Ozdincler","given":"Arzu Razak","non-dropping-particle":"","parse-names":false,"suffix":""}],"container-title":"Journal of Physical Therapy Science","id":"ITEM-1","issue":"6","issued":{"date-parts":[["2015"]]},"page":"1961-1965","title":"Reliability and responsiveness of algometry for measuring pressure pain threshold in patients with knee osteoarthritis","type":"article-journal","volume":"27"},"uris":["http://www.mendeley.com/documents/?uuid=3fe11b39-7935-4bea-92c4-48b4cfc4dbfe","http://www.mendeley.com/documents/?uuid=759e2be2-ee5d-42a6-95ed-a56b3c1d4d9f"]},{"id":"ITEM-2","itemData":{"DOI":"10.1007/1-4020-0613-6_20312","abstract":"Algometers are devices that can be used to identify the pressure and/or force eliciting a pressure-pain threshold. It has been noted in pressure-pain threshold studies that the rate at which manual force is applied should be consistent to provide the greatest reliability. This study tested the reliability and construct validity of an algometer (1000-Hz sampling rate) by manually applying pressure on a force plate (500-Hz sampling rate): 10 sets of 5 applications to 80 N and 1 set of 5 applications to each force level: 20, 30, 40, 50, 60, 70, 80, 90, 100, and 110 N. The investigator had previously become familiar with and practiced with the algometer. The handheld algometer had a 1-cm2 round rubber application surface, and the maximum force reading was compared with maximum force readings by the force plate using SEM and t-tests. Force-time curves were analyzed for average slope rep- resenting rate of force application. Average Pearson (r) correlations between the maximum force reading of the algometer and force plate were excellent in both trials to 80 N (r = 0.990) and the incremental trials (r = 0.999). The application of force was rea- sonably constant, with slopes averaging 6.8 6 0.932 N?s21 .The SEE was 0.323 N. In conclusion, with previous familiarization and practice, an investigator may have high reliability in the rate of force application. The device itself was also highly correlated with readings from a force plate and, therefore, may be considered valid.","author":[{"dropping-particle":"","family":"Kinser","given":"Ann M","non-dropping-particle":"","parse-names":false,"suffix":""},{"dropping-particle":"","family":"Sands","given":"William A","non-dropping-particle":"","parse-names":false,"suffix":""},{"dropping-particle":"","family":"Stone","given":"Michael H","non-dropping-particle":"","parse-names":false,"suffix":""}],"container-title":"Journal of Strength and Conditioning Research","id":"ITEM-2","issue":"1","issued":{"date-parts":[["2009"]]},"page":"312-314","title":"Reliability and validity of a pressure algometer","type":"article-journal","volume":"23"},"uris":["http://www.mendeley.com/documents/?uuid=b4519fbc-8b42-4a5c-8ff1-123f429efc0f"]}],"mendeley":{"formattedCitation":"(34, 52)","plainTextFormattedCitation":"(34, 52)","previouslyFormattedCitation":"(34, 52)"},"properties":{"noteIndex":0},"schema":"https://github.com/citation-style-language/schema/raw/master/csl-citation.json"}</w:instrText>
      </w:r>
      <w:r w:rsidR="0061550E"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(34, 52)</w:t>
      </w:r>
      <w:r w:rsidR="0061550E" w:rsidRPr="008072C7">
        <w:rPr>
          <w:rFonts w:ascii="Arial" w:hAnsi="Arial" w:cs="Arial"/>
          <w:color w:val="000000" w:themeColor="text1"/>
          <w:sz w:val="20"/>
          <w:szCs w:val="20"/>
        </w:rPr>
        <w:fldChar w:fldCharType="end"/>
      </w:r>
      <w:r w:rsidR="0061550E" w:rsidRPr="008072C7">
        <w:rPr>
          <w:rFonts w:ascii="Arial" w:hAnsi="Arial" w:cs="Arial"/>
          <w:color w:val="000000" w:themeColor="text1"/>
          <w:sz w:val="20"/>
          <w:szCs w:val="20"/>
        </w:rPr>
        <w:t xml:space="preserve">. </w:t>
      </w:r>
      <w:r w:rsidR="009627FF" w:rsidRPr="008072C7">
        <w:rPr>
          <w:rFonts w:ascii="Arial" w:hAnsi="Arial" w:cs="Arial"/>
          <w:color w:val="000000" w:themeColor="text1"/>
          <w:sz w:val="20"/>
          <w:szCs w:val="20"/>
        </w:rPr>
        <w:t xml:space="preserve">PPT </w:t>
      </w:r>
      <w:r w:rsidR="00E86565" w:rsidRPr="008072C7">
        <w:rPr>
          <w:rFonts w:ascii="Arial" w:hAnsi="Arial" w:cs="Arial"/>
          <w:color w:val="000000" w:themeColor="text1"/>
          <w:sz w:val="20"/>
          <w:szCs w:val="20"/>
        </w:rPr>
        <w:t>assessment sites were located and marked</w:t>
      </w:r>
      <w:r w:rsidR="009627FF" w:rsidRPr="008072C7">
        <w:rPr>
          <w:rFonts w:ascii="Arial" w:hAnsi="Arial" w:cs="Arial"/>
          <w:color w:val="000000" w:themeColor="text1"/>
          <w:sz w:val="20"/>
          <w:szCs w:val="20"/>
        </w:rPr>
        <w:t xml:space="preserve"> in the middle of the dominant </w:t>
      </w:r>
      <w:r w:rsidR="00137E6A" w:rsidRPr="008072C7">
        <w:rPr>
          <w:rFonts w:ascii="Arial" w:hAnsi="Arial" w:cs="Arial"/>
          <w:color w:val="000000" w:themeColor="text1"/>
          <w:sz w:val="20"/>
          <w:szCs w:val="20"/>
        </w:rPr>
        <w:t xml:space="preserve">and non-dominant </w:t>
      </w:r>
      <w:r w:rsidR="009627FF" w:rsidRPr="008072C7">
        <w:rPr>
          <w:rFonts w:ascii="Arial" w:hAnsi="Arial" w:cs="Arial"/>
          <w:color w:val="000000" w:themeColor="text1"/>
          <w:sz w:val="20"/>
          <w:szCs w:val="20"/>
        </w:rPr>
        <w:t>quadriceps muscle</w:t>
      </w:r>
      <w:r w:rsidR="00137E6A" w:rsidRPr="008072C7">
        <w:rPr>
          <w:rFonts w:ascii="Arial" w:hAnsi="Arial" w:cs="Arial"/>
          <w:color w:val="000000" w:themeColor="text1"/>
          <w:sz w:val="20"/>
          <w:szCs w:val="20"/>
        </w:rPr>
        <w:t>s</w:t>
      </w:r>
      <w:r w:rsidR="009627FF" w:rsidRPr="008072C7">
        <w:rPr>
          <w:rFonts w:ascii="Arial" w:hAnsi="Arial" w:cs="Arial"/>
          <w:color w:val="000000" w:themeColor="text1"/>
          <w:sz w:val="20"/>
          <w:szCs w:val="20"/>
        </w:rPr>
        <w:t xml:space="preserve"> (20cm proximal to the base of the patella)</w:t>
      </w:r>
      <w:r w:rsidR="00137E6A" w:rsidRPr="008072C7">
        <w:rPr>
          <w:rFonts w:ascii="Arial" w:hAnsi="Arial" w:cs="Arial"/>
          <w:color w:val="000000" w:themeColor="text1"/>
          <w:sz w:val="20"/>
          <w:szCs w:val="20"/>
        </w:rPr>
        <w:t>, the middle of the dominant biceps brachii muscle (10cm proximal to the cubital fossa)</w:t>
      </w:r>
      <w:r w:rsidR="00E86565" w:rsidRPr="008072C7">
        <w:rPr>
          <w:rFonts w:ascii="Arial" w:hAnsi="Arial" w:cs="Arial"/>
          <w:color w:val="000000" w:themeColor="text1"/>
          <w:sz w:val="20"/>
          <w:szCs w:val="20"/>
        </w:rPr>
        <w:t xml:space="preserve"> and in the non-dominant upper trapezius muscle (10cm for the acromion in direct line </w:t>
      </w:r>
      <w:r w:rsidR="00617AF5" w:rsidRPr="008072C7">
        <w:rPr>
          <w:rFonts w:ascii="Arial" w:hAnsi="Arial" w:cs="Arial"/>
          <w:color w:val="000000" w:themeColor="text1"/>
          <w:sz w:val="20"/>
          <w:szCs w:val="20"/>
        </w:rPr>
        <w:t>with</w:t>
      </w:r>
      <w:r w:rsidR="00E86565" w:rsidRPr="008072C7">
        <w:rPr>
          <w:rFonts w:ascii="Arial" w:hAnsi="Arial" w:cs="Arial"/>
          <w:color w:val="000000" w:themeColor="text1"/>
          <w:sz w:val="20"/>
          <w:szCs w:val="20"/>
        </w:rPr>
        <w:t xml:space="preserve"> the neck)</w:t>
      </w:r>
      <w:r w:rsidR="00617AF5" w:rsidRPr="008072C7">
        <w:rPr>
          <w:rFonts w:ascii="Arial" w:hAnsi="Arial" w:cs="Arial"/>
          <w:color w:val="000000" w:themeColor="text1"/>
          <w:sz w:val="20"/>
          <w:szCs w:val="20"/>
        </w:rPr>
        <w:t xml:space="preserve"> </w:t>
      </w:r>
      <w:r w:rsidR="00617AF5"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{"citationItems":[{"id":"ITEM-1","itemData":{"DOI":"10.1093/pm/pny087","author":[{"dropping-particle":"","family":"Vaegter","given":"Henrik Bjarke","non-dropping-particle":"","parse-names":false,"suffix":""},{"dropping-particle":"","family":"Lyng","given":"Kristian Damgaard","non-dropping-particle":"","parse-names":false,"suffix":""},{"dropping-particle":"","family":"Yttereng","given":"Fredrik Wannaebo","non-dropping-particle":"","parse-names":false,"suffix":""},{"dropping-particle":"","family":"Christensen","given":"Mads Holst","non-dropping-particle":"","parse-names":false,"suffix":""},{"dropping-particle":"","family":"Sørensen","given":"Mathias Brandhøj","non-dropping-particle":"","parse-names":false,"suffix":""},{"dropping-particle":"","family":"Graven-Nielsen","given":"Thomas","non-dropping-particle":"","parse-names":false,"suffix":""}],"container-title":"Pain Medicine","id":"ITEM-1","issued":{"date-parts":[["2019"]]},"page":"129-137","title":"Exercise-Induced Hypoalgesia After Isometric Wall Squat Exercise: A Test-Retest Reliabilty Study","type":"article-journal","volume":"20"},"uris":["http://www.mendeley.com/documents/?uuid=13bcaea6-2ed5-4102-9872-fe7f32e48803"]},{"id":"ITEM-2","itemData":{"DOI":"10.1093/pm/pny009","author":[{"dropping-particle":"","family":"Vaegter","given":"Henrik Bjarke","non-dropping-particle":"","parse-names":false,"suffix":""},{"dropping-particle":"","family":"Bandholtz","given":"Daniel","non-dropping-particle":"","parse-names":false,"suffix":""},{"dropping-particle":"","family":"Schmidt","given":"Kristian Sonne","non-dropping-particle":"","parse-names":false,"suffix":""}],"id":"ITEM-2","issued":{"date-parts":[["2018"]]},"page":"2212-2222","title":"Test-Retest Reliabilty of Exercise-Induced Hypoalgesia After Aerobic Exercise","type":"article-journal"},"uris":["http://www.mendeley.com/documents/?uuid=31488ee1-0fb4-4bd0-9ace-832ae20dcfc4"]},{"id":"ITEM-3","itemData":{"DOI":"10.1016/j.pain.2013.09.023","ISSN":"03043959","abstract":"Pain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-3","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humans","type":"article-journal","volume":"155"},"uris":["http://www.mendeley.com/documents/?uuid=bcdda900-a48b-4fdf-9f12-6bd82a0db598"]},{"id":"ITEM-4","itemData":{"DOI":"10.1007/s00421-018-4002-0","ISBN":"0042101840","ISSN":"1439-6327","abstract":"Purpose Exercise decreases pain sensitivity known as exercise-induced hypoalgesia (EIH). However, the consistency of EIH after an acute exercise protocol based on subjective ratings of perceived exertion has been questioned. Objectives were to compare the effect on pressure pain thresholds (PPTs) after bicycling with work-rate at the lactate threshold compared with quiet rest, and investigate between-session reliability of EIH. Methods Thirty-four healthy subjects completed three sessions with 7 days in-between. In session 1, the lactate threshold was determined via blood samples (finger-tip pinprick, &gt; 2 mmol/l increase from warm-up) during a graded bicycling task. In session 2 and 3, all subjects performed (1) 15 min quiet-rest, and (2) 15 min bicycling (work-rate corresponding to the lactate threshold) in the two identical sessions. PPTs at the quadriceps and trapezius muscles were assessed before and after both conditions. Reliability was assessed by intraclass correlations (ICCs). Results Bicycling increased quadriceps PPT compared with quiet-rest in both sessions [mean difference: 45 kPa (95% CI 19–72 kPa), P = 0.002]; however, the increase in trapezius PPT was not significant after exercise. The EIH responses demon- strated fair between-session test–retest reliability (quadriceps: ICC = 0.45; trapezius: ICC = 0.57, P &lt; 0.05), and agreement in EIH responders and non-responders between sessions was significant (quadriceps: κ = 0.46 and trapezius: κ = 0.43, P &lt; 0.05). Conclusions In conclusion, bicycling at the lactate threshold increased PPT at the exercising muscle with fair reliability of the local EIH response. The results have implications for future EIH studies in subjects with and without pain and for clini- cians who design exercise programs for pain relief.","author":[{"dropping-particle":"","family":"Vaegter","given":"Henrik Bjarke","non-dropping-particle":"","parse-names":false,"suffix":""},{"dropping-particle":"","family":"Kathrine","given":"Louise","non-dropping-particle":"","parse-names":false,"suffix":""},{"dropping-particle":"","family":"Mia","given":"Bjerregaard","non-dropping-particle":"","parse-names":false,"suffix":""},{"dropping-particle":"","family":"Redin","given":"Maja","non-dropping-particle":"","parse-names":false,"suffix":""},{"dropping-particle":"","family":"Hartung","given":"Sara","non-dropping-particle":"","parse-names":false,"suffix":""},{"dropping-particle":"","family":"Nielsen","given":"Thomas Graven","non-dropping-particle":"","parse-names":false,"suffix":""}],"container-title":"European Journal of Applied Physiology","id":"ITEM-4","issue":"1","issued":{"date-parts":[["2018"]]},"page":"91-102","publisher":"Springer Berlin Heidelberg","title":"Hypoalgesia after bicycling at lactate threshold is reliable between sessions","type":"article-journal","volume":"19"},"uris":["http://www.mendeley.com/documents/?uuid=aea50657-d5be-4bc9-b4fd-cc06ba3181fa"]}],"mendeley":{"formattedCitation":"(67–70)","plainTextFormattedCitation":"(67–70)","previouslyFormattedCitation":"(67–70)"},"properties":{"noteIndex":0},"schema":"https://github.com/citation-style-language/schema/raw/master/csl-citation.json"}</w:instrText>
      </w:r>
      <w:r w:rsidR="00617AF5"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(67–70)</w:t>
      </w:r>
      <w:r w:rsidR="00617AF5" w:rsidRPr="008072C7">
        <w:rPr>
          <w:rFonts w:ascii="Arial" w:hAnsi="Arial" w:cs="Arial"/>
          <w:color w:val="000000" w:themeColor="text1"/>
          <w:sz w:val="20"/>
          <w:szCs w:val="20"/>
        </w:rPr>
        <w:fldChar w:fldCharType="end"/>
      </w:r>
      <w:r w:rsidR="00617AF5" w:rsidRPr="008072C7">
        <w:rPr>
          <w:rFonts w:ascii="Arial" w:hAnsi="Arial" w:cs="Arial"/>
          <w:color w:val="000000" w:themeColor="text1"/>
          <w:sz w:val="20"/>
          <w:szCs w:val="20"/>
        </w:rPr>
        <w:t>.</w:t>
      </w:r>
      <w:r w:rsidR="00FC15B7" w:rsidRPr="008072C7">
        <w:rPr>
          <w:rFonts w:ascii="Arial" w:hAnsi="Arial" w:cs="Arial"/>
          <w:color w:val="000000" w:themeColor="text1"/>
          <w:sz w:val="20"/>
          <w:szCs w:val="20"/>
        </w:rPr>
        <w:t xml:space="preserve"> </w:t>
      </w:r>
      <w:r w:rsidR="00E86565" w:rsidRPr="008072C7">
        <w:rPr>
          <w:rFonts w:ascii="Arial" w:hAnsi="Arial" w:cs="Arial"/>
          <w:color w:val="000000" w:themeColor="text1"/>
          <w:sz w:val="20"/>
          <w:szCs w:val="20"/>
        </w:rPr>
        <w:t>Participants were instructed to give a verbal notification of “now” when the pressure was first perceived as painful, and the PPT was defined as the kgf at this point.</w:t>
      </w:r>
      <w:r w:rsidR="00FC15B7" w:rsidRPr="008072C7">
        <w:rPr>
          <w:rFonts w:ascii="Arial" w:hAnsi="Arial" w:cs="Arial"/>
          <w:color w:val="000000" w:themeColor="text1"/>
          <w:sz w:val="20"/>
          <w:szCs w:val="20"/>
        </w:rPr>
        <w:t xml:space="preserve"> Two PPT assessment</w:t>
      </w:r>
      <w:r w:rsidR="00ED3898" w:rsidRPr="008072C7">
        <w:rPr>
          <w:rFonts w:ascii="Arial" w:hAnsi="Arial" w:cs="Arial"/>
          <w:color w:val="000000" w:themeColor="text1"/>
          <w:sz w:val="20"/>
          <w:szCs w:val="20"/>
        </w:rPr>
        <w:t>s</w:t>
      </w:r>
      <w:r w:rsidR="00FC15B7" w:rsidRPr="008072C7">
        <w:rPr>
          <w:rFonts w:ascii="Arial" w:hAnsi="Arial" w:cs="Arial"/>
          <w:color w:val="000000" w:themeColor="text1"/>
          <w:sz w:val="20"/>
          <w:szCs w:val="20"/>
        </w:rPr>
        <w:t xml:space="preserve"> were completed at each site</w:t>
      </w:r>
      <w:r w:rsidR="009E508E" w:rsidRPr="008072C7">
        <w:rPr>
          <w:rFonts w:ascii="Arial" w:hAnsi="Arial" w:cs="Arial"/>
          <w:color w:val="000000" w:themeColor="text1"/>
          <w:sz w:val="20"/>
          <w:szCs w:val="20"/>
        </w:rPr>
        <w:t>, with 20s intervals between assessments,</w:t>
      </w:r>
      <w:r w:rsidR="00FC15B7" w:rsidRPr="008072C7">
        <w:rPr>
          <w:rFonts w:ascii="Arial" w:hAnsi="Arial" w:cs="Arial"/>
          <w:color w:val="000000" w:themeColor="text1"/>
          <w:sz w:val="20"/>
          <w:szCs w:val="20"/>
        </w:rPr>
        <w:t xml:space="preserve"> and the average was used for analysis </w:t>
      </w:r>
      <w:r w:rsidR="00FC15B7"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{"citationItems":[{"id":"ITEM-1","itemData":{"DOI":"10.1093/pm/pny009","author":[{"dropping-particle":"","family":"Vaegter","given":"Henrik Bjarke","non-dropping-particle":"","parse-names":false,"suffix":""},{"dropping-particle":"","family":"Bandholtz","given":"Daniel","non-dropping-particle":"","parse-names":false,"suffix":""},{"dropping-particle":"","family":"Schmidt","given":"Kristian Sonne","non-dropping-particle":"","parse-names":false,"suffix":""}],"id":"ITEM-1","issued":{"date-parts":[["2018"]]},"page":"2212-2222","title":"Test-Retest Reliabilty of Exercise-Induced Hypoalgesia After Aerobic Exercise","type":"article-journal"},"uris":["http://www.mendeley.com/documents/?uuid=31488ee1-0fb4-4bd0-9ace-832ae20dcfc4"]},{"id":"ITEM-2","itemData":{"DOI":"10.1016/j.pain.2013.09.023","ISSN":"03043959","abstract":"Pain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-2","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humans","type":"article-journal","volume":"155"},"uris":["http://www.mendeley.com/documents/?uuid=bcdda900-a48b-4fdf-9f12-6bd82a0db598"]},{"id":"ITEM-3","itemData":{"DOI":"10.1007/s00421-018-4002-0","ISBN":"0042101840","ISSN":"1439-6327","abstract":"Purpose Exercise decreases pain sensitivity known as exercise-induced hypoalgesia (EIH). However, the consistency of EIH after an acute exercise protocol based on subjective ratings of perceived exertion has been questioned. Objectives were to compare the effect on pressure pain thresholds (PPTs) after bicycling with work-rate at the lactate threshold compared with quiet rest, and investigate between-session reliability of EIH. Methods Thirty-four healthy subjects completed three sessions with 7 days in-between. In session 1, the lactate threshold was determined via blood samples (finger-tip pinprick, &gt; 2 mmol/l increase from warm-up) during a graded bicycling task. In session 2 and 3, all subjects performed (1) 15 min quiet-rest, and (2) 15 min bicycling (work-rate corresponding to the lactate threshold) in the two identical sessions. PPTs at the quadriceps and trapezius muscles were assessed before and after both conditions. Reliability was assessed by intraclass correlations (ICCs). Results Bicycling increased quadriceps PPT compared with quiet-rest in both sessions [mean difference: 45 kPa (95% CI 19–72 kPa), P = 0.002]; however, the increase in trapezius PPT was not significant after exercise. The EIH responses demon- strated fair between-session test–retest reliability (quadriceps: ICC = 0.45; trapezius: ICC = 0.57, P &lt; 0.05), and agreement in EIH responders and non-responders between sessions was significant (quadriceps: κ = 0.46 and trapezius: κ = 0.43, P &lt; 0.05). Conclusions In conclusion, bicycling at the lactate threshold increased PPT at the exercising muscle with fair reliability of the local EIH response. The results have implications for future EIH studies in subjects with and without pain and for clini- cians who design exercise programs for pain relief.","author":[{"dropping-particle":"","family":"Vaegter","given":"Henrik Bjarke","non-dropping-particle":"","parse-names":false,"suffix":""},{"dropping-particle":"","family":"Kathrine","given":"Louise","non-dropping-particle":"","parse-names":false,"suffix":""},{"dropping-particle":"","family":"Mia","given":"Bjerregaard","non-dropping-particle":"","parse-names":false,"suffix":""},{"dropping-particle":"","family":"Redin","given":"Maja","non-dropping-particle":"","parse-names":false,"suffix":""},{"dropping-particle":"","family":"Hartung","given":"Sara","non-dropping-particle":"","parse-names":false,"suffix":""},{"dropping-particle":"","family":"Nielsen","given":"Thomas Graven","non-dropping-particle":"","parse-names":false,"suffix":""}],"container-title":"European Journal of Applied Physiology","id":"ITEM-3","issue":"1","issued":{"date-parts":[["2018"]]},"page":"91-102","publisher":"Springer Berlin Heidelberg","title":"Hypoalgesia after bicycling at lactate threshold is reliable between sessions","type":"article-journal","volume":"19"},"uris":["http://www.mendeley.com/documents/?uuid=aea50657-d5be-4bc9-b4fd-cc06ba3181fa"]}],"mendeley":{"formattedCitation":"(67–69)","plainTextFormattedCitation":"(67–69)","previouslyFormattedCitation":"(67–69)"},"properties":{"noteIndex":0},"schema":"https://github.com/citation-style-language/schema/raw/master/csl-citation.json"}</w:instrText>
      </w:r>
      <w:r w:rsidR="00FC15B7"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(67–69)</w:t>
      </w:r>
      <w:r w:rsidR="00FC15B7" w:rsidRPr="008072C7">
        <w:rPr>
          <w:rFonts w:ascii="Arial" w:hAnsi="Arial" w:cs="Arial"/>
          <w:color w:val="000000" w:themeColor="text1"/>
          <w:sz w:val="20"/>
          <w:szCs w:val="20"/>
        </w:rPr>
        <w:fldChar w:fldCharType="end"/>
      </w:r>
      <w:r w:rsidR="00FC15B7" w:rsidRPr="008072C7">
        <w:rPr>
          <w:rFonts w:ascii="Arial" w:hAnsi="Arial" w:cs="Arial"/>
          <w:color w:val="000000" w:themeColor="text1"/>
          <w:sz w:val="20"/>
          <w:szCs w:val="20"/>
        </w:rPr>
        <w:t>.</w:t>
      </w:r>
      <w:r w:rsidR="0040409F" w:rsidRPr="008072C7">
        <w:rPr>
          <w:rFonts w:ascii="Arial" w:hAnsi="Arial" w:cs="Arial"/>
          <w:color w:val="000000" w:themeColor="text1"/>
          <w:sz w:val="20"/>
          <w:szCs w:val="20"/>
        </w:rPr>
        <w:t xml:space="preserve"> All measurements were taken by the same assessor.</w:t>
      </w:r>
      <w:r w:rsidR="001703F0" w:rsidRPr="008072C7">
        <w:rPr>
          <w:rFonts w:ascii="Arial" w:hAnsi="Arial" w:cs="Arial"/>
          <w:color w:val="000000" w:themeColor="text1"/>
          <w:sz w:val="20"/>
          <w:szCs w:val="20"/>
        </w:rPr>
        <w:t xml:space="preserve"> During the familiarisation, PPTs were </w:t>
      </w:r>
      <w:r w:rsidR="00CB46E3" w:rsidRPr="008072C7">
        <w:rPr>
          <w:rFonts w:ascii="Arial" w:hAnsi="Arial" w:cs="Arial"/>
          <w:color w:val="000000" w:themeColor="text1"/>
          <w:sz w:val="20"/>
          <w:szCs w:val="20"/>
        </w:rPr>
        <w:t>assessed 3 times</w:t>
      </w:r>
      <w:r w:rsidR="00490C11" w:rsidRPr="008072C7">
        <w:rPr>
          <w:rFonts w:ascii="Arial" w:hAnsi="Arial" w:cs="Arial"/>
          <w:color w:val="000000" w:themeColor="text1"/>
          <w:sz w:val="20"/>
          <w:szCs w:val="20"/>
        </w:rPr>
        <w:t xml:space="preserve"> at 10min intervals at each site</w:t>
      </w:r>
      <w:r w:rsidR="00981CA3" w:rsidRPr="008072C7">
        <w:rPr>
          <w:rFonts w:ascii="Arial" w:hAnsi="Arial" w:cs="Arial"/>
          <w:color w:val="000000" w:themeColor="text1"/>
          <w:sz w:val="20"/>
          <w:szCs w:val="20"/>
        </w:rPr>
        <w:t xml:space="preserve"> to estimate intrarater reliability using intraclass correlation coefficients (ICC)</w:t>
      </w:r>
      <w:r w:rsidR="00003773" w:rsidRPr="008072C7">
        <w:rPr>
          <w:rFonts w:ascii="Arial" w:hAnsi="Arial" w:cs="Arial"/>
          <w:color w:val="000000" w:themeColor="text1"/>
          <w:sz w:val="20"/>
          <w:szCs w:val="20"/>
        </w:rPr>
        <w:t>. M</w:t>
      </w:r>
      <w:r w:rsidR="00981CA3" w:rsidRPr="008072C7">
        <w:rPr>
          <w:rFonts w:ascii="Arial" w:hAnsi="Arial" w:cs="Arial"/>
          <w:color w:val="000000" w:themeColor="text1"/>
          <w:sz w:val="20"/>
          <w:szCs w:val="20"/>
        </w:rPr>
        <w:t>inimum detectable change (MDC) and standard error of measurement (SEM) were calculated</w:t>
      </w:r>
      <w:r w:rsidR="00523DF1" w:rsidRPr="008072C7">
        <w:rPr>
          <w:rFonts w:ascii="Arial" w:hAnsi="Arial" w:cs="Arial"/>
          <w:color w:val="000000" w:themeColor="text1"/>
          <w:sz w:val="20"/>
          <w:szCs w:val="20"/>
        </w:rPr>
        <w:t xml:space="preserve"> </w:t>
      </w:r>
      <w:r w:rsidR="00003773" w:rsidRPr="008072C7">
        <w:rPr>
          <w:rFonts w:ascii="Arial" w:hAnsi="Arial" w:cs="Arial"/>
          <w:color w:val="000000" w:themeColor="text1"/>
          <w:sz w:val="20"/>
          <w:szCs w:val="20"/>
        </w:rPr>
        <w:t>(Table 1).</w:t>
      </w:r>
    </w:p>
    <w:p w14:paraId="3212DD1F" w14:textId="371FA0B9" w:rsidR="00FE20C8" w:rsidRPr="008072C7" w:rsidRDefault="00FE20C8" w:rsidP="00476D7D">
      <w:pPr>
        <w:pStyle w:val="Heading2"/>
        <w:rPr>
          <w:rFonts w:ascii="Arial" w:hAnsi="Arial" w:cs="Arial"/>
          <w:sz w:val="20"/>
          <w:szCs w:val="20"/>
        </w:rPr>
      </w:pPr>
      <w:r w:rsidRPr="008072C7">
        <w:rPr>
          <w:rFonts w:ascii="Arial" w:hAnsi="Arial" w:cs="Arial"/>
          <w:sz w:val="20"/>
          <w:szCs w:val="20"/>
        </w:rPr>
        <w:t xml:space="preserve">Rating of perceived </w:t>
      </w:r>
      <w:r w:rsidR="009E508E" w:rsidRPr="008072C7">
        <w:rPr>
          <w:rFonts w:ascii="Arial" w:hAnsi="Arial" w:cs="Arial"/>
          <w:sz w:val="20"/>
          <w:szCs w:val="20"/>
        </w:rPr>
        <w:t>exertio</w:t>
      </w:r>
      <w:r w:rsidRPr="008072C7">
        <w:rPr>
          <w:rFonts w:ascii="Arial" w:hAnsi="Arial" w:cs="Arial"/>
          <w:sz w:val="20"/>
          <w:szCs w:val="20"/>
        </w:rPr>
        <w:t>n and pain</w:t>
      </w:r>
    </w:p>
    <w:p w14:paraId="383C4AA5" w14:textId="37F6DFEF" w:rsidR="00FE20C8" w:rsidRPr="008072C7" w:rsidRDefault="00FE20C8"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Participant’s rating of perceived exertion (RPE) and pain were assessed using </w:t>
      </w:r>
      <w:r w:rsidR="00B81E6F" w:rsidRPr="008072C7">
        <w:rPr>
          <w:rFonts w:ascii="Arial" w:hAnsi="Arial" w:cs="Arial"/>
          <w:color w:val="000000" w:themeColor="text1"/>
          <w:sz w:val="20"/>
          <w:szCs w:val="20"/>
        </w:rPr>
        <w:t xml:space="preserve">Borg’s scales </w:t>
      </w:r>
      <w:r w:rsidR="00B81E6F"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{"citationItems":[{"id":"ITEM-1","itemData":{"DOI":"10.1097/00005768-199809000-00018","ISBN":"0-88011-623-4 (Paperback)","ISSN":"03445925","PMID":"6999","abstract":"This book contains information about methods for measuring subjective somatic symptoms. The main focus is on the presentation of 2 scaling methods: the Borg RPE scale and the Borg CR10 scale. The Borg RPE scale is a scale for ratings of perceived exertion (RPE). It is a tool for estimating effort and exertion, breathlessness, and fatigue during physical work. The Borg CR10 scale is a category-ratio (CR) scale anchored at the number 10, which represents extreme intensities. It is a general intensity scale for most subjective magnitudes that with special anchors can be used to measure exertion and pain. A basic foundation for this book is the acceptance of a human as a psychosomatic whole. This means that psychological factors, such as personality, psychosocial factors, fear, and anxiety, affect somatic responses. It also means, however, that somatic functioning and signs of diseases can be studied psychologically, using human perception as a diagnostic instrument. This book deals primarily with the latter aspect.","author":[{"dropping-particle":"","family":"Borg","given":"Gunnar","non-dropping-particle":"","parse-names":false,"suffix":""}],"container-title":"Human Kinetics","id":"ITEM-1","issued":{"date-parts":[["1998"]]},"number-of-pages":"120","title":"Borg's perceived exertion and pain scales","type":"book"},"uris":["http://www.mendeley.com/documents/?uuid=4d14149b-84f6-493b-8b6f-2b6f17eabd08"]}],"mendeley":{"formattedCitation":"(4)","plainTextFormattedCitation":"(4)","previouslyFormattedCitation":"(4)"},"properties":{"noteIndex":0},"schema":"https://github.com/citation-style-language/schema/raw/master/csl-citation.json"}</w:instrText>
      </w:r>
      <w:r w:rsidR="00B81E6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w:t>
      </w:r>
      <w:r w:rsidR="00B81E6F" w:rsidRPr="008072C7">
        <w:rPr>
          <w:rFonts w:ascii="Arial" w:hAnsi="Arial" w:cs="Arial"/>
          <w:color w:val="000000" w:themeColor="text1"/>
          <w:sz w:val="20"/>
          <w:szCs w:val="20"/>
        </w:rPr>
        <w:fldChar w:fldCharType="end"/>
      </w:r>
      <w:r w:rsidR="004C7982" w:rsidRPr="008072C7">
        <w:rPr>
          <w:rFonts w:ascii="Arial" w:hAnsi="Arial" w:cs="Arial"/>
          <w:color w:val="000000" w:themeColor="text1"/>
          <w:sz w:val="20"/>
          <w:szCs w:val="20"/>
        </w:rPr>
        <w:t xml:space="preserve"> immediately following each set of exercise as previously described </w:t>
      </w:r>
      <w:r w:rsidR="004C7982"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{"citationItems":[{"id":"ITEM-1","itemData":{"DOI":"10.1111/sms.13092","ISSN":"09057188","PMID":"29630752","abstract":"This study examined the cuff to limb interface pressure during blood flow restriction (BFR), and the perceptual and mean arterial pressure responses, in different BFR systems. Eighteen participants attended three experimental sessions in a randomised, crossover, counterbalanced design. Participants underwent inflations at 40% and 80% limb occlusive pressure (LOP) at rest and completed 4 sets of unilateral leg press exercise at 30% of one repetition maximum with BFR at 80% LOP. Different BFR systems were used each session: an automatic rapid-inflation (RI), automatic personalised tourniquet (PT) and manual handheld pump and sphygmomanometer (HS) system. Interface pressure was measured using a universal interface device with pressure sensors. Perceived exertion and pain were measured after each set, mean arterial pressure (MAP) was measured pre-, 1-min post- and 5-min post-exercise. Interface pressure was lower than the set pressure in all BFR systems at rest (p&lt;0.05). Interface pressure was, on average, 10 ± 8 and 48 ± 36 mmHg higher than the set pressure in the RI and HS system (p&lt;0.01), with no differences observed in the PT system (p&gt;0.05), during exercise. Pain and exertion were greater in sets 3 and 4 in the RI and HS system compared to the PT system (p&lt;0.05). MAP was higher in the RI and HS system compared to the PT system at 1-min and 5 min post-exercise (p&lt;0.05). BFR systems applying higher pressures amplify mean arterial pressure and perceptual responses. Automatic BFR systems appear to regulate pressure effectively within an acceptable range during BFR exercise.","author":[{"dropping-particle":"","family":"Hughes","given":"Luke","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David","non-dropping-particle":"","parse-names":false,"suffix":""}],"container-title":"Scandinavian Journal of Medicine &amp; Science in Sports","id":"ITEM-1","issue":"7","issued":{"date-parts":[["2018"]]},"page":"1757-1765","title":"Interface pressure, perceptual and mean arterial pressure responses to different blood flow restriction systems","type":"article-journal","volume":"28"},"uris":["http://www.mendeley.com/documents/?uuid=723dfb66-f803-4b0a-b185-209c6c548655"]}],"mendeley":{"formattedCitation":"(30)","plainTextFormattedCitation":"(30)","previouslyFormattedCitation":"(30)"},"properties":{"noteIndex":0},"schema":"https://github.com/citation-style-language/schema/raw/master/csl-citation.json"}</w:instrText>
      </w:r>
      <w:r w:rsidR="004C7982"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(30)</w:t>
      </w:r>
      <w:r w:rsidR="004C7982" w:rsidRPr="008072C7">
        <w:rPr>
          <w:rFonts w:ascii="Arial" w:hAnsi="Arial" w:cs="Arial"/>
          <w:color w:val="000000" w:themeColor="text1"/>
          <w:sz w:val="20"/>
          <w:szCs w:val="20"/>
        </w:rPr>
        <w:fldChar w:fldCharType="end"/>
      </w:r>
      <w:r w:rsidR="004C7982" w:rsidRPr="008072C7">
        <w:rPr>
          <w:rFonts w:ascii="Arial" w:hAnsi="Arial" w:cs="Arial"/>
          <w:color w:val="000000" w:themeColor="text1"/>
          <w:sz w:val="20"/>
          <w:szCs w:val="20"/>
        </w:rPr>
        <w:t>.</w:t>
      </w:r>
      <w:r w:rsidR="00F62691" w:rsidRPr="008072C7">
        <w:rPr>
          <w:rFonts w:ascii="Arial" w:hAnsi="Arial" w:cs="Arial"/>
          <w:color w:val="000000" w:themeColor="text1"/>
          <w:sz w:val="20"/>
          <w:szCs w:val="20"/>
        </w:rPr>
        <w:t xml:space="preserve"> </w:t>
      </w:r>
      <w:r w:rsidR="00F62691" w:rsidRPr="008072C7">
        <w:rPr>
          <w:rFonts w:ascii="Calibri" w:hAnsi="Calibri" w:cs="Calibri"/>
          <w:color w:val="000000" w:themeColor="text1"/>
          <w:sz w:val="20"/>
          <w:szCs w:val="20"/>
        </w:rPr>
        <w:t>﻿</w:t>
      </w:r>
      <w:r w:rsidR="00F62691" w:rsidRPr="008072C7">
        <w:rPr>
          <w:rFonts w:ascii="Arial" w:hAnsi="Arial" w:cs="Arial"/>
          <w:color w:val="000000" w:themeColor="text1"/>
          <w:sz w:val="20"/>
          <w:szCs w:val="20"/>
        </w:rPr>
        <w:t xml:space="preserve">For RPE, it was explained to participants that a rating of 6 meant they felt no exertion, and 20 meant they were giving maximal effort </w:t>
      </w:r>
      <w:r w:rsidR="00F62691" w:rsidRPr="008072C7">
        <w:rPr>
          <w:rFonts w:ascii="Arial" w:hAnsi="Arial" w:cs="Arial"/>
          <w:color w:val="000000" w:themeColor="text1"/>
          <w:sz w:val="20"/>
          <w:szCs w:val="20"/>
        </w:rPr>
        <w:lastRenderedPageBreak/>
        <w:t xml:space="preserve">and could not exert themselves any further </w:t>
      </w:r>
      <w:r w:rsidR="00F62691"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{"citationItems":[{"id":"ITEM-1","itemData":{"DOI":"10.1111/sms.13092","ISSN":"09057188","PMID":"29630752","abstract":"This study examined the cuff to limb interface pressure during blood flow restriction (BFR), and the perceptual and mean arterial pressure responses, in different BFR systems. Eighteen participants attended three experimental sessions in a randomised, crossover, counterbalanced design. Participants underwent inflations at 40% and 80% limb occlusive pressure (LOP) at rest and completed 4 sets of unilateral leg press exercise at 30% of one repetition maximum with BFR at 80% LOP. Different BFR systems were used each session: an automatic rapid-inflation (RI), automatic personalised tourniquet (PT) and manual handheld pump and sphygmomanometer (HS) system. Interface pressure was measured using a universal interface device with pressure sensors. Perceived exertion and pain were measured after each set, mean arterial pressure (MAP) was measured pre-, 1-min post- and 5-min post-exercise. Interface pressure was lower than the set pressure in all BFR systems at rest (p&lt;0.05). Interface pressure was, on average, 10 ± 8 and 48 ± 36 mmHg higher than the set pressure in the RI and HS system (p&lt;0.01), with no differences observed in the PT system (p&gt;0.05), during exercise. Pain and exertion were greater in sets 3 and 4 in the RI and HS system compared to the PT system (p&lt;0.05). MAP was higher in the RI and HS system compared to the PT system at 1-min and 5 min post-exercise (p&lt;0.05). BFR systems applying higher pressures amplify mean arterial pressure and perceptual responses. Automatic BFR systems appear to regulate pressure effectively within an acceptable range during BFR exercise.","author":[{"dropping-particle":"","family":"Hughes","given":"Luke","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David","non-dropping-particle":"","parse-names":false,"suffix":""}],"container-title":"Scandinavian Journal of Medicine &amp; Science in Sports","id":"ITEM-1","issue":"7","issued":{"date-parts":[["2018"]]},"page":"1757-1765","title":"Interface pressure, perceptual and mean arterial pressure responses to different blood flow restriction systems","type":"article-journal","volume":"28"},"uris":["http://www.mendeley.com/documents/?uuid=723dfb66-f803-4b0a-b185-209c6c548655"]}],"mendeley":{"formattedCitation":"(30)","plainTextFormattedCitation":"(30)","previouslyFormattedCitation":"(30)"},"properties":{"noteIndex":0},"schema":"https://github.com/citation-style-language/schema/raw/master/csl-citation.json"}</w:instrText>
      </w:r>
      <w:r w:rsidR="00F62691"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(30)</w:t>
      </w:r>
      <w:r w:rsidR="00F62691" w:rsidRPr="008072C7">
        <w:rPr>
          <w:rFonts w:ascii="Arial" w:hAnsi="Arial" w:cs="Arial"/>
          <w:color w:val="000000" w:themeColor="text1"/>
          <w:sz w:val="20"/>
          <w:szCs w:val="20"/>
        </w:rPr>
        <w:fldChar w:fldCharType="end"/>
      </w:r>
      <w:r w:rsidR="00F62691" w:rsidRPr="008072C7">
        <w:rPr>
          <w:rFonts w:ascii="Arial" w:hAnsi="Arial" w:cs="Arial"/>
          <w:color w:val="000000" w:themeColor="text1"/>
          <w:sz w:val="20"/>
          <w:szCs w:val="20"/>
        </w:rPr>
        <w:t xml:space="preserve">. </w:t>
      </w:r>
      <w:r w:rsidR="00F62691" w:rsidRPr="008072C7">
        <w:rPr>
          <w:rFonts w:ascii="Calibri" w:hAnsi="Calibri" w:cs="Calibri"/>
          <w:color w:val="000000" w:themeColor="text1"/>
          <w:sz w:val="20"/>
          <w:szCs w:val="20"/>
        </w:rPr>
        <w:t>﻿</w:t>
      </w:r>
      <w:r w:rsidR="00F62691" w:rsidRPr="008072C7">
        <w:rPr>
          <w:rFonts w:ascii="Arial" w:hAnsi="Arial" w:cs="Arial"/>
          <w:color w:val="000000" w:themeColor="text1"/>
          <w:sz w:val="20"/>
          <w:szCs w:val="20"/>
        </w:rPr>
        <w:t xml:space="preserve">For pain, participants were informed that 10 was their reference point, and a score of 11 (absolute maximum, highest possible intensity pain) could be given if the pain was worse than they had ever felt before </w:t>
      </w:r>
      <w:r w:rsidR="00F62691"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{"citationItems":[{"id":"ITEM-1","itemData":{"DOI":"10.1111/sms.13092","ISSN":"09057188","PMID":"29630752","abstract":"This study examined the cuff to limb interface pressure during blood flow restriction (BFR), and the perceptual and mean arterial pressure responses, in different BFR systems. Eighteen participants attended three experimental sessions in a randomised, crossover, counterbalanced design. Participants underwent inflations at 40% and 80% limb occlusive pressure (LOP) at rest and completed 4 sets of unilateral leg press exercise at 30% of one repetition maximum with BFR at 80% LOP. Different BFR systems were used each session: an automatic rapid-inflation (RI), automatic personalised tourniquet (PT) and manual handheld pump and sphygmomanometer (HS) system. Interface pressure was measured using a universal interface device with pressure sensors. Perceived exertion and pain were measured after each set, mean arterial pressure (MAP) was measured pre-, 1-min post- and 5-min post-exercise. Interface pressure was lower than the set pressure in all BFR systems at rest (p&lt;0.05). Interface pressure was, on average, 10 ± 8 and 48 ± 36 mmHg higher than the set pressure in the RI and HS system (p&lt;0.01), with no differences observed in the PT system (p&gt;0.05), during exercise. Pain and exertion were greater in sets 3 and 4 in the RI and HS system compared to the PT system (p&lt;0.05). MAP was higher in the RI and HS system compared to the PT system at 1-min and 5 min post-exercise (p&lt;0.05). BFR systems applying higher pressures amplify mean arterial pressure and perceptual responses. Automatic BFR systems appear to regulate pressure effectively within an acceptable range during BFR exercise.","author":[{"dropping-particle":"","family":"Hughes","given":"Luke","non-dropping-particle":"","parse-names":false,"suffix":""},{"dropping-particle":"","family":"Rosenblatt","given":"Benjamin","non-dropping-particle":"","parse-names":false,"suffix":""},{"dropping-particle":"","family":"Gissane","given":"Conor","non-dropping-particle":"","parse-names":false,"suffix":""},{"dropping-particle":"","family":"Paton","given":"Bruce","non-dropping-particle":"","parse-names":false,"suffix":""},{"dropping-particle":"","family":"Patterson","given":"Stephen David","non-dropping-particle":"","parse-names":false,"suffix":""}],"container-title":"Scandinavian Journal of Medicine &amp; Science in Sports","id":"ITEM-1","issue":"7","issued":{"date-parts":[["2018"]]},"page":"1757-1765","title":"Interface pressure, perceptual and mean arterial pressure responses to different blood flow restriction systems","type":"article-journal","volume":"28"},"uris":["http://www.mendeley.com/documents/?uuid=723dfb66-f803-4b0a-b185-209c6c548655"]}],"mendeley":{"formattedCitation":"(30)","plainTextFormattedCitation":"(30)","previouslyFormattedCitation":"(30)"},"properties":{"noteIndex":0},"schema":"https://github.com/citation-style-language/schema/raw/master/csl-citation.json"}</w:instrText>
      </w:r>
      <w:r w:rsidR="00F62691"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(30)</w:t>
      </w:r>
      <w:r w:rsidR="00F62691" w:rsidRPr="008072C7">
        <w:rPr>
          <w:rFonts w:ascii="Arial" w:hAnsi="Arial" w:cs="Arial"/>
          <w:color w:val="000000" w:themeColor="text1"/>
          <w:sz w:val="20"/>
          <w:szCs w:val="20"/>
        </w:rPr>
        <w:fldChar w:fldCharType="end"/>
      </w:r>
      <w:r w:rsidR="00F62691" w:rsidRPr="008072C7">
        <w:rPr>
          <w:rFonts w:ascii="Arial" w:hAnsi="Arial" w:cs="Arial"/>
          <w:color w:val="000000" w:themeColor="text1"/>
          <w:sz w:val="20"/>
          <w:szCs w:val="20"/>
        </w:rPr>
        <w:t>.</w:t>
      </w:r>
      <w:r w:rsidR="00B410C5" w:rsidRPr="008072C7">
        <w:rPr>
          <w:rFonts w:ascii="Arial" w:hAnsi="Arial" w:cs="Arial"/>
          <w:color w:val="000000" w:themeColor="text1"/>
          <w:sz w:val="20"/>
          <w:szCs w:val="20"/>
        </w:rPr>
        <w:t xml:space="preserve"> </w:t>
      </w:r>
      <w:r w:rsidR="00296A5E" w:rsidRPr="008072C7">
        <w:rPr>
          <w:rFonts w:ascii="Arial" w:hAnsi="Arial" w:cs="Arial"/>
          <w:color w:val="000000" w:themeColor="text1"/>
          <w:sz w:val="20"/>
          <w:szCs w:val="20"/>
        </w:rPr>
        <w:t xml:space="preserve">Participants were asked </w:t>
      </w:r>
      <w:r w:rsidR="008E2455" w:rsidRPr="008072C7">
        <w:rPr>
          <w:rFonts w:ascii="Arial" w:hAnsi="Arial" w:cs="Arial"/>
          <w:color w:val="000000" w:themeColor="text1"/>
          <w:sz w:val="20"/>
          <w:szCs w:val="20"/>
        </w:rPr>
        <w:t>to score the</w:t>
      </w:r>
      <w:r w:rsidR="009E508E" w:rsidRPr="008072C7">
        <w:rPr>
          <w:rFonts w:ascii="Arial" w:hAnsi="Arial" w:cs="Arial"/>
          <w:color w:val="000000" w:themeColor="text1"/>
          <w:sz w:val="20"/>
          <w:szCs w:val="20"/>
        </w:rPr>
        <w:t xml:space="preserve"> pain </w:t>
      </w:r>
      <w:r w:rsidR="00296A5E" w:rsidRPr="008072C7">
        <w:rPr>
          <w:rFonts w:ascii="Arial" w:hAnsi="Arial" w:cs="Arial"/>
          <w:color w:val="000000" w:themeColor="text1"/>
          <w:sz w:val="20"/>
          <w:szCs w:val="20"/>
        </w:rPr>
        <w:t xml:space="preserve">experienced </w:t>
      </w:r>
      <w:r w:rsidR="009E508E" w:rsidRPr="008072C7">
        <w:rPr>
          <w:rFonts w:ascii="Arial" w:hAnsi="Arial" w:cs="Arial"/>
          <w:color w:val="000000" w:themeColor="text1"/>
          <w:sz w:val="20"/>
          <w:szCs w:val="20"/>
        </w:rPr>
        <w:t>in the</w:t>
      </w:r>
      <w:r w:rsidR="00296A5E" w:rsidRPr="008072C7">
        <w:rPr>
          <w:rFonts w:ascii="Arial" w:hAnsi="Arial" w:cs="Arial"/>
          <w:color w:val="000000" w:themeColor="text1"/>
          <w:sz w:val="20"/>
          <w:szCs w:val="20"/>
        </w:rPr>
        <w:t xml:space="preserve"> </w:t>
      </w:r>
      <w:r w:rsidR="009E508E" w:rsidRPr="008072C7">
        <w:rPr>
          <w:rFonts w:ascii="Arial" w:hAnsi="Arial" w:cs="Arial"/>
          <w:color w:val="000000" w:themeColor="text1"/>
          <w:sz w:val="20"/>
          <w:szCs w:val="20"/>
        </w:rPr>
        <w:t>quadriceps</w:t>
      </w:r>
      <w:r w:rsidR="007A40C4" w:rsidRPr="008072C7">
        <w:rPr>
          <w:rFonts w:ascii="Arial" w:hAnsi="Arial" w:cs="Arial"/>
          <w:color w:val="000000" w:themeColor="text1"/>
          <w:sz w:val="20"/>
          <w:szCs w:val="20"/>
        </w:rPr>
        <w:t xml:space="preserve"> of the exercising limb only.</w:t>
      </w:r>
    </w:p>
    <w:p w14:paraId="252B5294" w14:textId="1507AC9B" w:rsidR="008E2455" w:rsidRPr="008072C7" w:rsidRDefault="00435F95" w:rsidP="00476D7D">
      <w:pPr>
        <w:pStyle w:val="Heading2"/>
        <w:rPr>
          <w:rFonts w:ascii="Arial" w:hAnsi="Arial" w:cs="Arial"/>
          <w:sz w:val="20"/>
          <w:szCs w:val="20"/>
        </w:rPr>
      </w:pPr>
      <w:r w:rsidRPr="008072C7">
        <w:rPr>
          <w:rFonts w:ascii="Arial" w:hAnsi="Arial" w:cs="Arial"/>
          <w:sz w:val="20"/>
          <w:szCs w:val="20"/>
        </w:rPr>
        <w:t>Beta-endorphin and 2-arachidonoylglycerol level</w:t>
      </w:r>
      <w:r w:rsidR="009E508E" w:rsidRPr="008072C7">
        <w:rPr>
          <w:rFonts w:ascii="Arial" w:hAnsi="Arial" w:cs="Arial"/>
          <w:sz w:val="20"/>
          <w:szCs w:val="20"/>
        </w:rPr>
        <w:t>s</w:t>
      </w:r>
    </w:p>
    <w:p w14:paraId="7BE65A15" w14:textId="77777777" w:rsidR="00476D7D" w:rsidRPr="008072C7" w:rsidRDefault="000D3F61"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Venous blood samples were collected into </w:t>
      </w:r>
      <w:r w:rsidR="005E11A1" w:rsidRPr="008072C7">
        <w:rPr>
          <w:rFonts w:ascii="Arial" w:hAnsi="Arial" w:cs="Arial"/>
          <w:color w:val="000000" w:themeColor="text1"/>
          <w:sz w:val="20"/>
          <w:szCs w:val="20"/>
        </w:rPr>
        <w:t>vacutainers containing EDTA-Na</w:t>
      </w:r>
      <w:r w:rsidR="005E11A1" w:rsidRPr="008072C7">
        <w:rPr>
          <w:rFonts w:ascii="Arial" w:hAnsi="Arial" w:cs="Arial"/>
          <w:color w:val="000000" w:themeColor="text1"/>
          <w:sz w:val="20"/>
          <w:szCs w:val="20"/>
          <w:vertAlign w:val="superscript"/>
        </w:rPr>
        <w:t>2</w:t>
      </w:r>
      <w:r w:rsidR="00AE23B7" w:rsidRPr="008072C7">
        <w:rPr>
          <w:rFonts w:ascii="Arial" w:hAnsi="Arial" w:cs="Arial"/>
          <w:color w:val="000000" w:themeColor="text1"/>
          <w:sz w:val="20"/>
          <w:szCs w:val="20"/>
          <w:vertAlign w:val="superscript"/>
        </w:rPr>
        <w:t xml:space="preserve"> </w:t>
      </w:r>
      <w:r w:rsidR="00AE23B7" w:rsidRPr="008072C7">
        <w:rPr>
          <w:rFonts w:ascii="Arial" w:hAnsi="Arial" w:cs="Arial"/>
          <w:color w:val="000000" w:themeColor="text1"/>
          <w:sz w:val="20"/>
          <w:szCs w:val="20"/>
        </w:rPr>
        <w:t>(6mg)</w:t>
      </w:r>
      <w:r w:rsidR="005E11A1" w:rsidRPr="008072C7">
        <w:rPr>
          <w:rFonts w:ascii="Arial" w:hAnsi="Arial" w:cs="Arial"/>
          <w:color w:val="000000" w:themeColor="text1"/>
          <w:sz w:val="20"/>
          <w:szCs w:val="20"/>
        </w:rPr>
        <w:t xml:space="preserve"> and immediately centrifuged </w:t>
      </w:r>
      <w:r w:rsidR="00CC2ADD" w:rsidRPr="008072C7">
        <w:rPr>
          <w:rFonts w:ascii="Arial" w:hAnsi="Arial" w:cs="Arial"/>
          <w:color w:val="000000" w:themeColor="text1"/>
          <w:sz w:val="20"/>
          <w:szCs w:val="20"/>
        </w:rPr>
        <w:t>for 15</w:t>
      </w:r>
      <w:r w:rsidR="006578FC" w:rsidRPr="008072C7">
        <w:rPr>
          <w:rFonts w:ascii="Arial" w:hAnsi="Arial" w:cs="Arial"/>
          <w:color w:val="000000" w:themeColor="text1"/>
          <w:sz w:val="20"/>
          <w:szCs w:val="20"/>
        </w:rPr>
        <w:t>min at 1000 x g at 4°</w:t>
      </w:r>
      <w:r w:rsidR="00A955D5" w:rsidRPr="008072C7">
        <w:rPr>
          <w:rFonts w:ascii="Arial" w:hAnsi="Arial" w:cs="Arial"/>
          <w:color w:val="000000" w:themeColor="text1"/>
          <w:sz w:val="20"/>
          <w:szCs w:val="20"/>
        </w:rPr>
        <w:t>c</w:t>
      </w:r>
      <w:r w:rsidR="00AE23B7" w:rsidRPr="008072C7">
        <w:rPr>
          <w:rFonts w:ascii="Arial" w:hAnsi="Arial" w:cs="Arial"/>
          <w:color w:val="000000" w:themeColor="text1"/>
          <w:sz w:val="20"/>
          <w:szCs w:val="20"/>
        </w:rPr>
        <w:t xml:space="preserve">. Plasma supernatant was </w:t>
      </w:r>
      <w:r w:rsidR="00E55FEE" w:rsidRPr="008072C7">
        <w:rPr>
          <w:rFonts w:ascii="Arial" w:hAnsi="Arial" w:cs="Arial"/>
          <w:color w:val="000000" w:themeColor="text1"/>
          <w:sz w:val="20"/>
          <w:szCs w:val="20"/>
        </w:rPr>
        <w:t>aliquoted t</w:t>
      </w:r>
      <w:r w:rsidR="00AE23B7" w:rsidRPr="008072C7">
        <w:rPr>
          <w:rFonts w:ascii="Arial" w:hAnsi="Arial" w:cs="Arial"/>
          <w:color w:val="000000" w:themeColor="text1"/>
          <w:sz w:val="20"/>
          <w:szCs w:val="20"/>
        </w:rPr>
        <w:t>o eppendorf tubes and stored at -80°c</w:t>
      </w:r>
      <w:r w:rsidR="00822C1C" w:rsidRPr="008072C7">
        <w:rPr>
          <w:rFonts w:ascii="Arial" w:hAnsi="Arial" w:cs="Arial"/>
          <w:color w:val="000000" w:themeColor="text1"/>
          <w:sz w:val="20"/>
          <w:szCs w:val="20"/>
        </w:rPr>
        <w:t xml:space="preserve"> until assays were conducted</w:t>
      </w:r>
      <w:r w:rsidR="00A955D5" w:rsidRPr="008072C7">
        <w:rPr>
          <w:rFonts w:ascii="Arial" w:hAnsi="Arial" w:cs="Arial"/>
          <w:color w:val="000000" w:themeColor="text1"/>
          <w:sz w:val="20"/>
          <w:szCs w:val="20"/>
        </w:rPr>
        <w:t xml:space="preserve"> </w:t>
      </w:r>
      <w:r w:rsidR="00365A23" w:rsidRPr="008072C7">
        <w:rPr>
          <w:rFonts w:ascii="Arial" w:hAnsi="Arial" w:cs="Arial"/>
          <w:color w:val="000000" w:themeColor="text1"/>
          <w:sz w:val="20"/>
          <w:szCs w:val="20"/>
        </w:rPr>
        <w:t>for analysis.</w:t>
      </w:r>
    </w:p>
    <w:p w14:paraId="5C6377B3" w14:textId="4D922D72" w:rsidR="00822C1C" w:rsidRPr="008072C7" w:rsidRDefault="00822C1C"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Plasma </w:t>
      </w:r>
      <w:r w:rsidR="00F86F57" w:rsidRPr="008072C7">
        <w:rPr>
          <w:rFonts w:ascii="Arial" w:hAnsi="Arial" w:cs="Arial"/>
          <w:color w:val="000000" w:themeColor="text1"/>
          <w:sz w:val="20"/>
          <w:szCs w:val="20"/>
        </w:rPr>
        <w:t>BE</w:t>
      </w:r>
      <w:r w:rsidRPr="008072C7">
        <w:rPr>
          <w:rFonts w:ascii="Arial" w:hAnsi="Arial" w:cs="Arial"/>
          <w:color w:val="000000" w:themeColor="text1"/>
          <w:sz w:val="20"/>
          <w:szCs w:val="20"/>
        </w:rPr>
        <w:t xml:space="preserve"> level</w:t>
      </w:r>
      <w:r w:rsidR="00C232F0" w:rsidRPr="008072C7">
        <w:rPr>
          <w:rFonts w:ascii="Arial" w:hAnsi="Arial" w:cs="Arial"/>
          <w:color w:val="000000" w:themeColor="text1"/>
          <w:sz w:val="20"/>
          <w:szCs w:val="20"/>
        </w:rPr>
        <w:t>s were determined using a commercially available enzyme immunoassay kit following standard published procedures (Diagenics, Milton Keynes, London, UK).</w:t>
      </w:r>
      <w:r w:rsidR="006334A9" w:rsidRPr="008072C7">
        <w:rPr>
          <w:rFonts w:ascii="Arial" w:hAnsi="Arial" w:cs="Arial"/>
          <w:color w:val="000000" w:themeColor="text1"/>
          <w:sz w:val="20"/>
          <w:szCs w:val="20"/>
        </w:rPr>
        <w:t xml:space="preserve"> </w:t>
      </w:r>
      <w:r w:rsidR="00C232F0" w:rsidRPr="008072C7">
        <w:rPr>
          <w:rFonts w:ascii="Arial" w:hAnsi="Arial" w:cs="Arial"/>
          <w:color w:val="000000" w:themeColor="text1"/>
          <w:sz w:val="20"/>
          <w:szCs w:val="20"/>
        </w:rPr>
        <w:t xml:space="preserve">The detection </w:t>
      </w:r>
      <w:r w:rsidR="00A91DB4" w:rsidRPr="008072C7">
        <w:rPr>
          <w:rFonts w:ascii="Arial" w:hAnsi="Arial" w:cs="Arial"/>
          <w:color w:val="000000" w:themeColor="text1"/>
          <w:sz w:val="20"/>
          <w:szCs w:val="20"/>
        </w:rPr>
        <w:t>range was 15.652-1000pg/ml</w:t>
      </w:r>
      <w:r w:rsidR="00745A1E" w:rsidRPr="008072C7">
        <w:rPr>
          <w:rFonts w:ascii="Arial" w:hAnsi="Arial" w:cs="Arial"/>
          <w:color w:val="000000" w:themeColor="text1"/>
          <w:sz w:val="20"/>
          <w:szCs w:val="20"/>
        </w:rPr>
        <w:t xml:space="preserve"> with a sensitivity of &lt;9.375pg/ml</w:t>
      </w:r>
      <w:r w:rsidR="00032337" w:rsidRPr="008072C7">
        <w:rPr>
          <w:rFonts w:ascii="Arial" w:hAnsi="Arial" w:cs="Arial"/>
          <w:color w:val="000000" w:themeColor="text1"/>
          <w:sz w:val="20"/>
          <w:szCs w:val="20"/>
        </w:rPr>
        <w:t xml:space="preserve"> and</w:t>
      </w:r>
      <w:r w:rsidR="00745A1E" w:rsidRPr="008072C7">
        <w:rPr>
          <w:rFonts w:ascii="Arial" w:hAnsi="Arial" w:cs="Arial"/>
          <w:color w:val="000000" w:themeColor="text1"/>
          <w:sz w:val="20"/>
          <w:szCs w:val="20"/>
        </w:rPr>
        <w:t xml:space="preserve"> no</w:t>
      </w:r>
      <w:r w:rsidR="001920AF" w:rsidRPr="008072C7">
        <w:rPr>
          <w:rFonts w:ascii="Arial" w:hAnsi="Arial" w:cs="Arial"/>
          <w:color w:val="000000" w:themeColor="text1"/>
          <w:sz w:val="20"/>
          <w:szCs w:val="20"/>
        </w:rPr>
        <w:t xml:space="preserve"> observed significant cross-reactivity or interference with analogues.</w:t>
      </w:r>
      <w:r w:rsidR="00234593" w:rsidRPr="008072C7">
        <w:rPr>
          <w:rFonts w:ascii="Arial" w:hAnsi="Arial" w:cs="Arial"/>
          <w:color w:val="000000" w:themeColor="text1"/>
          <w:sz w:val="20"/>
          <w:szCs w:val="20"/>
        </w:rPr>
        <w:t xml:space="preserve"> The inter- and intra-assay coefficients of variation were &lt;10% and </w:t>
      </w:r>
      <w:r w:rsidR="00B06A98" w:rsidRPr="008072C7">
        <w:rPr>
          <w:rFonts w:ascii="Arial" w:hAnsi="Arial" w:cs="Arial"/>
          <w:color w:val="000000" w:themeColor="text1"/>
          <w:sz w:val="20"/>
          <w:szCs w:val="20"/>
        </w:rPr>
        <w:t>&lt;8% respectively.</w:t>
      </w:r>
      <w:r w:rsidR="00365A23" w:rsidRPr="008072C7">
        <w:rPr>
          <w:rFonts w:ascii="Arial" w:hAnsi="Arial" w:cs="Arial"/>
          <w:color w:val="000000" w:themeColor="text1"/>
          <w:sz w:val="20"/>
          <w:szCs w:val="20"/>
        </w:rPr>
        <w:t xml:space="preserve"> All </w:t>
      </w:r>
      <w:r w:rsidR="00F86F57" w:rsidRPr="008072C7">
        <w:rPr>
          <w:rFonts w:ascii="Arial" w:hAnsi="Arial" w:cs="Arial"/>
          <w:color w:val="000000" w:themeColor="text1"/>
          <w:sz w:val="20"/>
          <w:szCs w:val="20"/>
        </w:rPr>
        <w:t>BE</w:t>
      </w:r>
      <w:r w:rsidR="00365A23" w:rsidRPr="008072C7">
        <w:rPr>
          <w:rFonts w:ascii="Arial" w:hAnsi="Arial" w:cs="Arial"/>
          <w:color w:val="000000" w:themeColor="text1"/>
          <w:sz w:val="20"/>
          <w:szCs w:val="20"/>
        </w:rPr>
        <w:t xml:space="preserve"> assays were run in duplicate.</w:t>
      </w:r>
    </w:p>
    <w:p w14:paraId="00489295" w14:textId="4F1AD881" w:rsidR="006334A9" w:rsidRPr="008072C7" w:rsidRDefault="006334A9" w:rsidP="00476D7D">
      <w:pPr>
        <w:rPr>
          <w:rFonts w:ascii="Arial" w:hAnsi="Arial" w:cs="Arial"/>
          <w:color w:val="000000" w:themeColor="text1"/>
          <w:sz w:val="20"/>
          <w:szCs w:val="20"/>
        </w:rPr>
      </w:pPr>
      <w:r w:rsidRPr="008072C7">
        <w:rPr>
          <w:rFonts w:ascii="Arial" w:hAnsi="Arial" w:cs="Arial"/>
          <w:color w:val="000000" w:themeColor="text1"/>
          <w:sz w:val="20"/>
          <w:szCs w:val="20"/>
        </w:rPr>
        <w:t>Plasma</w:t>
      </w:r>
      <w:r w:rsidR="00AD0857" w:rsidRPr="008072C7">
        <w:rPr>
          <w:rFonts w:ascii="Arial" w:hAnsi="Arial" w:cs="Arial"/>
          <w:color w:val="000000" w:themeColor="text1"/>
          <w:sz w:val="20"/>
          <w:szCs w:val="20"/>
        </w:rPr>
        <w:t xml:space="preserve"> 2AG levels were determined using a commercially available enzyme immunoassay kit following standard published procedures (</w:t>
      </w:r>
      <w:r w:rsidR="003C2F93" w:rsidRPr="008072C7">
        <w:rPr>
          <w:rFonts w:ascii="Arial" w:hAnsi="Arial" w:cs="Arial"/>
          <w:color w:val="000000" w:themeColor="text1"/>
          <w:sz w:val="20"/>
          <w:szCs w:val="20"/>
        </w:rPr>
        <w:t>MyBioSource, San Diego, CA, USA). The detection range was 3.70-300ng/ml</w:t>
      </w:r>
      <w:r w:rsidR="00032337" w:rsidRPr="008072C7">
        <w:rPr>
          <w:rFonts w:ascii="Arial" w:hAnsi="Arial" w:cs="Arial"/>
          <w:color w:val="000000" w:themeColor="text1"/>
          <w:sz w:val="20"/>
          <w:szCs w:val="20"/>
        </w:rPr>
        <w:t xml:space="preserve"> with a sensitivity of &lt;1.44ng/ml and no observed significant cross-reactivity or interference with analogues. The inter- and intra-assay coefficients of variation were &lt;12% and &lt;10% respectively.</w:t>
      </w:r>
      <w:r w:rsidR="00822976" w:rsidRPr="008072C7">
        <w:rPr>
          <w:rFonts w:ascii="Arial" w:hAnsi="Arial" w:cs="Arial"/>
          <w:color w:val="000000" w:themeColor="text1"/>
          <w:sz w:val="20"/>
          <w:szCs w:val="20"/>
        </w:rPr>
        <w:t xml:space="preserve"> All 2AG </w:t>
      </w:r>
      <w:r w:rsidR="00C00816" w:rsidRPr="008072C7">
        <w:rPr>
          <w:rFonts w:ascii="Arial" w:hAnsi="Arial" w:cs="Arial"/>
          <w:color w:val="000000" w:themeColor="text1"/>
          <w:sz w:val="20"/>
          <w:szCs w:val="20"/>
        </w:rPr>
        <w:t>assays were run in duplicate.</w:t>
      </w:r>
    </w:p>
    <w:p w14:paraId="15115CCA" w14:textId="7BCC8C5E" w:rsidR="00DB0760" w:rsidRPr="008072C7" w:rsidRDefault="00DB0760" w:rsidP="00476D7D">
      <w:pPr>
        <w:pStyle w:val="Heading2"/>
        <w:rPr>
          <w:rFonts w:ascii="Arial" w:hAnsi="Arial" w:cs="Arial"/>
          <w:sz w:val="20"/>
          <w:szCs w:val="20"/>
        </w:rPr>
      </w:pPr>
      <w:r w:rsidRPr="008072C7">
        <w:rPr>
          <w:rFonts w:ascii="Arial" w:hAnsi="Arial" w:cs="Arial"/>
          <w:sz w:val="20"/>
          <w:szCs w:val="20"/>
        </w:rPr>
        <w:t>Plasma volume</w:t>
      </w:r>
    </w:p>
    <w:p w14:paraId="2828173B" w14:textId="2604E0B6" w:rsidR="00DB0760" w:rsidRPr="008072C7" w:rsidRDefault="00776646" w:rsidP="00476D7D">
      <w:pPr>
        <w:rPr>
          <w:rFonts w:ascii="Arial" w:hAnsi="Arial" w:cs="Arial"/>
          <w:color w:val="000000" w:themeColor="text1"/>
          <w:sz w:val="20"/>
          <w:szCs w:val="20"/>
        </w:rPr>
      </w:pPr>
      <w:r w:rsidRPr="008072C7">
        <w:rPr>
          <w:rFonts w:ascii="Arial" w:hAnsi="Arial" w:cs="Arial"/>
          <w:color w:val="000000" w:themeColor="text1"/>
          <w:sz w:val="20"/>
          <w:szCs w:val="20"/>
        </w:rPr>
        <w:t>Pl</w:t>
      </w:r>
      <w:r w:rsidR="006B6F5D" w:rsidRPr="008072C7">
        <w:rPr>
          <w:rFonts w:ascii="Arial" w:hAnsi="Arial" w:cs="Arial"/>
          <w:color w:val="000000" w:themeColor="text1"/>
          <w:sz w:val="20"/>
          <w:szCs w:val="20"/>
        </w:rPr>
        <w:t>asma volume</w:t>
      </w:r>
      <w:r w:rsidR="009025F0" w:rsidRPr="008072C7">
        <w:rPr>
          <w:rFonts w:ascii="Arial" w:hAnsi="Arial" w:cs="Arial"/>
          <w:color w:val="000000" w:themeColor="text1"/>
          <w:sz w:val="20"/>
          <w:szCs w:val="20"/>
        </w:rPr>
        <w:t xml:space="preserve"> was determined to correct blood marker concentration</w:t>
      </w:r>
      <w:r w:rsidR="0013388E" w:rsidRPr="008072C7">
        <w:rPr>
          <w:rFonts w:ascii="Arial" w:hAnsi="Arial" w:cs="Arial"/>
          <w:color w:val="000000" w:themeColor="text1"/>
          <w:sz w:val="20"/>
          <w:szCs w:val="20"/>
        </w:rPr>
        <w:t>s</w:t>
      </w:r>
      <w:r w:rsidR="009025F0"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for any changes in plasma volume with exercise. A c</w:t>
      </w:r>
      <w:r w:rsidR="000539D3" w:rsidRPr="008072C7">
        <w:rPr>
          <w:rFonts w:ascii="Arial" w:hAnsi="Arial" w:cs="Arial"/>
          <w:color w:val="000000" w:themeColor="text1"/>
          <w:sz w:val="20"/>
          <w:szCs w:val="20"/>
        </w:rPr>
        <w:t xml:space="preserve">apillary blood sample was </w:t>
      </w:r>
      <w:r w:rsidR="009025F0" w:rsidRPr="008072C7">
        <w:rPr>
          <w:rFonts w:ascii="Arial" w:hAnsi="Arial" w:cs="Arial"/>
          <w:color w:val="000000" w:themeColor="text1"/>
          <w:sz w:val="20"/>
          <w:szCs w:val="20"/>
        </w:rPr>
        <w:t xml:space="preserve">taken, </w:t>
      </w:r>
      <w:r w:rsidR="000539D3" w:rsidRPr="008072C7">
        <w:rPr>
          <w:rFonts w:ascii="Arial" w:hAnsi="Arial" w:cs="Arial"/>
          <w:color w:val="000000" w:themeColor="text1"/>
          <w:sz w:val="20"/>
          <w:szCs w:val="20"/>
        </w:rPr>
        <w:t xml:space="preserve">and haematocrit was measured </w:t>
      </w:r>
      <w:r w:rsidR="00406C19" w:rsidRPr="008072C7">
        <w:rPr>
          <w:rFonts w:ascii="Arial" w:hAnsi="Arial" w:cs="Arial"/>
          <w:color w:val="000000" w:themeColor="text1"/>
          <w:sz w:val="20"/>
          <w:szCs w:val="20"/>
        </w:rPr>
        <w:t>using</w:t>
      </w:r>
      <w:r w:rsidR="000539D3" w:rsidRPr="008072C7">
        <w:rPr>
          <w:rFonts w:ascii="Arial" w:hAnsi="Arial" w:cs="Arial"/>
          <w:color w:val="000000" w:themeColor="text1"/>
          <w:sz w:val="20"/>
          <w:szCs w:val="20"/>
        </w:rPr>
        <w:t xml:space="preserve"> a micro-haematocrit centrifuge </w:t>
      </w:r>
      <w:r w:rsidR="003A756E" w:rsidRPr="008072C7">
        <w:rPr>
          <w:rFonts w:ascii="Arial" w:hAnsi="Arial" w:cs="Arial"/>
          <w:color w:val="000000" w:themeColor="text1"/>
          <w:sz w:val="20"/>
          <w:szCs w:val="20"/>
        </w:rPr>
        <w:t>and a</w:t>
      </w:r>
      <w:r w:rsidRPr="008072C7">
        <w:rPr>
          <w:rFonts w:ascii="Arial" w:hAnsi="Arial" w:cs="Arial"/>
          <w:color w:val="000000" w:themeColor="text1"/>
          <w:sz w:val="20"/>
          <w:szCs w:val="20"/>
        </w:rPr>
        <w:t xml:space="preserve"> haematocrit</w:t>
      </w:r>
      <w:r w:rsidR="003A756E" w:rsidRPr="008072C7">
        <w:rPr>
          <w:rFonts w:ascii="Arial" w:hAnsi="Arial" w:cs="Arial"/>
          <w:color w:val="000000" w:themeColor="text1"/>
          <w:sz w:val="20"/>
          <w:szCs w:val="20"/>
        </w:rPr>
        <w:t xml:space="preserve"> reader (</w:t>
      </w:r>
      <w:r w:rsidR="004C4352" w:rsidRPr="008072C7">
        <w:rPr>
          <w:rFonts w:ascii="Arial" w:hAnsi="Arial" w:cs="Arial"/>
          <w:color w:val="000000" w:themeColor="text1"/>
          <w:sz w:val="20"/>
          <w:szCs w:val="20"/>
        </w:rPr>
        <w:t xml:space="preserve">Hawksley, Sussex, UK). The </w:t>
      </w:r>
      <w:r w:rsidR="003A756E" w:rsidRPr="008072C7">
        <w:rPr>
          <w:rFonts w:ascii="Arial" w:hAnsi="Arial" w:cs="Arial"/>
          <w:color w:val="000000" w:themeColor="text1"/>
          <w:sz w:val="20"/>
          <w:szCs w:val="20"/>
        </w:rPr>
        <w:t>percent</w:t>
      </w:r>
      <w:r w:rsidR="004C4352" w:rsidRPr="008072C7">
        <w:rPr>
          <w:rFonts w:ascii="Arial" w:hAnsi="Arial" w:cs="Arial"/>
          <w:color w:val="000000" w:themeColor="text1"/>
          <w:sz w:val="20"/>
          <w:szCs w:val="20"/>
        </w:rPr>
        <w:t xml:space="preserve"> </w:t>
      </w:r>
      <w:r w:rsidR="003A756E" w:rsidRPr="008072C7">
        <w:rPr>
          <w:rFonts w:ascii="Arial" w:hAnsi="Arial" w:cs="Arial"/>
          <w:color w:val="000000" w:themeColor="text1"/>
          <w:sz w:val="20"/>
          <w:szCs w:val="20"/>
        </w:rPr>
        <w:t xml:space="preserve">changes in plasma volume were calculated using the following formula: % </w:t>
      </w:r>
      <w:r w:rsidR="009025F0" w:rsidRPr="008072C7">
        <w:rPr>
          <w:rFonts w:ascii="Arial" w:hAnsi="Arial" w:cs="Arial"/>
          <w:color w:val="000000" w:themeColor="text1"/>
          <w:sz w:val="20"/>
          <w:szCs w:val="20"/>
        </w:rPr>
        <w:t>change</w:t>
      </w:r>
      <w:r w:rsidR="003A756E" w:rsidRPr="008072C7">
        <w:rPr>
          <w:rFonts w:ascii="Arial" w:hAnsi="Arial" w:cs="Arial"/>
          <w:color w:val="000000" w:themeColor="text1"/>
          <w:sz w:val="20"/>
          <w:szCs w:val="20"/>
        </w:rPr>
        <w:t xml:space="preserve"> in plasma volume </w:t>
      </w:r>
      <w:r w:rsidR="00E62A15" w:rsidRPr="008072C7">
        <w:rPr>
          <w:rFonts w:ascii="Arial" w:hAnsi="Arial" w:cs="Arial"/>
          <w:color w:val="000000" w:themeColor="text1"/>
          <w:sz w:val="20"/>
          <w:szCs w:val="20"/>
        </w:rPr>
        <w:t>= (100/[100 Hct pre</w:t>
      </w:r>
      <w:r w:rsidR="009025F0" w:rsidRPr="008072C7">
        <w:rPr>
          <w:rFonts w:ascii="Arial" w:hAnsi="Arial" w:cs="Arial"/>
          <w:color w:val="000000" w:themeColor="text1"/>
          <w:sz w:val="20"/>
          <w:szCs w:val="20"/>
        </w:rPr>
        <w:t xml:space="preserve">])*100([Hct pre - Hct post]/Hct post) </w:t>
      </w:r>
      <w:r w:rsidR="009025F0"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{"citationItems":[{"id":"ITEM-1","itemData":{"DOI":"10.1152/jappl.1972.32.5.712","author":[{"dropping-particle":"","family":"Beaumont","given":"W","non-dropping-particle":"Van","parse-names":false,"suffix":""}],"container-title":"Journal of applied physiology","id":"ITEM-1","issue":"5","issued":{"date-parts":[["1972"]]},"page":"712-3","title":"Evaluation of hemoconcentration from hematocrit measurements.","type":"article-journal","volume":"32"},"uris":["http://www.mendeley.com/documents/?uuid=a4331c73-e5e2-418e-bb3e-33ab77ce11d3","http://www.mendeley.com/documents/?uuid=e77dc58d-bd45-4fba-8f24-67e86cd0ed76"]}],"mendeley":{"formattedCitation":"(3)","plainTextFormattedCitation":"(3)","previouslyFormattedCitation":"(3)"},"properties":{"noteIndex":0},"schema":"https://github.com/citation-style-language/schema/raw/master/csl-citation.json"}</w:instrText>
      </w:r>
      <w:r w:rsidR="009025F0"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(3)</w:t>
      </w:r>
      <w:r w:rsidR="009025F0" w:rsidRPr="008072C7">
        <w:rPr>
          <w:rFonts w:ascii="Arial" w:hAnsi="Arial" w:cs="Arial"/>
          <w:color w:val="000000" w:themeColor="text1"/>
          <w:sz w:val="20"/>
          <w:szCs w:val="20"/>
        </w:rPr>
        <w:fldChar w:fldCharType="end"/>
      </w:r>
      <w:r w:rsidR="009025F0" w:rsidRPr="008072C7">
        <w:rPr>
          <w:rFonts w:ascii="Arial" w:hAnsi="Arial" w:cs="Arial"/>
          <w:color w:val="000000" w:themeColor="text1"/>
          <w:sz w:val="20"/>
          <w:szCs w:val="20"/>
        </w:rPr>
        <w:t>.</w:t>
      </w:r>
    </w:p>
    <w:p w14:paraId="071A96DE" w14:textId="77777777" w:rsidR="00B20E11" w:rsidRPr="008072C7" w:rsidRDefault="00B20E11" w:rsidP="00476D7D">
      <w:pPr>
        <w:rPr>
          <w:rFonts w:ascii="Arial" w:hAnsi="Arial" w:cs="Arial"/>
          <w:b/>
          <w:bCs/>
          <w:color w:val="000000" w:themeColor="text1"/>
          <w:sz w:val="20"/>
          <w:szCs w:val="20"/>
        </w:rPr>
      </w:pPr>
    </w:p>
    <w:p w14:paraId="2E2A1294" w14:textId="77777777" w:rsidR="00B20E11" w:rsidRPr="008072C7" w:rsidRDefault="00B20E11" w:rsidP="00476D7D">
      <w:pPr>
        <w:rPr>
          <w:rFonts w:ascii="Arial" w:hAnsi="Arial" w:cs="Arial"/>
          <w:b/>
          <w:bCs/>
          <w:color w:val="000000" w:themeColor="text1"/>
          <w:sz w:val="20"/>
          <w:szCs w:val="20"/>
        </w:rPr>
      </w:pPr>
    </w:p>
    <w:p w14:paraId="481EB8A8" w14:textId="0DDB3918" w:rsidR="002B7455" w:rsidRPr="008072C7" w:rsidRDefault="002B7455" w:rsidP="00476D7D">
      <w:pPr>
        <w:rPr>
          <w:rFonts w:ascii="Arial" w:hAnsi="Arial" w:cs="Arial"/>
          <w:b/>
          <w:bCs/>
          <w:color w:val="000000" w:themeColor="text1"/>
          <w:sz w:val="20"/>
          <w:szCs w:val="20"/>
        </w:rPr>
      </w:pPr>
      <w:r w:rsidRPr="008072C7">
        <w:rPr>
          <w:rFonts w:ascii="Arial" w:hAnsi="Arial" w:cs="Arial"/>
          <w:b/>
          <w:bCs/>
          <w:color w:val="000000" w:themeColor="text1"/>
          <w:sz w:val="20"/>
          <w:szCs w:val="20"/>
        </w:rPr>
        <w:lastRenderedPageBreak/>
        <w:t>Mediation analy</w:t>
      </w:r>
      <w:r w:rsidR="00D86C06" w:rsidRPr="008072C7">
        <w:rPr>
          <w:rFonts w:ascii="Arial" w:hAnsi="Arial" w:cs="Arial"/>
          <w:b/>
          <w:bCs/>
          <w:color w:val="000000" w:themeColor="text1"/>
          <w:sz w:val="20"/>
          <w:szCs w:val="20"/>
        </w:rPr>
        <w:t>ses</w:t>
      </w:r>
    </w:p>
    <w:p w14:paraId="290E8594" w14:textId="28708A52" w:rsidR="00500D10" w:rsidRPr="008072C7" w:rsidRDefault="00D86C06" w:rsidP="00476D7D">
      <w:pPr>
        <w:rPr>
          <w:rFonts w:ascii="Arial" w:hAnsi="Arial" w:cs="Arial"/>
          <w:color w:val="000000" w:themeColor="text1"/>
          <w:sz w:val="20"/>
          <w:szCs w:val="20"/>
        </w:rPr>
      </w:pPr>
      <w:r w:rsidRPr="008072C7">
        <w:rPr>
          <w:rFonts w:ascii="Arial" w:hAnsi="Arial" w:cs="Arial"/>
          <w:color w:val="000000" w:themeColor="text1"/>
          <w:sz w:val="20"/>
          <w:szCs w:val="20"/>
        </w:rPr>
        <w:t>We conducted mediation analyses</w:t>
      </w:r>
      <w:r w:rsidR="004A7B2A" w:rsidRPr="008072C7">
        <w:rPr>
          <w:rFonts w:ascii="Arial" w:hAnsi="Arial" w:cs="Arial"/>
          <w:color w:val="000000" w:themeColor="text1"/>
          <w:sz w:val="20"/>
          <w:szCs w:val="20"/>
        </w:rPr>
        <w:t xml:space="preserve"> with a multicategorical independent variable (exercise intervention)</w:t>
      </w:r>
      <w:r w:rsidRPr="008072C7">
        <w:rPr>
          <w:rFonts w:ascii="Arial" w:hAnsi="Arial" w:cs="Arial"/>
          <w:color w:val="000000" w:themeColor="text1"/>
          <w:sz w:val="20"/>
          <w:szCs w:val="20"/>
        </w:rPr>
        <w:t xml:space="preserve"> to examine the impact of </w:t>
      </w:r>
      <w:r w:rsidR="000B2723">
        <w:rPr>
          <w:rFonts w:ascii="Arial" w:hAnsi="Arial" w:cs="Arial"/>
          <w:color w:val="000000" w:themeColor="text1"/>
          <w:sz w:val="20"/>
          <w:szCs w:val="20"/>
        </w:rPr>
        <w:t xml:space="preserve">change in </w:t>
      </w:r>
      <w:r w:rsidRPr="008072C7">
        <w:rPr>
          <w:rFonts w:ascii="Arial" w:hAnsi="Arial" w:cs="Arial"/>
          <w:color w:val="000000" w:themeColor="text1"/>
          <w:sz w:val="20"/>
          <w:szCs w:val="20"/>
        </w:rPr>
        <w:t>plasma beta-endorphin</w:t>
      </w:r>
      <w:r w:rsidR="000B2723">
        <w:rPr>
          <w:rFonts w:ascii="Arial" w:hAnsi="Arial" w:cs="Arial"/>
          <w:color w:val="000000" w:themeColor="text1"/>
          <w:sz w:val="20"/>
          <w:szCs w:val="20"/>
        </w:rPr>
        <w:t xml:space="preserve">, </w:t>
      </w:r>
      <w:r w:rsidRPr="008072C7">
        <w:rPr>
          <w:rFonts w:ascii="Arial" w:hAnsi="Arial" w:cs="Arial"/>
          <w:color w:val="000000" w:themeColor="text1"/>
          <w:sz w:val="20"/>
          <w:szCs w:val="20"/>
        </w:rPr>
        <w:t>2AG and muscle discomfort during exercise on the effect of exercise intervention on change in PPT</w:t>
      </w:r>
      <w:r w:rsidR="000B2723">
        <w:rPr>
          <w:rFonts w:ascii="Arial" w:hAnsi="Arial" w:cs="Arial"/>
          <w:color w:val="000000" w:themeColor="text1"/>
          <w:sz w:val="20"/>
          <w:szCs w:val="20"/>
        </w:rPr>
        <w:t xml:space="preserve"> from pre-exercise to 5 min post-exercise</w:t>
      </w:r>
      <w:r w:rsidRPr="008072C7">
        <w:rPr>
          <w:rFonts w:ascii="Arial" w:hAnsi="Arial" w:cs="Arial"/>
          <w:color w:val="000000" w:themeColor="text1"/>
          <w:sz w:val="20"/>
          <w:szCs w:val="20"/>
        </w:rPr>
        <w:t xml:space="preserve"> (Figure 1). Pathway C, referred to as the “total effect”, describes the observed effect of the independent variable on the dependent variable. The total effects are comprised of a direct effect pathway (Pathway C’) of the independent variable on the dependent variable, and a total indirect pathway (mediated pathway A+B) of the independent variable on the dependent variable through the mediator. We employed the Baron and Kenny method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{"citationItems":[{"id":"ITEM-1","itemData":{"author":[{"dropping-particle":"","family":"Baron","given":"R. M","non-dropping-particle":"","parse-names":false,"suffix":""},{"dropping-particle":"","family":"Kenny","given":"D. A","non-dropping-particle":"","parse-names":false,"suffix":""}],"container-title":"Journal of Personality and Social Psychology","id":"ITEM-1","issued":{"date-parts":[["1986"]]},"page":"1173-1182","title":"The moderator-mediator variable distinction in social psychological research: Conceptual, strategic and statistical considerations","type":"article-journal","volume":"51"},"uris":["http://www.mendeley.com/documents/?uuid=0ecf5ae4-8b66-4548-9245-78af38184360"]}],"mendeley":{"formattedCitation":"(2)","plainTextFormattedCitation":"(2)","previouslyFormattedCitation":"(2)"},"properties":{"noteIndex":0},"schema":"https://github.com/citation-style-language/schema/raw/master/csl-citation.json"}</w:instrText>
      </w:r>
      <w:r w:rsidRPr="008072C7">
        <w:rPr>
          <w:rFonts w:ascii="Arial" w:hAnsi="Arial" w:cs="Arial"/>
          <w:color w:val="000000" w:themeColor="text1"/>
          <w:sz w:val="20"/>
          <w:szCs w:val="20"/>
        </w:rPr>
        <w:fldChar w:fldCharType="separate"/>
      </w:r>
      <w:r w:rsidRPr="008072C7">
        <w:rPr>
          <w:rFonts w:ascii="Arial" w:hAnsi="Arial" w:cs="Arial"/>
          <w:noProof/>
          <w:color w:val="000000" w:themeColor="text1"/>
          <w:sz w:val="20"/>
          <w:szCs w:val="20"/>
        </w:rPr>
        <w:t>(2)</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which involves </w:t>
      </w:r>
      <w:r w:rsidR="00B20E11" w:rsidRPr="008072C7">
        <w:rPr>
          <w:rFonts w:ascii="Arial" w:hAnsi="Arial" w:cs="Arial"/>
          <w:color w:val="000000" w:themeColor="text1"/>
          <w:sz w:val="20"/>
          <w:szCs w:val="20"/>
        </w:rPr>
        <w:t>conduction of several regression analyses, and examined the relevant coefficients at each step. With this method, mediation can be said to be present when the following conditions hold in sequential regression analyses: 1) The independent variable (exercise intervention) is associated with the dependent variable (PPT) in the absence of the mediator; 2) The independent variable (exercise intervention</w:t>
      </w:r>
      <w:r w:rsidR="00DC0215" w:rsidRPr="008072C7">
        <w:rPr>
          <w:rFonts w:ascii="Arial" w:hAnsi="Arial" w:cs="Arial"/>
          <w:color w:val="000000" w:themeColor="text1"/>
          <w:sz w:val="20"/>
          <w:szCs w:val="20"/>
        </w:rPr>
        <w:t>)</w:t>
      </w:r>
      <w:r w:rsidR="00B20E11" w:rsidRPr="008072C7">
        <w:rPr>
          <w:rFonts w:ascii="Arial" w:hAnsi="Arial" w:cs="Arial"/>
          <w:color w:val="000000" w:themeColor="text1"/>
          <w:sz w:val="20"/>
          <w:szCs w:val="20"/>
        </w:rPr>
        <w:t xml:space="preserve"> is associated with the mediator variable; 3) </w:t>
      </w:r>
      <w:r w:rsidR="007929E7" w:rsidRPr="008072C7">
        <w:rPr>
          <w:rFonts w:ascii="Arial" w:hAnsi="Arial" w:cs="Arial"/>
          <w:color w:val="000000" w:themeColor="text1"/>
          <w:sz w:val="20"/>
          <w:szCs w:val="20"/>
        </w:rPr>
        <w:t>The m</w:t>
      </w:r>
      <w:r w:rsidR="00B20E11" w:rsidRPr="008072C7">
        <w:rPr>
          <w:rFonts w:ascii="Arial" w:hAnsi="Arial" w:cs="Arial"/>
          <w:color w:val="000000" w:themeColor="text1"/>
          <w:sz w:val="20"/>
          <w:szCs w:val="20"/>
        </w:rPr>
        <w:t xml:space="preserve">ediator variable is associated with the dependent variable (PPT); 4) the observed effect of the independent variable on the outcome shrinks when the mediator is added to the model. Using this method, it is possible to estimate the coefficient for the indirect effect by calculating the product of the standardised regression coefficient (Path A) </w:t>
      </w:r>
      <w:r w:rsidR="003F3F4F" w:rsidRPr="008072C7">
        <w:rPr>
          <w:rFonts w:ascii="Arial" w:hAnsi="Arial" w:cs="Arial"/>
          <w:color w:val="000000" w:themeColor="text1"/>
          <w:sz w:val="20"/>
          <w:szCs w:val="20"/>
        </w:rPr>
        <w:t>of exercise intervention on the mediator with the regression coefficient (Path B) of the mediator variable on the dependent variable (Path A*B). The regression coefficient for path A*B represents the change in the dependent variable related to the independent variable that is mediated by the mediator.</w:t>
      </w:r>
      <w:r w:rsidR="00794A33" w:rsidRPr="008072C7">
        <w:rPr>
          <w:rFonts w:ascii="Arial" w:hAnsi="Arial" w:cs="Arial"/>
          <w:color w:val="000000" w:themeColor="text1"/>
          <w:sz w:val="20"/>
          <w:szCs w:val="20"/>
        </w:rPr>
        <w:t xml:space="preserve"> </w:t>
      </w:r>
      <w:r w:rsidR="004A7B2A" w:rsidRPr="008072C7">
        <w:rPr>
          <w:rFonts w:ascii="Arial" w:hAnsi="Arial" w:cs="Arial"/>
          <w:color w:val="000000" w:themeColor="text1"/>
          <w:sz w:val="20"/>
          <w:szCs w:val="20"/>
        </w:rPr>
        <w:t xml:space="preserve">Bootstrapping methods, which involved resampling of the data 5,000 times and is considered to be the least vulnerable to type I errors, were used to calculate the 95% confidence intervals (CIs) of the coefficients for the total, indirect and direct effect </w:t>
      </w:r>
      <w:r w:rsidR="004A7B2A"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{"citationItems":[{"id":"ITEM-1","itemData":{"DOI":"10.3758/BRM.40.3.879","ISSN":"1554351X","PMID":"18697684","abstract":"Hypotheses involving mediation are common in the behavioral sciences. Mediation exists when a predictor affects a dependent variable indirectly through at least one intervening variable, or mediator. Methods to assess mediation involving multiple simultaneous mediators have received little attention in the methodological literature despite a clear need. We provide an overview of simple and multiple mediation and explore three approaches that can be used to investigate indirect processes, as well as methods for contrasting two or more mediators within a single model. We present an illustrative example, assessing and contrasting potential mediators of the relationship between the helpfulness of socialization agents and job satisfaction. We also provide SAS and SPSS macros, as well as Mplus and LISREL syntax, to facilitate the use of these methods in applications. Copyright 2008 Psychonomic Society, Inc.","author":[{"dropping-particle":"","family":"Preacher","given":"Kristopher J.","non-dropping-particle":"","parse-names":false,"suffix":""},{"dropping-particle":"","family":"Hayes","given":"Andrew F.","non-dropping-particle":"","parse-names":false,"suffix":""}],"container-title":"Behavior Research Methods","id":"ITEM-1","issue":"3","issued":{"date-parts":[["2008"]]},"page":"879-891","title":"Asymptotic and resampling strategies for assessing and comparing indirect effects in multiple mediator models","type":"article-journal","volume":"40"},"uris":["http://www.mendeley.com/documents/?uuid=ee433577-6e92-4c97-8b8a-48f8840eb7ab"]}],"mendeley":{"formattedCitation":"(57)","plainTextFormattedCitation":"(57)","previouslyFormattedCitation":"(57)"},"properties":{"noteIndex":0},"schema":"https://github.com/citation-style-language/schema/raw/master/csl-citation.json"}</w:instrText>
      </w:r>
      <w:r w:rsidR="004A7B2A"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(57)</w:t>
      </w:r>
      <w:r w:rsidR="004A7B2A" w:rsidRPr="008072C7">
        <w:rPr>
          <w:rFonts w:ascii="Arial" w:hAnsi="Arial" w:cs="Arial"/>
          <w:color w:val="000000" w:themeColor="text1"/>
          <w:sz w:val="20"/>
          <w:szCs w:val="20"/>
        </w:rPr>
        <w:fldChar w:fldCharType="end"/>
      </w:r>
      <w:r w:rsidR="004A7B2A" w:rsidRPr="008072C7">
        <w:rPr>
          <w:rFonts w:ascii="Arial" w:hAnsi="Arial" w:cs="Arial"/>
          <w:color w:val="000000" w:themeColor="text1"/>
          <w:sz w:val="20"/>
          <w:szCs w:val="20"/>
        </w:rPr>
        <w:t>.</w:t>
      </w:r>
    </w:p>
    <w:p w14:paraId="5A34F03B" w14:textId="66B65F79" w:rsidR="00CB01D6" w:rsidRPr="008072C7" w:rsidRDefault="00CB01D6" w:rsidP="00476D7D">
      <w:pPr>
        <w:pStyle w:val="Heading2"/>
        <w:rPr>
          <w:rFonts w:ascii="Arial" w:hAnsi="Arial" w:cs="Arial"/>
          <w:sz w:val="20"/>
          <w:szCs w:val="20"/>
        </w:rPr>
      </w:pPr>
      <w:r w:rsidRPr="008072C7">
        <w:rPr>
          <w:rFonts w:ascii="Arial" w:hAnsi="Arial" w:cs="Arial"/>
          <w:sz w:val="20"/>
          <w:szCs w:val="20"/>
        </w:rPr>
        <w:t>Statistical analysis</w:t>
      </w:r>
    </w:p>
    <w:p w14:paraId="5DEDA595" w14:textId="2763DE77" w:rsidR="00AC36C1" w:rsidRPr="008072C7" w:rsidRDefault="00CB01D6" w:rsidP="00476D7D">
      <w:pPr>
        <w:rPr>
          <w:rFonts w:ascii="Arial" w:hAnsi="Arial" w:cs="Arial"/>
          <w:color w:val="000000" w:themeColor="text1"/>
          <w:sz w:val="20"/>
          <w:szCs w:val="20"/>
          <w:lang w:val="en-US"/>
        </w:rPr>
        <w:sectPr w:rsidR="00AC36C1" w:rsidRPr="008072C7" w:rsidSect="00AA6C48">
          <w:pgSz w:w="11900" w:h="16840"/>
          <w:pgMar w:top="1440" w:right="1440" w:bottom="1440" w:left="1440" w:header="708" w:footer="708" w:gutter="0"/>
          <w:lnNumType w:countBy="1" w:restart="continuous"/>
          <w:cols w:space="708"/>
          <w:docGrid w:linePitch="360"/>
        </w:sectPr>
      </w:pPr>
      <w:r w:rsidRPr="008072C7">
        <w:rPr>
          <w:rFonts w:ascii="Arial" w:hAnsi="Arial" w:cs="Arial"/>
          <w:color w:val="000000" w:themeColor="text1"/>
          <w:sz w:val="20"/>
          <w:szCs w:val="20"/>
        </w:rPr>
        <w:t>All statistical analysis was performed with IBM SPSS Statistics Version 24.0 (IBM Corp, Chicago, IL, USA). Data are presented as mean ± SD with 95% CI</w:t>
      </w:r>
      <w:r w:rsidR="00794A33" w:rsidRPr="008072C7">
        <w:rPr>
          <w:rFonts w:ascii="Arial" w:hAnsi="Arial" w:cs="Arial"/>
          <w:color w:val="000000" w:themeColor="text1"/>
          <w:sz w:val="20"/>
          <w:szCs w:val="20"/>
        </w:rPr>
        <w:t>s</w:t>
      </w:r>
      <w:r w:rsidRPr="008072C7">
        <w:rPr>
          <w:rFonts w:ascii="Arial" w:hAnsi="Arial" w:cs="Arial"/>
          <w:color w:val="000000" w:themeColor="text1"/>
          <w:sz w:val="20"/>
          <w:szCs w:val="20"/>
        </w:rPr>
        <w:t xml:space="preserve"> unless stated otherwise.</w:t>
      </w:r>
      <w:r w:rsidR="009375A3" w:rsidRPr="008072C7">
        <w:rPr>
          <w:rFonts w:ascii="Arial" w:hAnsi="Arial" w:cs="Arial"/>
          <w:color w:val="000000" w:themeColor="text1"/>
          <w:sz w:val="20"/>
          <w:szCs w:val="20"/>
        </w:rPr>
        <w:t xml:space="preserve"> </w:t>
      </w:r>
      <w:r w:rsidR="0026193A" w:rsidRPr="008072C7">
        <w:rPr>
          <w:rFonts w:ascii="Arial" w:hAnsi="Arial" w:cs="Arial"/>
          <w:color w:val="000000" w:themeColor="text1"/>
          <w:sz w:val="20"/>
          <w:szCs w:val="20"/>
          <w:lang w:val="en-US"/>
        </w:rPr>
        <w:t xml:space="preserve">The </w:t>
      </w:r>
      <w:r w:rsidR="00AC2CA6" w:rsidRPr="008072C7">
        <w:rPr>
          <w:rFonts w:ascii="Arial" w:hAnsi="Arial" w:cs="Arial"/>
          <w:color w:val="000000" w:themeColor="text1"/>
          <w:sz w:val="20"/>
          <w:szCs w:val="20"/>
          <w:lang w:val="en-US"/>
        </w:rPr>
        <w:t xml:space="preserve">effect of </w:t>
      </w:r>
      <w:r w:rsidR="00911460" w:rsidRPr="008072C7">
        <w:rPr>
          <w:rFonts w:ascii="Arial" w:hAnsi="Arial" w:cs="Arial"/>
          <w:color w:val="000000" w:themeColor="text1"/>
          <w:sz w:val="20"/>
          <w:szCs w:val="20"/>
          <w:lang w:val="en-US"/>
        </w:rPr>
        <w:t>the number of experimental trials</w:t>
      </w:r>
      <w:r w:rsidR="00AC2CA6" w:rsidRPr="008072C7">
        <w:rPr>
          <w:rFonts w:ascii="Arial" w:hAnsi="Arial" w:cs="Arial"/>
          <w:color w:val="000000" w:themeColor="text1"/>
          <w:sz w:val="20"/>
          <w:szCs w:val="20"/>
          <w:lang w:val="en-US"/>
        </w:rPr>
        <w:t xml:space="preserve"> on baseline PPTs was </w:t>
      </w:r>
      <w:r w:rsidR="00AC2CA6" w:rsidRPr="008072C7">
        <w:rPr>
          <w:rFonts w:ascii="Arial" w:hAnsi="Arial" w:cs="Arial"/>
          <w:color w:val="000000" w:themeColor="text1"/>
          <w:sz w:val="20"/>
          <w:szCs w:val="20"/>
        </w:rPr>
        <w:t>analysed</w:t>
      </w:r>
      <w:r w:rsidR="00AC2CA6" w:rsidRPr="008072C7">
        <w:rPr>
          <w:rFonts w:ascii="Arial" w:hAnsi="Arial" w:cs="Arial"/>
          <w:color w:val="000000" w:themeColor="text1"/>
          <w:sz w:val="20"/>
          <w:szCs w:val="20"/>
          <w:lang w:val="en-US"/>
        </w:rPr>
        <w:t xml:space="preserve"> </w:t>
      </w:r>
      <w:r w:rsidR="00947715" w:rsidRPr="008072C7">
        <w:rPr>
          <w:rFonts w:ascii="Arial" w:hAnsi="Arial" w:cs="Arial"/>
          <w:color w:val="000000" w:themeColor="text1"/>
          <w:sz w:val="20"/>
          <w:szCs w:val="20"/>
          <w:lang w:val="en-US"/>
        </w:rPr>
        <w:t xml:space="preserve">with a </w:t>
      </w:r>
      <w:r w:rsidR="00810D22" w:rsidRPr="008072C7">
        <w:rPr>
          <w:rFonts w:ascii="Arial" w:hAnsi="Arial" w:cs="Arial"/>
          <w:color w:val="000000" w:themeColor="text1"/>
          <w:sz w:val="20"/>
          <w:szCs w:val="20"/>
          <w:lang w:val="en-US"/>
        </w:rPr>
        <w:t xml:space="preserve">two-way </w:t>
      </w:r>
      <w:r w:rsidR="00947715" w:rsidRPr="008072C7">
        <w:rPr>
          <w:rFonts w:ascii="Arial" w:hAnsi="Arial" w:cs="Arial"/>
          <w:color w:val="000000" w:themeColor="text1"/>
          <w:sz w:val="20"/>
          <w:szCs w:val="20"/>
          <w:lang w:val="en-US"/>
        </w:rPr>
        <w:t>repeated measures ANOVA with session (1-4) and assessment site (dominant quadriceps, non-dominant quadriceps, dominant biceps and non-dominant trapezius) as within subject factors</w:t>
      </w:r>
      <w:r w:rsidR="00784A23" w:rsidRPr="008072C7">
        <w:rPr>
          <w:rFonts w:ascii="Arial" w:hAnsi="Arial" w:cs="Arial"/>
          <w:color w:val="000000" w:themeColor="text1"/>
          <w:sz w:val="20"/>
          <w:szCs w:val="20"/>
          <w:lang w:val="en-US"/>
        </w:rPr>
        <w:t>.</w:t>
      </w:r>
      <w:r w:rsidR="00D63FF6" w:rsidRPr="008072C7">
        <w:rPr>
          <w:rFonts w:ascii="Arial" w:hAnsi="Arial" w:cs="Arial"/>
          <w:color w:val="000000" w:themeColor="text1"/>
          <w:sz w:val="20"/>
          <w:szCs w:val="20"/>
          <w:lang w:val="en-US"/>
        </w:rPr>
        <w:t xml:space="preserve"> The effect of resistance exercise on PPT</w:t>
      </w:r>
      <w:r w:rsidR="00C31C75" w:rsidRPr="008072C7">
        <w:rPr>
          <w:rFonts w:ascii="Arial" w:hAnsi="Arial" w:cs="Arial"/>
          <w:color w:val="000000" w:themeColor="text1"/>
          <w:sz w:val="20"/>
          <w:szCs w:val="20"/>
          <w:lang w:val="en-US"/>
        </w:rPr>
        <w:t>s</w:t>
      </w:r>
      <w:r w:rsidR="00D63FF6" w:rsidRPr="008072C7">
        <w:rPr>
          <w:rFonts w:ascii="Arial" w:hAnsi="Arial" w:cs="Arial"/>
          <w:color w:val="000000" w:themeColor="text1"/>
          <w:sz w:val="20"/>
          <w:szCs w:val="20"/>
          <w:lang w:val="en-US"/>
        </w:rPr>
        <w:t xml:space="preserve"> was assessed using </w:t>
      </w:r>
      <w:r w:rsidR="00810D22" w:rsidRPr="008072C7">
        <w:rPr>
          <w:rFonts w:ascii="Arial" w:hAnsi="Arial" w:cs="Arial"/>
          <w:color w:val="000000" w:themeColor="text1"/>
          <w:sz w:val="20"/>
          <w:szCs w:val="20"/>
          <w:lang w:val="en-US"/>
        </w:rPr>
        <w:t xml:space="preserve">a three-way </w:t>
      </w:r>
      <w:r w:rsidR="00D63FF6" w:rsidRPr="008072C7">
        <w:rPr>
          <w:rFonts w:ascii="Arial" w:hAnsi="Arial" w:cs="Arial"/>
          <w:color w:val="000000" w:themeColor="text1"/>
          <w:sz w:val="20"/>
          <w:szCs w:val="20"/>
          <w:lang w:val="en-US"/>
        </w:rPr>
        <w:t xml:space="preserve">repeated measures ANOVA with condition (LL, </w:t>
      </w:r>
      <w:r w:rsidR="00D63FF6" w:rsidRPr="008072C7">
        <w:rPr>
          <w:rFonts w:ascii="Arial" w:hAnsi="Arial" w:cs="Arial"/>
          <w:color w:val="000000" w:themeColor="text1"/>
          <w:sz w:val="20"/>
          <w:szCs w:val="20"/>
          <w:lang w:val="en-US"/>
        </w:rPr>
        <w:lastRenderedPageBreak/>
        <w:t>BFR40, BFR80, HL-RE), time (pre-exercise, 5min post and 24h post) and assessment site (dominant quadriceps, non-dominant quadriceps, dominant biceps and non-dominant trapezius) as within-subject factors.</w:t>
      </w:r>
      <w:r w:rsidR="00DE13A5" w:rsidRPr="008072C7">
        <w:rPr>
          <w:rFonts w:ascii="Arial" w:hAnsi="Arial" w:cs="Arial"/>
          <w:color w:val="000000" w:themeColor="text1"/>
          <w:sz w:val="20"/>
          <w:szCs w:val="20"/>
          <w:lang w:val="en-US"/>
        </w:rPr>
        <w:t xml:space="preserve"> </w:t>
      </w:r>
      <w:r w:rsidR="001224E5" w:rsidRPr="008072C7">
        <w:rPr>
          <w:rFonts w:ascii="Arial" w:hAnsi="Arial" w:cs="Arial"/>
          <w:color w:val="000000" w:themeColor="text1"/>
          <w:sz w:val="20"/>
          <w:szCs w:val="20"/>
          <w:lang w:val="en-US"/>
        </w:rPr>
        <w:t>If a</w:t>
      </w:r>
      <w:r w:rsidR="00DE13A5" w:rsidRPr="008072C7">
        <w:rPr>
          <w:rFonts w:ascii="Arial" w:hAnsi="Arial" w:cs="Arial"/>
          <w:color w:val="000000" w:themeColor="text1"/>
          <w:sz w:val="20"/>
          <w:szCs w:val="20"/>
          <w:lang w:val="en-US"/>
        </w:rPr>
        <w:t xml:space="preserve"> statistically significant three-way interaction</w:t>
      </w:r>
      <w:r w:rsidR="001224E5" w:rsidRPr="008072C7">
        <w:rPr>
          <w:rFonts w:ascii="Arial" w:hAnsi="Arial" w:cs="Arial"/>
          <w:color w:val="000000" w:themeColor="text1"/>
          <w:sz w:val="20"/>
          <w:szCs w:val="20"/>
          <w:lang w:val="en-US"/>
        </w:rPr>
        <w:t xml:space="preserve"> was found</w:t>
      </w:r>
      <w:r w:rsidR="00DE13A5" w:rsidRPr="008072C7">
        <w:rPr>
          <w:rFonts w:ascii="Arial" w:hAnsi="Arial" w:cs="Arial"/>
          <w:color w:val="000000" w:themeColor="text1"/>
          <w:sz w:val="20"/>
          <w:szCs w:val="20"/>
          <w:lang w:val="en-US"/>
        </w:rPr>
        <w:t xml:space="preserve">, two-way repeated measures ANOVAs with Bonferroni correction were used to </w:t>
      </w:r>
      <w:r w:rsidR="001224E5" w:rsidRPr="008072C7">
        <w:rPr>
          <w:rFonts w:ascii="Arial" w:hAnsi="Arial" w:cs="Arial"/>
          <w:color w:val="000000" w:themeColor="text1"/>
          <w:sz w:val="20"/>
          <w:szCs w:val="20"/>
          <w:lang w:val="en-US"/>
        </w:rPr>
        <w:t>examine the effect of exercise condition on PPT, at each assessment site</w:t>
      </w:r>
      <w:r w:rsidR="007F113A" w:rsidRPr="008072C7">
        <w:rPr>
          <w:rFonts w:ascii="Arial" w:hAnsi="Arial" w:cs="Arial"/>
          <w:color w:val="000000" w:themeColor="text1"/>
          <w:sz w:val="20"/>
          <w:szCs w:val="20"/>
          <w:lang w:val="en-US"/>
        </w:rPr>
        <w:t xml:space="preserve">. </w:t>
      </w:r>
      <w:r w:rsidR="00007F3B" w:rsidRPr="008072C7">
        <w:rPr>
          <w:rFonts w:ascii="Arial" w:hAnsi="Arial" w:cs="Arial"/>
          <w:color w:val="000000" w:themeColor="text1"/>
          <w:sz w:val="20"/>
          <w:szCs w:val="20"/>
          <w:lang w:val="en-US"/>
        </w:rPr>
        <w:t xml:space="preserve">RPE and perceived pain were each assessed using repeated measures ANOVA with </w:t>
      </w:r>
      <w:r w:rsidR="00AD3193" w:rsidRPr="008072C7">
        <w:rPr>
          <w:rFonts w:ascii="Arial" w:hAnsi="Arial" w:cs="Arial"/>
          <w:color w:val="000000" w:themeColor="text1"/>
          <w:sz w:val="20"/>
          <w:szCs w:val="20"/>
          <w:lang w:val="en-US"/>
        </w:rPr>
        <w:t>condition (LL, BFR40, BFR80, HL-RE) and time (Set 1-4) as within-subject factors.</w:t>
      </w:r>
      <w:r w:rsidR="00A0772C" w:rsidRPr="008072C7">
        <w:rPr>
          <w:rFonts w:ascii="Arial" w:hAnsi="Arial" w:cs="Arial"/>
          <w:color w:val="000000" w:themeColor="text1"/>
          <w:sz w:val="20"/>
          <w:szCs w:val="20"/>
          <w:lang w:val="en-US"/>
        </w:rPr>
        <w:t xml:space="preserve"> </w:t>
      </w:r>
      <w:r w:rsidR="009073CD" w:rsidRPr="008072C7">
        <w:rPr>
          <w:rFonts w:ascii="Arial" w:hAnsi="Arial" w:cs="Arial"/>
          <w:color w:val="000000" w:themeColor="text1"/>
          <w:sz w:val="20"/>
          <w:szCs w:val="20"/>
          <w:lang w:val="en-US"/>
        </w:rPr>
        <w:t xml:space="preserve">Plasma BE and 2AG </w:t>
      </w:r>
      <w:r w:rsidR="00B505ED" w:rsidRPr="008072C7">
        <w:rPr>
          <w:rFonts w:ascii="Arial" w:hAnsi="Arial" w:cs="Arial"/>
          <w:color w:val="000000" w:themeColor="text1"/>
          <w:sz w:val="20"/>
          <w:szCs w:val="20"/>
          <w:lang w:val="en-US"/>
        </w:rPr>
        <w:t xml:space="preserve">concentration </w:t>
      </w:r>
      <w:r w:rsidR="009073CD" w:rsidRPr="008072C7">
        <w:rPr>
          <w:rFonts w:ascii="Arial" w:hAnsi="Arial" w:cs="Arial"/>
          <w:color w:val="000000" w:themeColor="text1"/>
          <w:sz w:val="20"/>
          <w:szCs w:val="20"/>
          <w:lang w:val="en-US"/>
        </w:rPr>
        <w:t xml:space="preserve">were each assessed using repeated measures ANOVA with condition (LL, BFR40, BFR80, HL-RE) and time (pre-exercise, 5min post and 24h post) as within-subject factors. </w:t>
      </w:r>
      <w:r w:rsidR="00AC637D" w:rsidRPr="008072C7">
        <w:rPr>
          <w:rFonts w:ascii="Arial" w:hAnsi="Arial" w:cs="Arial"/>
          <w:color w:val="000000" w:themeColor="text1"/>
          <w:sz w:val="20"/>
          <w:szCs w:val="20"/>
          <w:lang w:val="en-US"/>
        </w:rPr>
        <w:t xml:space="preserve">Exercise volume was assessed using repeated measures ANOVA with condition as the within subject factor. </w:t>
      </w:r>
      <w:r w:rsidR="005F0F21" w:rsidRPr="008072C7">
        <w:rPr>
          <w:rFonts w:ascii="Arial" w:hAnsi="Arial" w:cs="Arial"/>
          <w:color w:val="000000" w:themeColor="text1"/>
          <w:sz w:val="20"/>
          <w:szCs w:val="20"/>
          <w:lang w:val="en-US"/>
        </w:rPr>
        <w:t>For any statistically significant interaction, paired sample t</w:t>
      </w:r>
      <w:r w:rsidR="00CC3F8D" w:rsidRPr="008072C7">
        <w:rPr>
          <w:rFonts w:ascii="Arial" w:hAnsi="Arial" w:cs="Arial"/>
          <w:color w:val="000000" w:themeColor="text1"/>
          <w:sz w:val="20"/>
          <w:szCs w:val="20"/>
          <w:lang w:val="en-US"/>
        </w:rPr>
        <w:t>-</w:t>
      </w:r>
      <w:r w:rsidR="005F0F21" w:rsidRPr="008072C7">
        <w:rPr>
          <w:rFonts w:ascii="Arial" w:hAnsi="Arial" w:cs="Arial"/>
          <w:color w:val="000000" w:themeColor="text1"/>
          <w:sz w:val="20"/>
          <w:szCs w:val="20"/>
          <w:lang w:val="en-US"/>
        </w:rPr>
        <w:t>tests with</w:t>
      </w:r>
      <w:r w:rsidR="00CC3F8D" w:rsidRPr="008072C7">
        <w:rPr>
          <w:rFonts w:ascii="Arial" w:hAnsi="Arial" w:cs="Arial"/>
          <w:color w:val="000000" w:themeColor="text1"/>
          <w:sz w:val="20"/>
          <w:szCs w:val="20"/>
          <w:lang w:val="en-US"/>
        </w:rPr>
        <w:t xml:space="preserve"> </w:t>
      </w:r>
      <w:r w:rsidR="005F0F21" w:rsidRPr="008072C7">
        <w:rPr>
          <w:rFonts w:ascii="Arial" w:hAnsi="Arial" w:cs="Arial"/>
          <w:color w:val="000000" w:themeColor="text1"/>
          <w:sz w:val="20"/>
          <w:szCs w:val="20"/>
          <w:lang w:val="en-US"/>
        </w:rPr>
        <w:t>Bonferroni correction were used for post-hoc analysis.</w:t>
      </w:r>
      <w:r w:rsidR="00975B53" w:rsidRPr="008072C7">
        <w:rPr>
          <w:rFonts w:ascii="Arial" w:hAnsi="Arial" w:cs="Arial"/>
          <w:color w:val="000000" w:themeColor="text1"/>
          <w:sz w:val="20"/>
          <w:szCs w:val="20"/>
          <w:lang w:val="en-US"/>
        </w:rPr>
        <w:t xml:space="preserve"> </w:t>
      </w:r>
      <w:r w:rsidR="005F0F21" w:rsidRPr="008072C7">
        <w:rPr>
          <w:rFonts w:ascii="Arial" w:hAnsi="Arial" w:cs="Arial"/>
          <w:color w:val="000000" w:themeColor="text1"/>
          <w:sz w:val="20"/>
          <w:szCs w:val="20"/>
          <w:lang w:val="en-US"/>
        </w:rPr>
        <w:t>Alpha significance was set a priori p&lt;0.05.</w:t>
      </w:r>
      <w:r w:rsidR="00CC3F8D" w:rsidRPr="008072C7">
        <w:rPr>
          <w:rFonts w:ascii="Arial" w:hAnsi="Arial" w:cs="Arial"/>
          <w:color w:val="000000" w:themeColor="text1"/>
          <w:sz w:val="20"/>
          <w:szCs w:val="20"/>
          <w:lang w:val="en-US"/>
        </w:rPr>
        <w:t xml:space="preserve"> </w:t>
      </w:r>
      <w:r w:rsidR="00B410C5" w:rsidRPr="008072C7">
        <w:rPr>
          <w:rFonts w:ascii="Arial" w:hAnsi="Arial" w:cs="Arial"/>
          <w:color w:val="000000" w:themeColor="text1"/>
          <w:sz w:val="20"/>
          <w:szCs w:val="20"/>
          <w:lang w:val="en-US"/>
        </w:rPr>
        <w:t>Effect sizes were described using Cohen’s d, calculated by dividing the mean difference between two measures by the pooled SD</w:t>
      </w:r>
      <w:r w:rsidR="00E355F2">
        <w:rPr>
          <w:rFonts w:ascii="Arial" w:hAnsi="Arial" w:cs="Arial"/>
          <w:color w:val="000000" w:themeColor="text1"/>
          <w:sz w:val="20"/>
          <w:szCs w:val="20"/>
          <w:lang w:val="en-US"/>
        </w:rPr>
        <w:t xml:space="preserve"> of the differences</w:t>
      </w:r>
      <w:r w:rsidR="00B410C5" w:rsidRPr="008072C7">
        <w:rPr>
          <w:rFonts w:ascii="Arial" w:hAnsi="Arial" w:cs="Arial"/>
          <w:color w:val="000000" w:themeColor="text1"/>
          <w:sz w:val="20"/>
          <w:szCs w:val="20"/>
          <w:lang w:val="en-US"/>
        </w:rPr>
        <w:t>, and</w:t>
      </w:r>
      <w:r w:rsidR="005F0F21" w:rsidRPr="008072C7">
        <w:rPr>
          <w:rFonts w:ascii="Arial" w:hAnsi="Arial" w:cs="Arial"/>
          <w:color w:val="000000" w:themeColor="text1"/>
          <w:sz w:val="20"/>
          <w:szCs w:val="20"/>
          <w:lang w:val="en-US"/>
        </w:rPr>
        <w:t xml:space="preserve"> described as: weak &lt; 0.2, weak to moderate 0.2–0.4, moderate 0.4–0.65, moderate to strong 0.65–0.7 and strong &gt; 0.8 </w:t>
      </w:r>
      <w:r w:rsidR="00FB0C35" w:rsidRPr="008072C7">
        <w:rPr>
          <w:rFonts w:ascii="Arial" w:hAnsi="Arial" w:cs="Arial"/>
          <w:color w:val="000000" w:themeColor="text1"/>
          <w:sz w:val="20"/>
          <w:szCs w:val="20"/>
          <w:lang w:val="en-US"/>
        </w:rPr>
        <w:fldChar w:fldCharType="begin" w:fldLock="1"/>
      </w:r>
      <w:r w:rsidR="003D7C1C">
        <w:rPr>
          <w:rFonts w:ascii="Arial" w:hAnsi="Arial" w:cs="Arial"/>
          <w:color w:val="000000" w:themeColor="text1"/>
          <w:sz w:val="20"/>
          <w:szCs w:val="20"/>
          <w:lang w:val="en-US"/>
        </w:rPr>
        <w:instrText>ADDIN CSL_CITATION {"citationItems":[{"id":"ITEM-1","itemData":{"author":[{"dropping-particle":"","family":"Rubin","given":"A.","non-dropping-particle":"","parse-names":false,"suffix":""}],"id":"ITEM-1","issued":{"date-parts":[["2012"]]},"publisher":"Cengage Learning","publisher-place":"Boston, MA, USA","title":"Statistics for evidence-based practice and evaluation.","type":"book"},"uris":["http://www.mendeley.com/documents/?uuid=126e96e7-4eb6-441c-9afd-0e7e6a02f45d"]}],"mendeley":{"formattedCitation":"(59)","plainTextFormattedCitation":"(59)","previouslyFormattedCitation":"(59)"},"properties":{"noteIndex":0},"schema":"https://github.com/citation-style-language/schema/raw/master/csl-citation.json"}</w:instrText>
      </w:r>
      <w:r w:rsidR="00FB0C35" w:rsidRPr="008072C7">
        <w:rPr>
          <w:rFonts w:ascii="Arial" w:hAnsi="Arial" w:cs="Arial"/>
          <w:color w:val="000000" w:themeColor="text1"/>
          <w:sz w:val="20"/>
          <w:szCs w:val="20"/>
          <w:lang w:val="en-US"/>
        </w:rPr>
        <w:fldChar w:fldCharType="separate"/>
      </w:r>
      <w:r w:rsidR="00D442D5" w:rsidRPr="008072C7">
        <w:rPr>
          <w:rFonts w:ascii="Arial" w:hAnsi="Arial" w:cs="Arial"/>
          <w:noProof/>
          <w:color w:val="000000" w:themeColor="text1"/>
          <w:sz w:val="20"/>
          <w:szCs w:val="20"/>
          <w:lang w:val="en-US"/>
        </w:rPr>
        <w:t>(59)</w:t>
      </w:r>
      <w:r w:rsidR="00FB0C35" w:rsidRPr="008072C7">
        <w:rPr>
          <w:rFonts w:ascii="Arial" w:hAnsi="Arial" w:cs="Arial"/>
          <w:color w:val="000000" w:themeColor="text1"/>
          <w:sz w:val="20"/>
          <w:szCs w:val="20"/>
          <w:lang w:val="en-US"/>
        </w:rPr>
        <w:fldChar w:fldCharType="end"/>
      </w:r>
      <w:r w:rsidR="00FB0C35" w:rsidRPr="008072C7">
        <w:rPr>
          <w:rFonts w:ascii="Arial" w:hAnsi="Arial" w:cs="Arial"/>
          <w:color w:val="000000" w:themeColor="text1"/>
          <w:sz w:val="20"/>
          <w:szCs w:val="20"/>
          <w:lang w:val="en-US"/>
        </w:rPr>
        <w:t>.</w:t>
      </w:r>
      <w:r w:rsidR="007929E7" w:rsidRPr="008072C7">
        <w:rPr>
          <w:rFonts w:ascii="Arial" w:hAnsi="Arial" w:cs="Arial"/>
          <w:color w:val="000000" w:themeColor="text1"/>
          <w:sz w:val="20"/>
          <w:szCs w:val="20"/>
          <w:lang w:val="en-US"/>
        </w:rPr>
        <w:t xml:space="preserve"> For mediation analyses, the SPSS macro PROCESS (Model 4) was applied with the three mediators</w:t>
      </w:r>
      <w:r w:rsidR="004E5ABD">
        <w:rPr>
          <w:rFonts w:ascii="Arial" w:hAnsi="Arial" w:cs="Arial"/>
          <w:color w:val="000000" w:themeColor="text1"/>
          <w:sz w:val="20"/>
          <w:szCs w:val="20"/>
          <w:lang w:val="en-US"/>
        </w:rPr>
        <w:t>. D</w:t>
      </w:r>
      <w:r w:rsidR="007929E7" w:rsidRPr="008072C7">
        <w:rPr>
          <w:rFonts w:ascii="Arial" w:hAnsi="Arial" w:cs="Arial"/>
          <w:color w:val="000000" w:themeColor="text1"/>
          <w:sz w:val="20"/>
          <w:szCs w:val="20"/>
          <w:lang w:val="en-US"/>
        </w:rPr>
        <w:t>ummy coding was employed as the independent variable (exercise intervention) is multicategorical</w:t>
      </w:r>
      <w:r w:rsidR="004E5ABD">
        <w:rPr>
          <w:rFonts w:ascii="Arial" w:hAnsi="Arial" w:cs="Arial"/>
          <w:color w:val="000000" w:themeColor="text1"/>
          <w:sz w:val="20"/>
          <w:szCs w:val="20"/>
          <w:lang w:val="en-US"/>
        </w:rPr>
        <w:t>, and analysis was run to account for dependency of individuals across exercise conditions.</w:t>
      </w:r>
      <w:r w:rsidR="007929E7" w:rsidRPr="008072C7">
        <w:rPr>
          <w:rFonts w:ascii="Arial" w:hAnsi="Arial" w:cs="Arial"/>
          <w:color w:val="000000" w:themeColor="text1"/>
          <w:sz w:val="20"/>
          <w:szCs w:val="20"/>
          <w:lang w:val="en-US"/>
        </w:rPr>
        <w:t xml:space="preserve"> The regression/path coefficients are all presented in unstandardised form, as recommended by Hayes </w:t>
      </w:r>
      <w:r w:rsidR="007929E7" w:rsidRPr="008072C7">
        <w:rPr>
          <w:rFonts w:ascii="Arial" w:hAnsi="Arial" w:cs="Arial"/>
          <w:color w:val="000000" w:themeColor="text1"/>
          <w:sz w:val="20"/>
          <w:szCs w:val="20"/>
          <w:lang w:val="en-US"/>
        </w:rPr>
        <w:fldChar w:fldCharType="begin" w:fldLock="1"/>
      </w:r>
      <w:r w:rsidR="007929E7" w:rsidRPr="008072C7">
        <w:rPr>
          <w:rFonts w:ascii="Arial" w:hAnsi="Arial" w:cs="Arial"/>
          <w:color w:val="000000" w:themeColor="text1"/>
          <w:sz w:val="20"/>
          <w:szCs w:val="20"/>
          <w:lang w:val="en-US"/>
        </w:rPr>
        <w:instrText>ADDIN CSL_CITATION {"citationItems":[{"id":"ITEM-1","itemData":{"author":[{"dropping-particle":"","family":"Hayes","given":"A. F","non-dropping-particle":"","parse-names":false,"suffix":""}],"id":"ITEM-1","issued":{"date-parts":[["2013"]]},"publisher":"Guildford Press","publisher-place":"New York","title":"Introduction to Mediation, Moderation, and Conditional Process Analysis: A Regression-Based Approach","type":"book"},"uris":["http://www.mendeley.com/documents/?uuid=2f983412-95b5-4c64-ba6c-c5c0eb27490a"]}],"mendeley":{"formattedCitation":"(17)","plainTextFormattedCitation":"(17)","previouslyFormattedCitation":"(17)"},"properties":{"noteIndex":0},"schema":"https://github.com/citation-style-language/schema/raw/master/csl-citation.json"}</w:instrText>
      </w:r>
      <w:r w:rsidR="007929E7" w:rsidRPr="008072C7">
        <w:rPr>
          <w:rFonts w:ascii="Arial" w:hAnsi="Arial" w:cs="Arial"/>
          <w:color w:val="000000" w:themeColor="text1"/>
          <w:sz w:val="20"/>
          <w:szCs w:val="20"/>
          <w:lang w:val="en-US"/>
        </w:rPr>
        <w:fldChar w:fldCharType="separate"/>
      </w:r>
      <w:r w:rsidR="007929E7" w:rsidRPr="008072C7">
        <w:rPr>
          <w:rFonts w:ascii="Arial" w:hAnsi="Arial" w:cs="Arial"/>
          <w:noProof/>
          <w:color w:val="000000" w:themeColor="text1"/>
          <w:sz w:val="20"/>
          <w:szCs w:val="20"/>
          <w:lang w:val="en-US"/>
        </w:rPr>
        <w:t>(17)</w:t>
      </w:r>
      <w:r w:rsidR="007929E7" w:rsidRPr="008072C7">
        <w:rPr>
          <w:rFonts w:ascii="Arial" w:hAnsi="Arial" w:cs="Arial"/>
          <w:color w:val="000000" w:themeColor="text1"/>
          <w:sz w:val="20"/>
          <w:szCs w:val="20"/>
          <w:lang w:val="en-US"/>
        </w:rPr>
        <w:fldChar w:fldCharType="end"/>
      </w:r>
      <w:r w:rsidR="007929E7" w:rsidRPr="008072C7">
        <w:rPr>
          <w:rFonts w:ascii="Arial" w:hAnsi="Arial" w:cs="Arial"/>
          <w:color w:val="000000" w:themeColor="text1"/>
          <w:sz w:val="20"/>
          <w:szCs w:val="20"/>
          <w:lang w:val="en-US"/>
        </w:rPr>
        <w:t xml:space="preserve">. </w:t>
      </w:r>
      <w:r w:rsidR="007929E7" w:rsidRPr="008072C7">
        <w:rPr>
          <w:rFonts w:ascii="Arial" w:hAnsi="Arial" w:cs="Arial"/>
          <w:color w:val="000000" w:themeColor="text1"/>
          <w:sz w:val="20"/>
          <w:szCs w:val="20"/>
        </w:rPr>
        <w:t xml:space="preserve">Coefficients were considered statistically significant if the confidence intervals did not cross zero </w:t>
      </w:r>
      <w:r w:rsidR="007929E7"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{"citationItems":[{"id":"ITEM-1","itemData":{"DOI":"10.3758/BRM.40.3.879","ISSN":"1554351X","PMID":"18697684","abstract":"Hypotheses involving mediation are common in the behavioral sciences. Mediation exists when a predictor affects a dependent variable indirectly through at least one intervening variable, or mediator. Methods to assess mediation involving multiple simultaneous mediators have received little attention in the methodological literature despite a clear need. We provide an overview of simple and multiple mediation and explore three approaches that can be used to investigate indirect processes, as well as methods for contrasting two or more mediators within a single model. We present an illustrative example, assessing and contrasting potential mediators of the relationship between the helpfulness of socialization agents and job satisfaction. We also provide SAS and SPSS macros, as well as Mplus and LISREL syntax, to facilitate the use of these methods in applications. Copyright 2008 Psychonomic Society, Inc.","author":[{"dropping-particle":"","family":"Preacher","given":"Kristopher J.","non-dropping-particle":"","parse-names":false,"suffix":""},{"dropping-particle":"","family":"Hayes","given":"Andrew F.","non-dropping-particle":"","parse-names":false,"suffix":""}],"container-title":"Behavior Research Methods","id":"ITEM-1","issue":"3","issued":{"date-parts":[["2008"]]},"page":"879-891","title":"Asymptotic and resampling strategies for assessing and comparing indirect effects in multiple mediator models","type":"article-journal","volume":"40"},"uris":["http://www.mendeley.com/documents/?uuid=ee433577-6e92-4c97-8b8a-48f8840eb7ab"]}],"mendeley":{"formattedCitation":"(57)","plainTextFormattedCitation":"(57)","previouslyFormattedCitation":"(57)"},"properties":{"noteIndex":0},"schema":"https://github.com/citation-style-language/schema/raw/master/csl-citation.json"}</w:instrText>
      </w:r>
      <w:r w:rsidR="007929E7"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(57)</w:t>
      </w:r>
      <w:r w:rsidR="007929E7" w:rsidRPr="008072C7">
        <w:rPr>
          <w:rFonts w:ascii="Arial" w:hAnsi="Arial" w:cs="Arial"/>
          <w:color w:val="000000" w:themeColor="text1"/>
          <w:sz w:val="20"/>
          <w:szCs w:val="20"/>
        </w:rPr>
        <w:fldChar w:fldCharType="end"/>
      </w:r>
      <w:r w:rsidR="007929E7" w:rsidRPr="008072C7">
        <w:rPr>
          <w:rFonts w:ascii="Arial" w:hAnsi="Arial" w:cs="Arial"/>
          <w:color w:val="000000" w:themeColor="text1"/>
          <w:sz w:val="20"/>
          <w:szCs w:val="20"/>
          <w:lang w:val="en-US"/>
        </w:rPr>
        <w:t>.</w:t>
      </w:r>
    </w:p>
    <w:p w14:paraId="1E3015E2" w14:textId="205AFECC" w:rsidR="00511EB0" w:rsidRPr="008072C7" w:rsidRDefault="00673CE3" w:rsidP="00476D7D">
      <w:pPr>
        <w:pStyle w:val="Header"/>
        <w:rPr>
          <w:rFonts w:ascii="Arial" w:hAnsi="Arial" w:cs="Arial"/>
          <w:color w:val="000000" w:themeColor="text1"/>
          <w:sz w:val="20"/>
          <w:szCs w:val="20"/>
        </w:rPr>
      </w:pPr>
      <w:r w:rsidRPr="008072C7">
        <w:rPr>
          <w:rFonts w:ascii="Arial" w:hAnsi="Arial" w:cs="Arial"/>
          <w:color w:val="000000" w:themeColor="text1"/>
          <w:sz w:val="20"/>
          <w:szCs w:val="20"/>
        </w:rPr>
        <w:lastRenderedPageBreak/>
        <w:t>Results</w:t>
      </w:r>
    </w:p>
    <w:p w14:paraId="3F938F2C" w14:textId="3DBF3DB5" w:rsidR="005A4C0D" w:rsidRPr="008072C7" w:rsidRDefault="005A4C0D" w:rsidP="00476D7D">
      <w:pPr>
        <w:pStyle w:val="Heading2"/>
        <w:rPr>
          <w:rFonts w:ascii="Arial" w:hAnsi="Arial" w:cs="Arial"/>
          <w:sz w:val="20"/>
          <w:szCs w:val="20"/>
        </w:rPr>
      </w:pPr>
      <w:r w:rsidRPr="008072C7">
        <w:rPr>
          <w:rFonts w:ascii="Arial" w:hAnsi="Arial" w:cs="Arial"/>
          <w:sz w:val="20"/>
          <w:szCs w:val="20"/>
        </w:rPr>
        <w:t>Exercise parameters</w:t>
      </w:r>
    </w:p>
    <w:p w14:paraId="76E516B4" w14:textId="2548556B" w:rsidR="00E45DB8" w:rsidRPr="008072C7" w:rsidRDefault="00554FD7" w:rsidP="00476D7D">
      <w:pPr>
        <w:rPr>
          <w:rFonts w:ascii="Arial" w:hAnsi="Arial" w:cs="Arial"/>
          <w:color w:val="000000" w:themeColor="text1"/>
          <w:sz w:val="20"/>
          <w:szCs w:val="20"/>
        </w:rPr>
      </w:pPr>
      <w:r w:rsidRPr="008072C7">
        <w:rPr>
          <w:rFonts w:ascii="Arial" w:hAnsi="Arial" w:cs="Arial"/>
          <w:color w:val="000000" w:themeColor="text1"/>
          <w:sz w:val="20"/>
          <w:szCs w:val="20"/>
        </w:rPr>
        <w:t>All 12 participants completed all experimental trials with no adverse events.</w:t>
      </w:r>
      <w:r w:rsidR="00B231E6" w:rsidRPr="008072C7">
        <w:rPr>
          <w:rFonts w:ascii="Arial" w:hAnsi="Arial" w:cs="Arial"/>
          <w:color w:val="000000" w:themeColor="text1"/>
          <w:sz w:val="20"/>
          <w:szCs w:val="20"/>
        </w:rPr>
        <w:t xml:space="preserve"> Exercise load and total exercise volume were greater in the HLRE trial</w:t>
      </w:r>
      <w:r w:rsidR="00561917" w:rsidRPr="008072C7">
        <w:rPr>
          <w:rFonts w:ascii="Arial" w:hAnsi="Arial" w:cs="Arial"/>
          <w:color w:val="000000" w:themeColor="text1"/>
          <w:sz w:val="20"/>
          <w:szCs w:val="20"/>
        </w:rPr>
        <w:t xml:space="preserve">. </w:t>
      </w:r>
      <w:r w:rsidR="00B231E6" w:rsidRPr="008072C7">
        <w:rPr>
          <w:rFonts w:ascii="Arial" w:hAnsi="Arial" w:cs="Arial"/>
          <w:color w:val="000000" w:themeColor="text1"/>
          <w:sz w:val="20"/>
          <w:szCs w:val="20"/>
        </w:rPr>
        <w:t>Exercising BFR pressure was greater in BFR80 compared to BFR40</w:t>
      </w:r>
      <w:r w:rsidR="00561917" w:rsidRPr="008072C7">
        <w:rPr>
          <w:rFonts w:ascii="Arial" w:hAnsi="Arial" w:cs="Arial"/>
          <w:color w:val="000000" w:themeColor="text1"/>
          <w:sz w:val="20"/>
          <w:szCs w:val="20"/>
        </w:rPr>
        <w:t xml:space="preserve"> (Table 2).</w:t>
      </w:r>
    </w:p>
    <w:p w14:paraId="473F4AD7" w14:textId="28CB4CEB" w:rsidR="00291837" w:rsidRPr="008072C7" w:rsidRDefault="005A4C0D" w:rsidP="00476D7D">
      <w:pPr>
        <w:pStyle w:val="Heading2"/>
        <w:rPr>
          <w:rFonts w:ascii="Arial" w:hAnsi="Arial" w:cs="Arial"/>
          <w:sz w:val="20"/>
          <w:szCs w:val="20"/>
        </w:rPr>
      </w:pPr>
      <w:r w:rsidRPr="008072C7">
        <w:rPr>
          <w:rFonts w:ascii="Arial" w:hAnsi="Arial" w:cs="Arial"/>
          <w:sz w:val="20"/>
          <w:szCs w:val="20"/>
        </w:rPr>
        <w:t>Baseline PPTs</w:t>
      </w:r>
    </w:p>
    <w:p w14:paraId="1A52A592" w14:textId="01FA7AE7" w:rsidR="005A4C0D" w:rsidRPr="008072C7" w:rsidRDefault="005A4C0D"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No differences in baseline PPTs were found </w:t>
      </w:r>
      <w:r w:rsidR="0001462C" w:rsidRPr="008072C7">
        <w:rPr>
          <w:rFonts w:ascii="Arial" w:hAnsi="Arial" w:cs="Arial"/>
          <w:color w:val="000000" w:themeColor="text1"/>
          <w:sz w:val="20"/>
          <w:szCs w:val="20"/>
        </w:rPr>
        <w:t xml:space="preserve">between </w:t>
      </w:r>
      <w:r w:rsidRPr="008072C7">
        <w:rPr>
          <w:rFonts w:ascii="Arial" w:hAnsi="Arial" w:cs="Arial"/>
          <w:color w:val="000000" w:themeColor="text1"/>
          <w:sz w:val="20"/>
          <w:szCs w:val="20"/>
        </w:rPr>
        <w:t xml:space="preserve">the </w:t>
      </w:r>
      <w:r w:rsidR="00AA72E6" w:rsidRPr="008072C7">
        <w:rPr>
          <w:rFonts w:ascii="Arial" w:hAnsi="Arial" w:cs="Arial"/>
          <w:color w:val="000000" w:themeColor="text1"/>
          <w:sz w:val="20"/>
          <w:szCs w:val="20"/>
        </w:rPr>
        <w:t>4</w:t>
      </w:r>
      <w:r w:rsidRPr="008072C7">
        <w:rPr>
          <w:rFonts w:ascii="Arial" w:hAnsi="Arial" w:cs="Arial"/>
          <w:color w:val="000000" w:themeColor="text1"/>
          <w:sz w:val="20"/>
          <w:szCs w:val="20"/>
        </w:rPr>
        <w:t xml:space="preserve"> experimental trials (</w:t>
      </w:r>
      <w:r w:rsidRPr="008072C7">
        <w:rPr>
          <w:rFonts w:ascii="Arial" w:hAnsi="Arial" w:cs="Arial"/>
          <w:i/>
          <w:iCs/>
          <w:color w:val="000000" w:themeColor="text1"/>
          <w:sz w:val="20"/>
          <w:szCs w:val="20"/>
        </w:rPr>
        <w:t>F</w:t>
      </w:r>
      <w:r w:rsidRPr="008072C7">
        <w:rPr>
          <w:rFonts w:ascii="Arial" w:hAnsi="Arial" w:cs="Arial"/>
          <w:color w:val="000000" w:themeColor="text1"/>
          <w:sz w:val="20"/>
          <w:szCs w:val="20"/>
          <w:vertAlign w:val="subscript"/>
        </w:rPr>
        <w:t xml:space="preserve"> (3,33) </w:t>
      </w:r>
      <w:r w:rsidRPr="008072C7">
        <w:rPr>
          <w:rFonts w:ascii="Arial" w:hAnsi="Arial" w:cs="Arial"/>
          <w:color w:val="000000" w:themeColor="text1"/>
          <w:sz w:val="20"/>
          <w:szCs w:val="20"/>
        </w:rPr>
        <w:t>= 0.098, p=0.981, d=0.1). A main effect of assessment site was found (</w:t>
      </w:r>
      <w:r w:rsidRPr="008072C7">
        <w:rPr>
          <w:rFonts w:ascii="Arial" w:hAnsi="Arial" w:cs="Arial"/>
          <w:i/>
          <w:iCs/>
          <w:color w:val="000000" w:themeColor="text1"/>
          <w:sz w:val="20"/>
          <w:szCs w:val="20"/>
        </w:rPr>
        <w:t>F</w:t>
      </w:r>
      <w:r w:rsidRPr="008072C7">
        <w:rPr>
          <w:rFonts w:ascii="Arial" w:hAnsi="Arial" w:cs="Arial"/>
          <w:color w:val="000000" w:themeColor="text1"/>
          <w:sz w:val="20"/>
          <w:szCs w:val="20"/>
          <w:vertAlign w:val="subscript"/>
        </w:rPr>
        <w:t xml:space="preserve"> (3,33) </w:t>
      </w:r>
      <w:r w:rsidRPr="008072C7">
        <w:rPr>
          <w:rFonts w:ascii="Arial" w:hAnsi="Arial" w:cs="Arial"/>
          <w:color w:val="000000" w:themeColor="text1"/>
          <w:sz w:val="20"/>
          <w:szCs w:val="20"/>
        </w:rPr>
        <w:t>= 99.136, p&lt;0.01, d=0.9). PPTs w</w:t>
      </w:r>
      <w:r w:rsidR="00897CEC" w:rsidRPr="008072C7">
        <w:rPr>
          <w:rFonts w:ascii="Arial" w:hAnsi="Arial" w:cs="Arial"/>
          <w:color w:val="000000" w:themeColor="text1"/>
          <w:sz w:val="20"/>
          <w:szCs w:val="20"/>
        </w:rPr>
        <w:t>ere</w:t>
      </w:r>
      <w:r w:rsidRPr="008072C7">
        <w:rPr>
          <w:rFonts w:ascii="Arial" w:hAnsi="Arial" w:cs="Arial"/>
          <w:color w:val="000000" w:themeColor="text1"/>
          <w:sz w:val="20"/>
          <w:szCs w:val="20"/>
        </w:rPr>
        <w:t xml:space="preserve"> higher </w:t>
      </w:r>
      <w:r w:rsidR="00897CEC" w:rsidRPr="008072C7">
        <w:rPr>
          <w:rFonts w:ascii="Arial" w:hAnsi="Arial" w:cs="Arial"/>
          <w:color w:val="000000" w:themeColor="text1"/>
          <w:sz w:val="20"/>
          <w:szCs w:val="20"/>
        </w:rPr>
        <w:t>at the dominant and non-dominant quadriceps sites compared to the biceps brachii and trapezius sites (both p&lt;0.01, d=0.9)</w:t>
      </w:r>
      <w:r w:rsidR="00846028" w:rsidRPr="008072C7">
        <w:rPr>
          <w:rFonts w:ascii="Arial" w:hAnsi="Arial" w:cs="Arial"/>
          <w:color w:val="000000" w:themeColor="text1"/>
          <w:sz w:val="20"/>
          <w:szCs w:val="20"/>
        </w:rPr>
        <w:t>.</w:t>
      </w:r>
    </w:p>
    <w:p w14:paraId="13167EF2" w14:textId="741C0A6B" w:rsidR="007C02A3" w:rsidRPr="008072C7" w:rsidRDefault="004D432E" w:rsidP="00476D7D">
      <w:pPr>
        <w:pStyle w:val="Heading2"/>
        <w:rPr>
          <w:rFonts w:ascii="Arial" w:hAnsi="Arial" w:cs="Arial"/>
          <w:sz w:val="20"/>
          <w:szCs w:val="20"/>
        </w:rPr>
      </w:pPr>
      <w:r w:rsidRPr="008072C7">
        <w:rPr>
          <w:rFonts w:ascii="Arial" w:hAnsi="Arial" w:cs="Arial"/>
          <w:sz w:val="20"/>
          <w:szCs w:val="20"/>
        </w:rPr>
        <w:t xml:space="preserve">Change in </w:t>
      </w:r>
      <w:r w:rsidR="00810D22" w:rsidRPr="008072C7">
        <w:rPr>
          <w:rFonts w:ascii="Arial" w:hAnsi="Arial" w:cs="Arial"/>
          <w:sz w:val="20"/>
          <w:szCs w:val="20"/>
        </w:rPr>
        <w:t>PPTs with resistance exercise</w:t>
      </w:r>
    </w:p>
    <w:p w14:paraId="76A48DE9" w14:textId="570C6476" w:rsidR="003051AB" w:rsidRPr="008072C7" w:rsidRDefault="007C02A3"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A three-way interaction effect was found for </w:t>
      </w:r>
      <w:r w:rsidR="007F113A" w:rsidRPr="008072C7">
        <w:rPr>
          <w:rFonts w:ascii="Arial" w:hAnsi="Arial" w:cs="Arial"/>
          <w:color w:val="000000" w:themeColor="text1"/>
          <w:sz w:val="20"/>
          <w:szCs w:val="20"/>
        </w:rPr>
        <w:t>condition</w:t>
      </w:r>
      <w:r w:rsidRPr="008072C7">
        <w:rPr>
          <w:rFonts w:ascii="Arial" w:hAnsi="Arial" w:cs="Arial"/>
          <w:color w:val="000000" w:themeColor="text1"/>
          <w:sz w:val="20"/>
          <w:szCs w:val="20"/>
        </w:rPr>
        <w:t>, assessment site and time (</w:t>
      </w:r>
      <w:r w:rsidRPr="008072C7">
        <w:rPr>
          <w:rFonts w:ascii="Arial" w:hAnsi="Arial" w:cs="Arial"/>
          <w:i/>
          <w:iCs/>
          <w:color w:val="000000" w:themeColor="text1"/>
          <w:sz w:val="20"/>
          <w:szCs w:val="20"/>
        </w:rPr>
        <w:t>F</w:t>
      </w:r>
      <w:r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vertAlign w:val="subscript"/>
        </w:rPr>
        <w:t xml:space="preserve">(18,198) </w:t>
      </w:r>
      <w:r w:rsidRPr="008072C7">
        <w:rPr>
          <w:rFonts w:ascii="Arial" w:hAnsi="Arial" w:cs="Arial"/>
          <w:color w:val="000000" w:themeColor="text1"/>
          <w:sz w:val="20"/>
          <w:szCs w:val="20"/>
        </w:rPr>
        <w:t>= 13.492, p&lt;0.01, d=0.6).</w:t>
      </w:r>
      <w:r w:rsidR="006C1A07" w:rsidRPr="008072C7">
        <w:rPr>
          <w:rFonts w:ascii="Arial" w:hAnsi="Arial" w:cs="Arial"/>
          <w:color w:val="000000" w:themeColor="text1"/>
          <w:sz w:val="20"/>
          <w:szCs w:val="20"/>
        </w:rPr>
        <w:t xml:space="preserve"> </w:t>
      </w:r>
      <w:r w:rsidR="009F7DCA" w:rsidRPr="008072C7">
        <w:rPr>
          <w:rFonts w:ascii="Arial" w:hAnsi="Arial" w:cs="Arial"/>
          <w:color w:val="000000" w:themeColor="text1"/>
          <w:sz w:val="20"/>
          <w:szCs w:val="20"/>
        </w:rPr>
        <w:t xml:space="preserve">There was a two-way interaction effect </w:t>
      </w:r>
      <w:r w:rsidR="000165B4" w:rsidRPr="008072C7">
        <w:rPr>
          <w:rFonts w:ascii="Arial" w:hAnsi="Arial" w:cs="Arial"/>
          <w:color w:val="000000" w:themeColor="text1"/>
          <w:sz w:val="20"/>
          <w:szCs w:val="20"/>
        </w:rPr>
        <w:t>for</w:t>
      </w:r>
      <w:r w:rsidR="009F7DCA" w:rsidRPr="008072C7">
        <w:rPr>
          <w:rFonts w:ascii="Arial" w:hAnsi="Arial" w:cs="Arial"/>
          <w:color w:val="000000" w:themeColor="text1"/>
          <w:sz w:val="20"/>
          <w:szCs w:val="20"/>
        </w:rPr>
        <w:t xml:space="preserve"> the dominant quadriceps site</w:t>
      </w:r>
      <w:r w:rsidR="00E73895" w:rsidRPr="008072C7">
        <w:rPr>
          <w:rFonts w:ascii="Arial" w:hAnsi="Arial" w:cs="Arial"/>
          <w:color w:val="000000" w:themeColor="text1"/>
          <w:sz w:val="20"/>
          <w:szCs w:val="20"/>
        </w:rPr>
        <w:t xml:space="preserve"> (Figure 2)</w:t>
      </w:r>
      <w:r w:rsidR="003051AB" w:rsidRPr="008072C7">
        <w:rPr>
          <w:rFonts w:ascii="Arial" w:hAnsi="Arial" w:cs="Arial"/>
          <w:color w:val="000000" w:themeColor="text1"/>
          <w:sz w:val="20"/>
          <w:szCs w:val="20"/>
        </w:rPr>
        <w:t xml:space="preserve">. At 5 min post-exercise PPTs were increased compared to pre-exercise in all conditions (Figure 2). </w:t>
      </w:r>
      <w:r w:rsidR="007F113A" w:rsidRPr="008072C7">
        <w:rPr>
          <w:rFonts w:ascii="Arial" w:hAnsi="Arial" w:cs="Arial"/>
          <w:color w:val="000000" w:themeColor="text1"/>
          <w:sz w:val="20"/>
          <w:szCs w:val="20"/>
        </w:rPr>
        <w:t>Post-hoc analysis showed that, c</w:t>
      </w:r>
      <w:r w:rsidR="00245AB8" w:rsidRPr="008072C7">
        <w:rPr>
          <w:rFonts w:ascii="Arial" w:hAnsi="Arial" w:cs="Arial"/>
          <w:color w:val="000000" w:themeColor="text1"/>
          <w:sz w:val="20"/>
          <w:szCs w:val="20"/>
        </w:rPr>
        <w:t xml:space="preserve">ompared to LLRE, </w:t>
      </w:r>
      <w:r w:rsidR="00DF4788" w:rsidRPr="008072C7">
        <w:rPr>
          <w:rFonts w:ascii="Arial" w:hAnsi="Arial" w:cs="Arial"/>
          <w:color w:val="000000" w:themeColor="text1"/>
          <w:sz w:val="20"/>
          <w:szCs w:val="20"/>
        </w:rPr>
        <w:t>PPT</w:t>
      </w:r>
      <w:r w:rsidR="00245AB8" w:rsidRPr="008072C7">
        <w:rPr>
          <w:rFonts w:ascii="Arial" w:hAnsi="Arial" w:cs="Arial"/>
          <w:color w:val="000000" w:themeColor="text1"/>
          <w:sz w:val="20"/>
          <w:szCs w:val="20"/>
        </w:rPr>
        <w:t xml:space="preserve"> was </w:t>
      </w:r>
      <w:r w:rsidR="00FE3205" w:rsidRPr="008072C7">
        <w:rPr>
          <w:rFonts w:ascii="Arial" w:hAnsi="Arial" w:cs="Arial"/>
          <w:color w:val="000000" w:themeColor="text1"/>
          <w:sz w:val="20"/>
          <w:szCs w:val="20"/>
        </w:rPr>
        <w:t xml:space="preserve">2.43 ± 1.60 kgf </w:t>
      </w:r>
      <w:r w:rsidR="00DF4788" w:rsidRPr="008072C7">
        <w:rPr>
          <w:rFonts w:ascii="Arial" w:hAnsi="Arial" w:cs="Arial"/>
          <w:color w:val="000000" w:themeColor="text1"/>
          <w:sz w:val="20"/>
          <w:szCs w:val="20"/>
        </w:rPr>
        <w:t>higher</w:t>
      </w:r>
      <w:r w:rsidR="00245AB8" w:rsidRPr="008072C7">
        <w:rPr>
          <w:rFonts w:ascii="Arial" w:hAnsi="Arial" w:cs="Arial"/>
          <w:color w:val="000000" w:themeColor="text1"/>
          <w:sz w:val="20"/>
          <w:szCs w:val="20"/>
        </w:rPr>
        <w:t xml:space="preserve"> following BFR40</w:t>
      </w:r>
      <w:r w:rsidR="00DF4788" w:rsidRPr="008072C7">
        <w:rPr>
          <w:rFonts w:ascii="Arial" w:hAnsi="Arial" w:cs="Arial"/>
          <w:color w:val="000000" w:themeColor="text1"/>
          <w:sz w:val="20"/>
          <w:szCs w:val="20"/>
        </w:rPr>
        <w:t xml:space="preserve"> (p&lt;0.01, d=0.25), </w:t>
      </w:r>
      <w:r w:rsidR="00FE3205" w:rsidRPr="008072C7">
        <w:rPr>
          <w:rFonts w:ascii="Arial" w:hAnsi="Arial" w:cs="Arial"/>
          <w:color w:val="000000" w:themeColor="text1"/>
          <w:sz w:val="20"/>
          <w:szCs w:val="20"/>
        </w:rPr>
        <w:t xml:space="preserve">3.72 ± 2.24 kgf higher following </w:t>
      </w:r>
      <w:r w:rsidR="00DF4788" w:rsidRPr="008072C7">
        <w:rPr>
          <w:rFonts w:ascii="Arial" w:hAnsi="Arial" w:cs="Arial"/>
          <w:color w:val="000000" w:themeColor="text1"/>
          <w:sz w:val="20"/>
          <w:szCs w:val="20"/>
        </w:rPr>
        <w:t>BFR80 (p&lt;0.01, d=0.46) and</w:t>
      </w:r>
      <w:r w:rsidR="00FE3205" w:rsidRPr="008072C7">
        <w:rPr>
          <w:rFonts w:ascii="Arial" w:hAnsi="Arial" w:cs="Arial"/>
          <w:color w:val="000000" w:themeColor="text1"/>
          <w:sz w:val="20"/>
          <w:szCs w:val="20"/>
        </w:rPr>
        <w:t xml:space="preserve"> 1.68 ± 1.53 kgf higher following</w:t>
      </w:r>
      <w:r w:rsidR="00DF4788" w:rsidRPr="008072C7">
        <w:rPr>
          <w:rFonts w:ascii="Arial" w:hAnsi="Arial" w:cs="Arial"/>
          <w:color w:val="000000" w:themeColor="text1"/>
          <w:sz w:val="20"/>
          <w:szCs w:val="20"/>
        </w:rPr>
        <w:t xml:space="preserve"> HLRE (p&lt;0.05, 0.18). </w:t>
      </w:r>
      <w:r w:rsidR="00FE3205" w:rsidRPr="008072C7">
        <w:rPr>
          <w:rFonts w:ascii="Arial" w:hAnsi="Arial" w:cs="Arial"/>
          <w:color w:val="000000" w:themeColor="text1"/>
          <w:sz w:val="20"/>
          <w:szCs w:val="20"/>
        </w:rPr>
        <w:t xml:space="preserve">Following BFR 80, </w:t>
      </w:r>
      <w:r w:rsidR="00DF4788" w:rsidRPr="008072C7">
        <w:rPr>
          <w:rFonts w:ascii="Arial" w:hAnsi="Arial" w:cs="Arial"/>
          <w:color w:val="000000" w:themeColor="text1"/>
          <w:sz w:val="20"/>
          <w:szCs w:val="20"/>
        </w:rPr>
        <w:t xml:space="preserve">PPT was </w:t>
      </w:r>
      <w:r w:rsidR="00FE3205" w:rsidRPr="008072C7">
        <w:rPr>
          <w:rFonts w:ascii="Arial" w:hAnsi="Arial" w:cs="Arial"/>
          <w:color w:val="000000" w:themeColor="text1"/>
          <w:sz w:val="20"/>
          <w:szCs w:val="20"/>
        </w:rPr>
        <w:t xml:space="preserve">1.29 ± 1.18 kgf </w:t>
      </w:r>
      <w:r w:rsidR="00DF4788" w:rsidRPr="008072C7">
        <w:rPr>
          <w:rFonts w:ascii="Arial" w:hAnsi="Arial" w:cs="Arial"/>
          <w:color w:val="000000" w:themeColor="text1"/>
          <w:sz w:val="20"/>
          <w:szCs w:val="20"/>
        </w:rPr>
        <w:t xml:space="preserve">higher compared to BFR40 (p&lt;0.01, d=0.11) and </w:t>
      </w:r>
      <w:r w:rsidR="00FE3205" w:rsidRPr="008072C7">
        <w:rPr>
          <w:rFonts w:ascii="Arial" w:hAnsi="Arial" w:cs="Arial"/>
          <w:color w:val="000000" w:themeColor="text1"/>
          <w:sz w:val="20"/>
          <w:szCs w:val="20"/>
        </w:rPr>
        <w:t xml:space="preserve">2.04 ± 1.75 kgf higher compared to </w:t>
      </w:r>
      <w:r w:rsidR="00DF4788" w:rsidRPr="008072C7">
        <w:rPr>
          <w:rFonts w:ascii="Arial" w:hAnsi="Arial" w:cs="Arial"/>
          <w:color w:val="000000" w:themeColor="text1"/>
          <w:sz w:val="20"/>
          <w:szCs w:val="20"/>
        </w:rPr>
        <w:t>HLRE (p&lt;0.01, d=0.39)</w:t>
      </w:r>
      <w:r w:rsidR="00B17968" w:rsidRPr="008072C7">
        <w:rPr>
          <w:rFonts w:ascii="Arial" w:hAnsi="Arial" w:cs="Arial"/>
          <w:color w:val="000000" w:themeColor="text1"/>
          <w:sz w:val="20"/>
          <w:szCs w:val="20"/>
        </w:rPr>
        <w:t xml:space="preserve">. </w:t>
      </w:r>
      <w:r w:rsidR="009F7DCA" w:rsidRPr="008072C7">
        <w:rPr>
          <w:rFonts w:ascii="Arial" w:hAnsi="Arial" w:cs="Arial"/>
          <w:color w:val="000000" w:themeColor="text1"/>
          <w:sz w:val="20"/>
          <w:szCs w:val="20"/>
        </w:rPr>
        <w:t>At 24h post-exercise, PPT</w:t>
      </w:r>
      <w:r w:rsidR="00F269A6" w:rsidRPr="008072C7">
        <w:rPr>
          <w:rFonts w:ascii="Arial" w:hAnsi="Arial" w:cs="Arial"/>
          <w:color w:val="000000" w:themeColor="text1"/>
          <w:sz w:val="20"/>
          <w:szCs w:val="20"/>
        </w:rPr>
        <w:t>s</w:t>
      </w:r>
      <w:r w:rsidR="009F7DCA" w:rsidRPr="008072C7">
        <w:rPr>
          <w:rFonts w:ascii="Arial" w:hAnsi="Arial" w:cs="Arial"/>
          <w:color w:val="000000" w:themeColor="text1"/>
          <w:sz w:val="20"/>
          <w:szCs w:val="20"/>
        </w:rPr>
        <w:t xml:space="preserve"> were </w:t>
      </w:r>
      <w:r w:rsidR="00281804" w:rsidRPr="008072C7">
        <w:rPr>
          <w:rFonts w:ascii="Arial" w:hAnsi="Arial" w:cs="Arial"/>
          <w:color w:val="000000" w:themeColor="text1"/>
          <w:sz w:val="20"/>
          <w:szCs w:val="20"/>
        </w:rPr>
        <w:t xml:space="preserve">1.39 ± 0.74 kgf </w:t>
      </w:r>
      <w:r w:rsidR="009F7DCA" w:rsidRPr="008072C7">
        <w:rPr>
          <w:rFonts w:ascii="Arial" w:hAnsi="Arial" w:cs="Arial"/>
          <w:color w:val="000000" w:themeColor="text1"/>
          <w:sz w:val="20"/>
          <w:szCs w:val="20"/>
        </w:rPr>
        <w:t xml:space="preserve">(p&lt;0.01, d=0.5) and </w:t>
      </w:r>
      <w:r w:rsidR="00281804" w:rsidRPr="008072C7">
        <w:rPr>
          <w:rFonts w:ascii="Arial" w:hAnsi="Arial" w:cs="Arial"/>
          <w:color w:val="000000" w:themeColor="text1"/>
          <w:sz w:val="20"/>
          <w:szCs w:val="20"/>
        </w:rPr>
        <w:t>2.44 ± 0.65 kgf</w:t>
      </w:r>
      <w:r w:rsidR="009F7DCA" w:rsidRPr="008072C7">
        <w:rPr>
          <w:rFonts w:ascii="Arial" w:hAnsi="Arial" w:cs="Arial"/>
          <w:color w:val="000000" w:themeColor="text1"/>
          <w:sz w:val="20"/>
          <w:szCs w:val="20"/>
        </w:rPr>
        <w:t xml:space="preserve"> </w:t>
      </w:r>
      <w:r w:rsidR="00F269A6" w:rsidRPr="008072C7">
        <w:rPr>
          <w:rFonts w:ascii="Arial" w:hAnsi="Arial" w:cs="Arial"/>
          <w:color w:val="000000" w:themeColor="text1"/>
          <w:sz w:val="20"/>
          <w:szCs w:val="20"/>
        </w:rPr>
        <w:t>(p&lt;0.01, d=0.7) higher than pre-exercise</w:t>
      </w:r>
      <w:r w:rsidR="00DF4788" w:rsidRPr="008072C7">
        <w:rPr>
          <w:rFonts w:ascii="Arial" w:hAnsi="Arial" w:cs="Arial"/>
          <w:color w:val="000000" w:themeColor="text1"/>
          <w:sz w:val="20"/>
          <w:szCs w:val="20"/>
        </w:rPr>
        <w:t xml:space="preserve"> values</w:t>
      </w:r>
      <w:r w:rsidR="00F269A6" w:rsidRPr="008072C7">
        <w:rPr>
          <w:rFonts w:ascii="Arial" w:hAnsi="Arial" w:cs="Arial"/>
          <w:color w:val="000000" w:themeColor="text1"/>
          <w:sz w:val="20"/>
          <w:szCs w:val="20"/>
        </w:rPr>
        <w:t xml:space="preserve"> in the BFR40 and BFR80 trials, respectively, whereas PPTs had returned to baseline in the LLRE and HLRE trials</w:t>
      </w:r>
      <w:r w:rsidR="00E73895" w:rsidRPr="008072C7">
        <w:rPr>
          <w:rFonts w:ascii="Arial" w:hAnsi="Arial" w:cs="Arial"/>
          <w:color w:val="000000" w:themeColor="text1"/>
          <w:sz w:val="20"/>
          <w:szCs w:val="20"/>
        </w:rPr>
        <w:t>.</w:t>
      </w:r>
    </w:p>
    <w:p w14:paraId="394BB47B" w14:textId="08C3C58D" w:rsidR="001B7719" w:rsidRPr="008072C7" w:rsidRDefault="001B7719"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There was a two-way interaction effect </w:t>
      </w:r>
      <w:r w:rsidR="000165B4" w:rsidRPr="008072C7">
        <w:rPr>
          <w:rFonts w:ascii="Arial" w:hAnsi="Arial" w:cs="Arial"/>
          <w:color w:val="000000" w:themeColor="text1"/>
          <w:sz w:val="20"/>
          <w:szCs w:val="20"/>
        </w:rPr>
        <w:t>for</w:t>
      </w:r>
      <w:r w:rsidRPr="008072C7">
        <w:rPr>
          <w:rFonts w:ascii="Arial" w:hAnsi="Arial" w:cs="Arial"/>
          <w:color w:val="000000" w:themeColor="text1"/>
          <w:sz w:val="20"/>
          <w:szCs w:val="20"/>
        </w:rPr>
        <w:t xml:space="preserve"> the non-dominant quadriceps </w:t>
      </w:r>
      <w:r w:rsidR="00F01E3C" w:rsidRPr="008072C7">
        <w:rPr>
          <w:rFonts w:ascii="Arial" w:hAnsi="Arial" w:cs="Arial"/>
          <w:color w:val="000000" w:themeColor="text1"/>
          <w:sz w:val="20"/>
          <w:szCs w:val="20"/>
        </w:rPr>
        <w:t>site</w:t>
      </w:r>
      <w:r w:rsidR="00E73895" w:rsidRPr="008072C7">
        <w:rPr>
          <w:rFonts w:ascii="Arial" w:hAnsi="Arial" w:cs="Arial"/>
          <w:color w:val="000000" w:themeColor="text1"/>
          <w:sz w:val="20"/>
          <w:szCs w:val="20"/>
        </w:rPr>
        <w:t xml:space="preserve"> (Figure 2)</w:t>
      </w:r>
      <w:r w:rsidRPr="008072C7">
        <w:rPr>
          <w:rFonts w:ascii="Arial" w:hAnsi="Arial" w:cs="Arial"/>
          <w:color w:val="000000" w:themeColor="text1"/>
          <w:sz w:val="20"/>
          <w:szCs w:val="20"/>
        </w:rPr>
        <w:t xml:space="preserve">. </w:t>
      </w:r>
      <w:r w:rsidR="00F01E3C" w:rsidRPr="008072C7">
        <w:rPr>
          <w:rFonts w:ascii="Arial" w:hAnsi="Arial" w:cs="Arial"/>
          <w:color w:val="000000" w:themeColor="text1"/>
          <w:sz w:val="20"/>
          <w:szCs w:val="20"/>
        </w:rPr>
        <w:t>At 5 min post-exercise PPTs were increased compared to pre-exercise in all conditions (Figure 2).</w:t>
      </w:r>
      <w:r w:rsidRPr="008072C7">
        <w:rPr>
          <w:rFonts w:ascii="Arial" w:hAnsi="Arial" w:cs="Arial"/>
          <w:color w:val="000000" w:themeColor="text1"/>
          <w:sz w:val="20"/>
          <w:szCs w:val="20"/>
        </w:rPr>
        <w:t xml:space="preserve"> Compared to LLRE, the increase in PPT was greater following BFR40 (1.49 ± 0.70</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95%CI: 0.246 to 2.730, p&lt;0.01, d=0.54), BFR80 (1.82 ± 0.60</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0.333 to 3.300, p&lt;0.01, d=0.65) and HLRE (1.34 ± 0.92</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xml:space="preserve">, 95% CI: 0.181 to 2.856, p&lt;0.05, d=0.46). At 24h PPTs had returned to baseline following </w:t>
      </w:r>
      <w:r w:rsidRPr="008072C7">
        <w:rPr>
          <w:rFonts w:ascii="Arial" w:hAnsi="Arial" w:cs="Arial"/>
          <w:color w:val="000000" w:themeColor="text1"/>
          <w:sz w:val="20"/>
          <w:szCs w:val="20"/>
        </w:rPr>
        <w:lastRenderedPageBreak/>
        <w:t>LLRE (p=0.62, d=0.022), BFR40 (p=0.71, d=0.01), BFR80 (p=0.50, d=0.02) and HLRE (p=0.48, d=0.04).</w:t>
      </w:r>
    </w:p>
    <w:p w14:paraId="456D3DE9" w14:textId="3DE2AA9C" w:rsidR="00FD638D" w:rsidRPr="008072C7" w:rsidRDefault="00FD638D"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There was a two-way interaction effect at the biceps site </w:t>
      </w:r>
      <w:r w:rsidR="00E73895" w:rsidRPr="008072C7">
        <w:rPr>
          <w:rFonts w:ascii="Arial" w:hAnsi="Arial" w:cs="Arial"/>
          <w:color w:val="000000" w:themeColor="text1"/>
          <w:sz w:val="20"/>
          <w:szCs w:val="20"/>
        </w:rPr>
        <w:t>(Figure 2)</w:t>
      </w:r>
      <w:r w:rsidRPr="008072C7">
        <w:rPr>
          <w:rFonts w:ascii="Arial" w:hAnsi="Arial" w:cs="Arial"/>
          <w:color w:val="000000" w:themeColor="text1"/>
          <w:sz w:val="20"/>
          <w:szCs w:val="20"/>
        </w:rPr>
        <w:t xml:space="preserve">. </w:t>
      </w:r>
      <w:r w:rsidR="00F01E3C" w:rsidRPr="008072C7">
        <w:rPr>
          <w:rFonts w:ascii="Arial" w:hAnsi="Arial" w:cs="Arial"/>
          <w:color w:val="000000" w:themeColor="text1"/>
          <w:sz w:val="20"/>
          <w:szCs w:val="20"/>
        </w:rPr>
        <w:t>At 5 min post-exercise PPTs were</w:t>
      </w:r>
      <w:r w:rsidR="0096627E" w:rsidRPr="008072C7">
        <w:rPr>
          <w:rFonts w:ascii="Arial" w:hAnsi="Arial" w:cs="Arial"/>
          <w:color w:val="000000" w:themeColor="text1"/>
          <w:sz w:val="20"/>
          <w:szCs w:val="20"/>
        </w:rPr>
        <w:t xml:space="preserve"> </w:t>
      </w:r>
      <w:r w:rsidR="00F01E3C" w:rsidRPr="008072C7">
        <w:rPr>
          <w:rFonts w:ascii="Arial" w:hAnsi="Arial" w:cs="Arial"/>
          <w:color w:val="000000" w:themeColor="text1"/>
          <w:sz w:val="20"/>
          <w:szCs w:val="20"/>
        </w:rPr>
        <w:t>increased compared to pre-exercise in all conditions (Figure 2).</w:t>
      </w:r>
      <w:r w:rsidRPr="008072C7">
        <w:rPr>
          <w:rFonts w:ascii="Arial" w:hAnsi="Arial" w:cs="Arial"/>
          <w:color w:val="000000" w:themeColor="text1"/>
          <w:sz w:val="20"/>
          <w:szCs w:val="20"/>
        </w:rPr>
        <w:t xml:space="preserve"> Compared to LLRE, the increase in PPT was greater following BFR40 (0.28 ± 0.13</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0.157 to 0.391, p&lt;0.01, d=0.21), BFR80 (0.64 ± 0.42</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0.235 to 1.259, p&lt;0.01, d=0.43) and HLRE (0.34 ± 0.20</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0.158 to 0.517, p&lt;0.01, d=0.25). At 24h PPTs had returned to baseline following LLRE (p=0.28, d=0.01), BFR40 (p=0.33, d=0.01), BFR80 (p=0.23, d=0.01) and HLRE (p=0.78, d=0.04).</w:t>
      </w:r>
    </w:p>
    <w:p w14:paraId="406F28FE" w14:textId="37956AFD" w:rsidR="00AA4406" w:rsidRPr="008072C7" w:rsidRDefault="00AA4406"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There was a two-way interaction effect at the trapezius site </w:t>
      </w:r>
      <w:r w:rsidR="00E73895" w:rsidRPr="008072C7">
        <w:rPr>
          <w:rFonts w:ascii="Arial" w:hAnsi="Arial" w:cs="Arial"/>
          <w:color w:val="000000" w:themeColor="text1"/>
          <w:sz w:val="20"/>
          <w:szCs w:val="20"/>
        </w:rPr>
        <w:t>(Figure 2)</w:t>
      </w:r>
      <w:r w:rsidRPr="008072C7">
        <w:rPr>
          <w:rFonts w:ascii="Arial" w:hAnsi="Arial" w:cs="Arial"/>
          <w:color w:val="000000" w:themeColor="text1"/>
          <w:sz w:val="20"/>
          <w:szCs w:val="20"/>
        </w:rPr>
        <w:t xml:space="preserve">. </w:t>
      </w:r>
      <w:r w:rsidR="00F01E3C" w:rsidRPr="008072C7">
        <w:rPr>
          <w:rFonts w:ascii="Arial" w:hAnsi="Arial" w:cs="Arial"/>
          <w:color w:val="000000" w:themeColor="text1"/>
          <w:sz w:val="20"/>
          <w:szCs w:val="20"/>
        </w:rPr>
        <w:t xml:space="preserve">At 5 min post-exercise PPTs were increased compared to pre-exercise in all conditions (Figure 2). </w:t>
      </w:r>
      <w:r w:rsidRPr="008072C7">
        <w:rPr>
          <w:rFonts w:ascii="Arial" w:hAnsi="Arial" w:cs="Arial"/>
          <w:color w:val="000000" w:themeColor="text1"/>
          <w:sz w:val="20"/>
          <w:szCs w:val="20"/>
        </w:rPr>
        <w:t>Compared to LLRE, the increase in PPT was greater following BFR40 (0.31 ± 0.27</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0.057 to 0.563, p&lt;0.05, d=0.25), BFR80 (0.30 ± 0.17</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0.139 to 0.458, p&lt;0.01, d=0.23) and HLRE (0.26 ± 0.13</w:t>
      </w:r>
      <w:r w:rsidR="00281804" w:rsidRPr="008072C7">
        <w:rPr>
          <w:rFonts w:ascii="Arial" w:hAnsi="Arial" w:cs="Arial"/>
          <w:color w:val="000000" w:themeColor="text1"/>
          <w:sz w:val="20"/>
          <w:szCs w:val="20"/>
        </w:rPr>
        <w:t xml:space="preserve"> kgf</w:t>
      </w:r>
      <w:r w:rsidRPr="008072C7">
        <w:rPr>
          <w:rFonts w:ascii="Arial" w:hAnsi="Arial" w:cs="Arial"/>
          <w:color w:val="000000" w:themeColor="text1"/>
          <w:sz w:val="20"/>
          <w:szCs w:val="20"/>
        </w:rPr>
        <w:t>, 95% CI: 0.139 to 0.371, p&lt;0.01, d=0.20). At 24h PPTs had returned to baseline following LLRE (p=0.21, d=0.07), BFR40 (p=0.64, d=0.09), BFR80 (p=0.23, d=0.01) and HLRE (p=0.85, d=0.04).</w:t>
      </w:r>
    </w:p>
    <w:p w14:paraId="4BFA994B" w14:textId="741ABA23" w:rsidR="002D7666" w:rsidRPr="008072C7" w:rsidRDefault="002D7666" w:rsidP="00476D7D">
      <w:pPr>
        <w:pStyle w:val="Heading2"/>
        <w:rPr>
          <w:rFonts w:ascii="Arial" w:hAnsi="Arial" w:cs="Arial"/>
          <w:sz w:val="20"/>
          <w:szCs w:val="20"/>
        </w:rPr>
      </w:pPr>
      <w:r w:rsidRPr="008072C7">
        <w:rPr>
          <w:rFonts w:ascii="Arial" w:hAnsi="Arial" w:cs="Arial"/>
          <w:sz w:val="20"/>
          <w:szCs w:val="20"/>
        </w:rPr>
        <w:t>RPE</w:t>
      </w:r>
    </w:p>
    <w:p w14:paraId="0412521B" w14:textId="24295021" w:rsidR="00CA3286" w:rsidRPr="008072C7" w:rsidRDefault="002D7666"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RPE </w:t>
      </w:r>
      <w:r w:rsidR="00CA3286" w:rsidRPr="008072C7">
        <w:rPr>
          <w:rFonts w:ascii="Arial" w:hAnsi="Arial" w:cs="Arial"/>
          <w:color w:val="000000" w:themeColor="text1"/>
          <w:sz w:val="20"/>
          <w:szCs w:val="20"/>
        </w:rPr>
        <w:t xml:space="preserve">increased </w:t>
      </w:r>
      <w:r w:rsidRPr="008072C7">
        <w:rPr>
          <w:rFonts w:ascii="Arial" w:hAnsi="Arial" w:cs="Arial"/>
          <w:color w:val="000000" w:themeColor="text1"/>
          <w:sz w:val="20"/>
          <w:szCs w:val="20"/>
        </w:rPr>
        <w:t xml:space="preserve">after each set </w:t>
      </w:r>
      <w:r w:rsidR="00CA3286" w:rsidRPr="008072C7">
        <w:rPr>
          <w:rFonts w:ascii="Arial" w:hAnsi="Arial" w:cs="Arial"/>
          <w:color w:val="000000" w:themeColor="text1"/>
          <w:sz w:val="20"/>
          <w:szCs w:val="20"/>
        </w:rPr>
        <w:t xml:space="preserve">of exercise </w:t>
      </w:r>
      <w:r w:rsidRPr="008072C7">
        <w:rPr>
          <w:rFonts w:ascii="Arial" w:hAnsi="Arial" w:cs="Arial"/>
          <w:color w:val="000000" w:themeColor="text1"/>
          <w:sz w:val="20"/>
          <w:szCs w:val="20"/>
        </w:rPr>
        <w:t xml:space="preserve">compared </w:t>
      </w:r>
      <w:r w:rsidR="00CA3286" w:rsidRPr="008072C7">
        <w:rPr>
          <w:rFonts w:ascii="Arial" w:hAnsi="Arial" w:cs="Arial"/>
          <w:color w:val="000000" w:themeColor="text1"/>
          <w:sz w:val="20"/>
          <w:szCs w:val="20"/>
        </w:rPr>
        <w:t>to</w:t>
      </w:r>
      <w:r w:rsidRPr="008072C7">
        <w:rPr>
          <w:rFonts w:ascii="Arial" w:hAnsi="Arial" w:cs="Arial"/>
          <w:color w:val="000000" w:themeColor="text1"/>
          <w:sz w:val="20"/>
          <w:szCs w:val="20"/>
        </w:rPr>
        <w:t xml:space="preserve"> the previous set for all conditions (all p&lt;0.01, d range = 0.72-0.88). There was a two-way interaction for RPE (</w:t>
      </w:r>
      <w:r w:rsidRPr="008072C7">
        <w:rPr>
          <w:rFonts w:ascii="Arial" w:hAnsi="Arial" w:cs="Arial"/>
          <w:i/>
          <w:iCs/>
          <w:color w:val="000000" w:themeColor="text1"/>
          <w:sz w:val="20"/>
          <w:szCs w:val="20"/>
        </w:rPr>
        <w:t xml:space="preserve">F </w:t>
      </w:r>
      <w:r w:rsidRPr="008072C7">
        <w:rPr>
          <w:rFonts w:ascii="Arial" w:hAnsi="Arial" w:cs="Arial"/>
          <w:color w:val="000000" w:themeColor="text1"/>
          <w:sz w:val="20"/>
          <w:szCs w:val="20"/>
          <w:vertAlign w:val="subscript"/>
        </w:rPr>
        <w:t xml:space="preserve">(9,99) </w:t>
      </w:r>
      <w:r w:rsidRPr="008072C7">
        <w:rPr>
          <w:rFonts w:ascii="Arial" w:hAnsi="Arial" w:cs="Arial"/>
          <w:color w:val="000000" w:themeColor="text1"/>
          <w:sz w:val="20"/>
          <w:szCs w:val="20"/>
        </w:rPr>
        <w:t>= 6.080, p&lt;0.01, d=0.36)</w:t>
      </w:r>
      <w:r w:rsidR="00627AB3" w:rsidRPr="008072C7">
        <w:rPr>
          <w:rFonts w:ascii="Arial" w:hAnsi="Arial" w:cs="Arial"/>
          <w:color w:val="000000" w:themeColor="text1"/>
          <w:sz w:val="20"/>
          <w:szCs w:val="20"/>
        </w:rPr>
        <w:t xml:space="preserve"> (Figure 3)</w:t>
      </w:r>
      <w:r w:rsidRPr="008072C7">
        <w:rPr>
          <w:rFonts w:ascii="Arial" w:hAnsi="Arial" w:cs="Arial"/>
          <w:color w:val="000000" w:themeColor="text1"/>
          <w:sz w:val="20"/>
          <w:szCs w:val="20"/>
        </w:rPr>
        <w:t>. After set 1, compared to LLRE RPE was greater in BFR40 (p&lt;0.05, d=0.56),</w:t>
      </w:r>
      <w:r w:rsidR="00281804"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BFR80 (p&lt;0.01, d=0.79) and HLRE (p&lt;0.05, d=0.61).</w:t>
      </w:r>
      <w:r w:rsidR="00CA3286"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RPE was greater in BFR80 compared to BFR 40 (p&lt;0.05, d=0.42). After set 2, compared to LLRE RPE was greater in BFR40 (p&lt;0.05, d=0.44), BFR80 (p&lt;0.01, d=0.77) and HLRE (p&lt;0.05, d=0.63). RPE was greater in BFR80 compared to BFR40 (p&lt;0.05, d=0.42). After set 3, compared to LLRE RPE was greater in BFR40 (p&lt;0.01, d=0.65), BFR80 (p&lt;0.01, d=0.82) and HLRE (p&lt;0.05, d=0.73</w:t>
      </w:r>
      <w:r w:rsidR="00A568EF" w:rsidRPr="008072C7">
        <w:rPr>
          <w:rFonts w:ascii="Arial" w:hAnsi="Arial" w:cs="Arial"/>
          <w:color w:val="000000" w:themeColor="text1"/>
          <w:sz w:val="20"/>
          <w:szCs w:val="20"/>
        </w:rPr>
        <w:t>. RPE</w:t>
      </w:r>
      <w:r w:rsidR="002F0D8E"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 xml:space="preserve">was </w:t>
      </w:r>
      <w:r w:rsidR="002F0D8E" w:rsidRPr="008072C7">
        <w:rPr>
          <w:rFonts w:ascii="Arial" w:hAnsi="Arial" w:cs="Arial"/>
          <w:color w:val="000000" w:themeColor="text1"/>
          <w:sz w:val="20"/>
          <w:szCs w:val="20"/>
        </w:rPr>
        <w:t>greater</w:t>
      </w:r>
      <w:r w:rsidRPr="008072C7">
        <w:rPr>
          <w:rFonts w:ascii="Arial" w:hAnsi="Arial" w:cs="Arial"/>
          <w:color w:val="000000" w:themeColor="text1"/>
          <w:sz w:val="20"/>
          <w:szCs w:val="20"/>
        </w:rPr>
        <w:t xml:space="preserve"> </w:t>
      </w:r>
      <w:r w:rsidR="00A568EF" w:rsidRPr="008072C7">
        <w:rPr>
          <w:rFonts w:ascii="Arial" w:hAnsi="Arial" w:cs="Arial"/>
          <w:color w:val="000000" w:themeColor="text1"/>
          <w:sz w:val="20"/>
          <w:szCs w:val="20"/>
        </w:rPr>
        <w:t xml:space="preserve">in BFR80 compared to </w:t>
      </w:r>
      <w:r w:rsidRPr="008072C7">
        <w:rPr>
          <w:rFonts w:ascii="Arial" w:hAnsi="Arial" w:cs="Arial"/>
          <w:color w:val="000000" w:themeColor="text1"/>
          <w:sz w:val="20"/>
          <w:szCs w:val="20"/>
        </w:rPr>
        <w:t xml:space="preserve">BFR40 (p&lt;0.01, d=0.68) and HLRE (p&lt;0.01, d=0.64). After set 4, compared to LLRE RPE was greater in BFR40 (p&lt;0.01, d=0.68), BFR80 (p&lt;0.01, d=0.85) and HLRE (p&lt;0.05, d=0.69). RPE was </w:t>
      </w:r>
      <w:r w:rsidR="00A568EF" w:rsidRPr="008072C7">
        <w:rPr>
          <w:rFonts w:ascii="Arial" w:hAnsi="Arial" w:cs="Arial"/>
          <w:color w:val="000000" w:themeColor="text1"/>
          <w:sz w:val="20"/>
          <w:szCs w:val="20"/>
        </w:rPr>
        <w:t xml:space="preserve">greater in BFR80 </w:t>
      </w:r>
      <w:r w:rsidRPr="008072C7">
        <w:rPr>
          <w:rFonts w:ascii="Arial" w:hAnsi="Arial" w:cs="Arial"/>
          <w:color w:val="000000" w:themeColor="text1"/>
          <w:sz w:val="20"/>
          <w:szCs w:val="20"/>
        </w:rPr>
        <w:t>compared to BFR40 (p&lt;0.01, d=0.71) and HLRE (p&lt;0.01, d=0.69).</w:t>
      </w:r>
    </w:p>
    <w:p w14:paraId="74F5AE32" w14:textId="4DE495CC" w:rsidR="00CA3286" w:rsidRPr="008072C7" w:rsidRDefault="00AE4309" w:rsidP="00476D7D">
      <w:pPr>
        <w:pStyle w:val="Heading2"/>
        <w:rPr>
          <w:rFonts w:ascii="Arial" w:hAnsi="Arial" w:cs="Arial"/>
          <w:sz w:val="20"/>
          <w:szCs w:val="20"/>
        </w:rPr>
      </w:pPr>
      <w:r w:rsidRPr="008072C7">
        <w:rPr>
          <w:rFonts w:ascii="Arial" w:hAnsi="Arial" w:cs="Arial"/>
          <w:sz w:val="20"/>
          <w:szCs w:val="20"/>
        </w:rPr>
        <w:lastRenderedPageBreak/>
        <w:t>Muscle discomfort</w:t>
      </w:r>
    </w:p>
    <w:p w14:paraId="135C5A19" w14:textId="05D57B7B" w:rsidR="006678DF" w:rsidRPr="008072C7" w:rsidRDefault="00CA3286" w:rsidP="00476D7D">
      <w:pPr>
        <w:rPr>
          <w:rFonts w:ascii="Arial" w:hAnsi="Arial" w:cs="Arial"/>
          <w:i/>
          <w:iCs/>
          <w:color w:val="000000" w:themeColor="text1"/>
          <w:sz w:val="20"/>
          <w:szCs w:val="20"/>
        </w:rPr>
      </w:pPr>
      <w:r w:rsidRPr="008072C7">
        <w:rPr>
          <w:rFonts w:ascii="Arial" w:hAnsi="Arial" w:cs="Arial"/>
          <w:color w:val="000000" w:themeColor="text1"/>
          <w:sz w:val="20"/>
          <w:szCs w:val="20"/>
        </w:rPr>
        <w:t>M</w:t>
      </w:r>
      <w:r w:rsidR="00AE4309" w:rsidRPr="008072C7">
        <w:rPr>
          <w:rFonts w:ascii="Arial" w:hAnsi="Arial" w:cs="Arial"/>
          <w:color w:val="000000" w:themeColor="text1"/>
          <w:sz w:val="20"/>
          <w:szCs w:val="20"/>
        </w:rPr>
        <w:t xml:space="preserve">uscle discomfort </w:t>
      </w:r>
      <w:r w:rsidRPr="008072C7">
        <w:rPr>
          <w:rFonts w:ascii="Arial" w:hAnsi="Arial" w:cs="Arial"/>
          <w:color w:val="000000" w:themeColor="text1"/>
          <w:sz w:val="20"/>
          <w:szCs w:val="20"/>
        </w:rPr>
        <w:t xml:space="preserve">increased </w:t>
      </w:r>
      <w:r w:rsidR="00AE4309" w:rsidRPr="008072C7">
        <w:rPr>
          <w:rFonts w:ascii="Arial" w:hAnsi="Arial" w:cs="Arial"/>
          <w:color w:val="000000" w:themeColor="text1"/>
          <w:sz w:val="20"/>
          <w:szCs w:val="20"/>
        </w:rPr>
        <w:t xml:space="preserve">after each set </w:t>
      </w:r>
      <w:r w:rsidRPr="008072C7">
        <w:rPr>
          <w:rFonts w:ascii="Arial" w:hAnsi="Arial" w:cs="Arial"/>
          <w:color w:val="000000" w:themeColor="text1"/>
          <w:sz w:val="20"/>
          <w:szCs w:val="20"/>
        </w:rPr>
        <w:t xml:space="preserve">of exercise </w:t>
      </w:r>
      <w:r w:rsidR="00AE4309" w:rsidRPr="008072C7">
        <w:rPr>
          <w:rFonts w:ascii="Arial" w:hAnsi="Arial" w:cs="Arial"/>
          <w:color w:val="000000" w:themeColor="text1"/>
          <w:sz w:val="20"/>
          <w:szCs w:val="20"/>
        </w:rPr>
        <w:t>compared with the previous set for all conditions (all p&lt;0.01, d range = 0.70-0.82). There was a two-way interaction for muscle discomfort (</w:t>
      </w:r>
      <w:r w:rsidR="00AE4309" w:rsidRPr="008072C7">
        <w:rPr>
          <w:rFonts w:ascii="Arial" w:hAnsi="Arial" w:cs="Arial"/>
          <w:i/>
          <w:iCs/>
          <w:color w:val="000000" w:themeColor="text1"/>
          <w:sz w:val="20"/>
          <w:szCs w:val="20"/>
        </w:rPr>
        <w:t xml:space="preserve">F </w:t>
      </w:r>
      <w:r w:rsidR="00AE4309" w:rsidRPr="008072C7">
        <w:rPr>
          <w:rFonts w:ascii="Arial" w:hAnsi="Arial" w:cs="Arial"/>
          <w:color w:val="000000" w:themeColor="text1"/>
          <w:sz w:val="20"/>
          <w:szCs w:val="20"/>
          <w:vertAlign w:val="subscript"/>
        </w:rPr>
        <w:t xml:space="preserve">(9,99) </w:t>
      </w:r>
      <w:r w:rsidR="00AE4309" w:rsidRPr="008072C7">
        <w:rPr>
          <w:rFonts w:ascii="Arial" w:hAnsi="Arial" w:cs="Arial"/>
          <w:color w:val="000000" w:themeColor="text1"/>
          <w:sz w:val="20"/>
          <w:szCs w:val="20"/>
        </w:rPr>
        <w:t>= 19.072, p&lt;0.01, d=0.63)</w:t>
      </w:r>
      <w:r w:rsidR="00627AB3" w:rsidRPr="008072C7">
        <w:rPr>
          <w:rFonts w:ascii="Arial" w:hAnsi="Arial" w:cs="Arial"/>
          <w:color w:val="000000" w:themeColor="text1"/>
          <w:sz w:val="20"/>
          <w:szCs w:val="20"/>
        </w:rPr>
        <w:t xml:space="preserve"> (Figure 3)</w:t>
      </w:r>
      <w:r w:rsidR="00AE4309" w:rsidRPr="008072C7">
        <w:rPr>
          <w:rFonts w:ascii="Arial" w:hAnsi="Arial" w:cs="Arial"/>
          <w:color w:val="000000" w:themeColor="text1"/>
          <w:sz w:val="20"/>
          <w:szCs w:val="20"/>
        </w:rPr>
        <w:t>. After set 1, compared to LLRE muscle discomfort was greater in BFR40 (p&lt;0.01, d=0.35) and BFR80 (p&lt;0.01, d=0.39). Muscle discomfort was greater in BFR80 compared to HLRE (p&lt;0.01, d=0.32).</w:t>
      </w:r>
      <w:r w:rsidR="006678DF" w:rsidRPr="008072C7">
        <w:rPr>
          <w:rFonts w:ascii="Arial" w:hAnsi="Arial" w:cs="Arial"/>
          <w:color w:val="000000" w:themeColor="text1"/>
          <w:sz w:val="20"/>
          <w:szCs w:val="20"/>
        </w:rPr>
        <w:t xml:space="preserve"> After set 2, compared to LLRE muscle discomfort was greater in BFR40 (p&lt;0.01, d=0.48) and BFR80 (p&lt;0.01, d=0.55). Muscle discomfort was greater in BFR40 (p&lt;0.01, d=0.46) and BFR80 (p&lt;0.01, d=0.57) compared to HLRE. Muscle discomfort was greater in BFR80 compared to BFR40 (p&lt;0.01, d=0.36). After set 3, compared to LLRE muscle discomfort was</w:t>
      </w:r>
      <w:r w:rsidR="00D11265" w:rsidRPr="008072C7">
        <w:rPr>
          <w:rFonts w:ascii="Arial" w:hAnsi="Arial" w:cs="Arial"/>
          <w:color w:val="000000" w:themeColor="text1"/>
          <w:sz w:val="20"/>
          <w:szCs w:val="20"/>
        </w:rPr>
        <w:t xml:space="preserve"> </w:t>
      </w:r>
      <w:r w:rsidR="006678DF" w:rsidRPr="008072C7">
        <w:rPr>
          <w:rFonts w:ascii="Arial" w:hAnsi="Arial" w:cs="Arial"/>
          <w:color w:val="000000" w:themeColor="text1"/>
          <w:sz w:val="20"/>
          <w:szCs w:val="20"/>
        </w:rPr>
        <w:t>greater in BFR40 (p&lt;0.01, d=0.53) and BFR80 (p&lt;0.01, d=0.69). Muscle discomfort was greater in BFR40 (p&lt;0.01, d=0.50) and BFR80 (p&lt;0.01, d=0.59) compared to HLRE. Muscle discomfort was</w:t>
      </w:r>
      <w:r w:rsidR="00D11265" w:rsidRPr="008072C7">
        <w:rPr>
          <w:rFonts w:ascii="Arial" w:hAnsi="Arial" w:cs="Arial"/>
          <w:color w:val="000000" w:themeColor="text1"/>
          <w:sz w:val="20"/>
          <w:szCs w:val="20"/>
        </w:rPr>
        <w:t xml:space="preserve"> g</w:t>
      </w:r>
      <w:r w:rsidR="006678DF" w:rsidRPr="008072C7">
        <w:rPr>
          <w:rFonts w:ascii="Arial" w:hAnsi="Arial" w:cs="Arial"/>
          <w:color w:val="000000" w:themeColor="text1"/>
          <w:sz w:val="20"/>
          <w:szCs w:val="20"/>
        </w:rPr>
        <w:t>reater in BFR80 compared to BFR40 (p&lt;0.01, d=0.48). After set 4, compared to LLRE muscle discomfort was greater in BFR40 (p&lt;0.01, d=0.71) and BFR80 (p&lt;0.01, d=0.82). Muscle discomfort was greater in BFR40 (p&lt;0.01, d=0.59) and BFR80 (p&lt;0.01, d=0.66) compared to HLRE. Muscle discomfort was greater in BFR80 compared to BFR40 (p&lt;0.01, d=0.59).</w:t>
      </w:r>
    </w:p>
    <w:p w14:paraId="396586AA" w14:textId="35A2BDAF" w:rsidR="00413413" w:rsidRPr="008072C7" w:rsidRDefault="00413413" w:rsidP="00476D7D">
      <w:pPr>
        <w:pStyle w:val="Heading2"/>
        <w:rPr>
          <w:rFonts w:ascii="Arial" w:hAnsi="Arial" w:cs="Arial"/>
          <w:sz w:val="20"/>
          <w:szCs w:val="20"/>
        </w:rPr>
      </w:pPr>
      <w:r w:rsidRPr="008072C7">
        <w:rPr>
          <w:rFonts w:ascii="Arial" w:hAnsi="Arial" w:cs="Arial"/>
          <w:sz w:val="20"/>
          <w:szCs w:val="20"/>
        </w:rPr>
        <w:t>Plasma BE</w:t>
      </w:r>
      <w:r w:rsidR="00AE33EB" w:rsidRPr="008072C7">
        <w:rPr>
          <w:rFonts w:ascii="Arial" w:hAnsi="Arial" w:cs="Arial"/>
          <w:sz w:val="20"/>
          <w:szCs w:val="20"/>
        </w:rPr>
        <w:t xml:space="preserve"> and 2AG</w:t>
      </w:r>
      <w:r w:rsidRPr="008072C7">
        <w:rPr>
          <w:rFonts w:ascii="Arial" w:hAnsi="Arial" w:cs="Arial"/>
          <w:sz w:val="20"/>
          <w:szCs w:val="20"/>
        </w:rPr>
        <w:t xml:space="preserve"> </w:t>
      </w:r>
      <w:r w:rsidR="00F86F57" w:rsidRPr="008072C7">
        <w:rPr>
          <w:rFonts w:ascii="Arial" w:hAnsi="Arial" w:cs="Arial"/>
          <w:sz w:val="20"/>
          <w:szCs w:val="20"/>
        </w:rPr>
        <w:t>level</w:t>
      </w:r>
      <w:r w:rsidR="00AE33EB" w:rsidRPr="008072C7">
        <w:rPr>
          <w:rFonts w:ascii="Arial" w:hAnsi="Arial" w:cs="Arial"/>
          <w:sz w:val="20"/>
          <w:szCs w:val="20"/>
        </w:rPr>
        <w:t>s</w:t>
      </w:r>
    </w:p>
    <w:p w14:paraId="183AF609" w14:textId="0A66B054" w:rsidR="00413413" w:rsidRPr="008072C7" w:rsidRDefault="00A828A1"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There </w:t>
      </w:r>
      <w:r w:rsidR="00B505ED" w:rsidRPr="008072C7">
        <w:rPr>
          <w:rFonts w:ascii="Arial" w:hAnsi="Arial" w:cs="Arial"/>
          <w:color w:val="000000" w:themeColor="text1"/>
          <w:sz w:val="20"/>
          <w:szCs w:val="20"/>
        </w:rPr>
        <w:t xml:space="preserve">were </w:t>
      </w:r>
      <w:r w:rsidRPr="008072C7">
        <w:rPr>
          <w:rFonts w:ascii="Arial" w:hAnsi="Arial" w:cs="Arial"/>
          <w:color w:val="000000" w:themeColor="text1"/>
          <w:sz w:val="20"/>
          <w:szCs w:val="20"/>
        </w:rPr>
        <w:t xml:space="preserve">no changes in plasma volume following exercise across all trials (all p&lt;0.05). </w:t>
      </w:r>
      <w:r w:rsidR="00413413" w:rsidRPr="008072C7">
        <w:rPr>
          <w:rFonts w:ascii="Arial" w:hAnsi="Arial" w:cs="Arial"/>
          <w:color w:val="000000" w:themeColor="text1"/>
          <w:sz w:val="20"/>
          <w:szCs w:val="20"/>
        </w:rPr>
        <w:t>There was a two-way interaction for BE (</w:t>
      </w:r>
      <w:r w:rsidR="00413413" w:rsidRPr="008072C7">
        <w:rPr>
          <w:rFonts w:ascii="Arial" w:hAnsi="Arial" w:cs="Arial"/>
          <w:i/>
          <w:iCs/>
          <w:color w:val="000000" w:themeColor="text1"/>
          <w:sz w:val="20"/>
          <w:szCs w:val="20"/>
        </w:rPr>
        <w:t xml:space="preserve">F </w:t>
      </w:r>
      <w:r w:rsidR="00413413" w:rsidRPr="008072C7">
        <w:rPr>
          <w:rFonts w:ascii="Arial" w:hAnsi="Arial" w:cs="Arial"/>
          <w:color w:val="000000" w:themeColor="text1"/>
          <w:sz w:val="20"/>
          <w:szCs w:val="20"/>
          <w:vertAlign w:val="subscript"/>
        </w:rPr>
        <w:t>(1</w:t>
      </w:r>
      <w:r w:rsidR="00EB244A" w:rsidRPr="008072C7">
        <w:rPr>
          <w:rFonts w:ascii="Arial" w:hAnsi="Arial" w:cs="Arial"/>
          <w:color w:val="000000" w:themeColor="text1"/>
          <w:sz w:val="20"/>
          <w:szCs w:val="20"/>
          <w:vertAlign w:val="subscript"/>
        </w:rPr>
        <w:t>.</w:t>
      </w:r>
      <w:r w:rsidR="00413413" w:rsidRPr="008072C7">
        <w:rPr>
          <w:rFonts w:ascii="Arial" w:hAnsi="Arial" w:cs="Arial"/>
          <w:color w:val="000000" w:themeColor="text1"/>
          <w:sz w:val="20"/>
          <w:szCs w:val="20"/>
          <w:vertAlign w:val="subscript"/>
        </w:rPr>
        <w:t xml:space="preserve">545,16.991) </w:t>
      </w:r>
      <w:r w:rsidR="00413413" w:rsidRPr="008072C7">
        <w:rPr>
          <w:rFonts w:ascii="Arial" w:hAnsi="Arial" w:cs="Arial"/>
          <w:color w:val="000000" w:themeColor="text1"/>
          <w:sz w:val="20"/>
          <w:szCs w:val="20"/>
        </w:rPr>
        <w:t>= 82.552, p&lt;0.01, d=0.88). There was a</w:t>
      </w:r>
      <w:r w:rsidR="00D11265" w:rsidRPr="008072C7">
        <w:rPr>
          <w:rFonts w:ascii="Arial" w:hAnsi="Arial" w:cs="Arial"/>
          <w:color w:val="000000" w:themeColor="text1"/>
          <w:sz w:val="20"/>
          <w:szCs w:val="20"/>
        </w:rPr>
        <w:t>n</w:t>
      </w:r>
      <w:r w:rsidR="00413413" w:rsidRPr="008072C7">
        <w:rPr>
          <w:rFonts w:ascii="Arial" w:hAnsi="Arial" w:cs="Arial"/>
          <w:color w:val="000000" w:themeColor="text1"/>
          <w:sz w:val="20"/>
          <w:szCs w:val="20"/>
        </w:rPr>
        <w:t xml:space="preserve"> increase in BE at 5 min post-exercise in BFR40 (p&lt;0.01, d=0.55), BFR80 (p&lt;0.01, d=0.59) and HLRE (p&lt;0.01, d=0.24). The increase in BE was significantly greater following BFR40 (p&lt;0.01, d=0.47) and BFR80 (p&lt;0.01, d=0.49) compared to HLRE. There were no differences in BE at 24h</w:t>
      </w:r>
      <w:r w:rsidR="00674503" w:rsidRPr="008072C7">
        <w:rPr>
          <w:rFonts w:ascii="Arial" w:hAnsi="Arial" w:cs="Arial"/>
          <w:color w:val="000000" w:themeColor="text1"/>
          <w:sz w:val="20"/>
          <w:szCs w:val="20"/>
        </w:rPr>
        <w:t xml:space="preserve"> post-exercise</w:t>
      </w:r>
      <w:r w:rsidR="00413413" w:rsidRPr="008072C7">
        <w:rPr>
          <w:rFonts w:ascii="Arial" w:hAnsi="Arial" w:cs="Arial"/>
          <w:color w:val="000000" w:themeColor="text1"/>
          <w:sz w:val="20"/>
          <w:szCs w:val="20"/>
        </w:rPr>
        <w:t xml:space="preserve"> compared to pre-exercise following LLRE (p=0.72, d=0.01), BFR40 (p=0.62, d=0.01), BFR80 (p=0.47, d=0.02) and HLRE (p=0.60, d=0.01). </w:t>
      </w:r>
    </w:p>
    <w:p w14:paraId="4BDF76C8" w14:textId="5E55B56C" w:rsidR="00081B8B" w:rsidRPr="008072C7" w:rsidRDefault="00EB244A" w:rsidP="00476D7D">
      <w:pPr>
        <w:rPr>
          <w:rFonts w:ascii="Arial" w:hAnsi="Arial" w:cs="Arial"/>
          <w:color w:val="000000" w:themeColor="text1"/>
          <w:sz w:val="20"/>
          <w:szCs w:val="20"/>
        </w:rPr>
      </w:pPr>
      <w:r w:rsidRPr="008072C7">
        <w:rPr>
          <w:rFonts w:ascii="Arial" w:hAnsi="Arial" w:cs="Arial"/>
          <w:color w:val="000000" w:themeColor="text1"/>
          <w:sz w:val="20"/>
          <w:szCs w:val="20"/>
        </w:rPr>
        <w:t>There was no two-way interaction for 2AG (</w:t>
      </w:r>
      <w:r w:rsidRPr="008072C7">
        <w:rPr>
          <w:rFonts w:ascii="Arial" w:hAnsi="Arial" w:cs="Arial"/>
          <w:i/>
          <w:iCs/>
          <w:color w:val="000000" w:themeColor="text1"/>
          <w:sz w:val="20"/>
          <w:szCs w:val="20"/>
        </w:rPr>
        <w:t xml:space="preserve">F </w:t>
      </w:r>
      <w:r w:rsidRPr="008072C7">
        <w:rPr>
          <w:rFonts w:ascii="Arial" w:hAnsi="Arial" w:cs="Arial"/>
          <w:color w:val="000000" w:themeColor="text1"/>
          <w:sz w:val="20"/>
          <w:szCs w:val="20"/>
          <w:vertAlign w:val="subscript"/>
        </w:rPr>
        <w:t xml:space="preserve">(1.679,18.472) </w:t>
      </w:r>
      <w:r w:rsidRPr="008072C7">
        <w:rPr>
          <w:rFonts w:ascii="Arial" w:hAnsi="Arial" w:cs="Arial"/>
          <w:color w:val="000000" w:themeColor="text1"/>
          <w:sz w:val="20"/>
          <w:szCs w:val="20"/>
        </w:rPr>
        <w:t>= 0.640, p=0.698, d=0.06).</w:t>
      </w:r>
      <w:r w:rsidR="00AD60A7"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There were no</w:t>
      </w:r>
      <w:r w:rsidR="00D11265"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changes in 2AG across timepoints in any condition (all p&gt;0.05, d range = 0.01-0.06) except for HLRE, where 2AG level at 24h post-exercise was lower compared to pre-exercise (p&lt;0.0</w:t>
      </w:r>
      <w:r w:rsidR="00124220" w:rsidRPr="008072C7">
        <w:rPr>
          <w:rFonts w:ascii="Arial" w:hAnsi="Arial" w:cs="Arial"/>
          <w:color w:val="000000" w:themeColor="text1"/>
          <w:sz w:val="20"/>
          <w:szCs w:val="20"/>
        </w:rPr>
        <w:t>5</w:t>
      </w:r>
      <w:r w:rsidRPr="008072C7">
        <w:rPr>
          <w:rFonts w:ascii="Arial" w:hAnsi="Arial" w:cs="Arial"/>
          <w:color w:val="000000" w:themeColor="text1"/>
          <w:sz w:val="20"/>
          <w:szCs w:val="20"/>
        </w:rPr>
        <w:t>, d=0.1)</w:t>
      </w:r>
      <w:r w:rsidR="00B505ED" w:rsidRPr="008072C7">
        <w:rPr>
          <w:rFonts w:ascii="Arial" w:hAnsi="Arial" w:cs="Arial"/>
          <w:color w:val="000000" w:themeColor="text1"/>
          <w:sz w:val="20"/>
          <w:szCs w:val="20"/>
        </w:rPr>
        <w:t>.</w:t>
      </w:r>
    </w:p>
    <w:p w14:paraId="615761EF" w14:textId="77777777" w:rsidR="00A902D4" w:rsidRPr="008072C7" w:rsidRDefault="00A902D4" w:rsidP="00E64C69">
      <w:pPr>
        <w:rPr>
          <w:rFonts w:ascii="Arial" w:eastAsia="Calibri" w:hAnsi="Arial" w:cs="Arial"/>
          <w:b/>
          <w:bCs/>
          <w:color w:val="000000" w:themeColor="text1"/>
          <w:sz w:val="20"/>
          <w:szCs w:val="20"/>
        </w:rPr>
      </w:pPr>
    </w:p>
    <w:p w14:paraId="25016DB7" w14:textId="1AC3B730" w:rsidR="00E64C69" w:rsidRPr="008072C7" w:rsidRDefault="00E64C69" w:rsidP="00E64C69">
      <w:pPr>
        <w:rPr>
          <w:rFonts w:ascii="Arial" w:eastAsia="Calibri" w:hAnsi="Arial" w:cs="Arial"/>
          <w:b/>
          <w:bCs/>
          <w:color w:val="000000" w:themeColor="text1"/>
          <w:sz w:val="20"/>
          <w:szCs w:val="20"/>
        </w:rPr>
      </w:pPr>
      <w:r w:rsidRPr="008072C7">
        <w:rPr>
          <w:rFonts w:ascii="Arial" w:eastAsia="Calibri" w:hAnsi="Arial" w:cs="Arial"/>
          <w:b/>
          <w:bCs/>
          <w:color w:val="000000" w:themeColor="text1"/>
          <w:sz w:val="20"/>
          <w:szCs w:val="20"/>
        </w:rPr>
        <w:lastRenderedPageBreak/>
        <w:t>Mediation analyses</w:t>
      </w:r>
    </w:p>
    <w:p w14:paraId="7404ED88" w14:textId="72918CBE" w:rsidR="00E64C69" w:rsidRPr="008072C7" w:rsidRDefault="00E64C69" w:rsidP="00476D7D">
      <w:pPr>
        <w:rPr>
          <w:rFonts w:ascii="Arial" w:eastAsia="Calibri" w:hAnsi="Arial" w:cs="Arial"/>
          <w:color w:val="000000" w:themeColor="text1"/>
          <w:sz w:val="20"/>
          <w:szCs w:val="20"/>
        </w:rPr>
        <w:sectPr w:rsidR="00E64C69" w:rsidRPr="008072C7" w:rsidSect="00AA6C48">
          <w:pgSz w:w="11900" w:h="16840"/>
          <w:pgMar w:top="1440" w:right="1440" w:bottom="1440" w:left="1440" w:header="708" w:footer="708" w:gutter="0"/>
          <w:lnNumType w:countBy="1" w:restart="continuous"/>
          <w:cols w:space="708"/>
          <w:docGrid w:linePitch="360"/>
        </w:sectPr>
      </w:pPr>
      <w:r w:rsidRPr="008072C7">
        <w:rPr>
          <w:rFonts w:ascii="Arial" w:eastAsia="Calibri" w:hAnsi="Arial" w:cs="Arial"/>
          <w:color w:val="000000" w:themeColor="text1"/>
          <w:sz w:val="20"/>
          <w:szCs w:val="20"/>
        </w:rPr>
        <w:t>For beta-endorphin, the bootstrap CI for estimate of the coefficient for the indirect effect of beta-endorphin on change in PPT with exercise was above zero for the BFR40, BFR80 and HLRE trials, indicating a statistically significant mediation (Table 3). The model analyses suggest that plasma beta-endorphin mediates approximately 42% of the total effect of exercise intervention on change in PPT. As repeated measures ANOVA demonstrated no significant within- or between-group changes in 2AG concentration, mediation analyses were not run for this mediator due to the lack of variance. For muscle discomfort, the bootstrap CI for estimate of the coefficient for the indirect effect of muscle discomfort on change in PPT with exercise was above zero for the BFR40 and BFR80 trials, indicating a statistically significant mediation (Table 3). The model analyses suggest that muscle discomfort mediates approximately 58% of the total effect of BFR exercise on change in PPT.</w:t>
      </w:r>
    </w:p>
    <w:p w14:paraId="6DF5E7A6" w14:textId="77777777" w:rsidR="003151B8" w:rsidRPr="008072C7" w:rsidRDefault="00673CE3" w:rsidP="00476D7D">
      <w:pPr>
        <w:pStyle w:val="Header"/>
        <w:rPr>
          <w:rFonts w:ascii="Arial" w:hAnsi="Arial" w:cs="Arial"/>
          <w:color w:val="000000" w:themeColor="text1"/>
          <w:sz w:val="20"/>
          <w:szCs w:val="20"/>
        </w:rPr>
      </w:pPr>
      <w:r w:rsidRPr="008072C7">
        <w:rPr>
          <w:rFonts w:ascii="Arial" w:hAnsi="Arial" w:cs="Arial"/>
          <w:color w:val="000000" w:themeColor="text1"/>
          <w:sz w:val="20"/>
          <w:szCs w:val="20"/>
        </w:rPr>
        <w:lastRenderedPageBreak/>
        <w:t>Discussio</w:t>
      </w:r>
      <w:r w:rsidR="003151B8" w:rsidRPr="008072C7">
        <w:rPr>
          <w:rFonts w:ascii="Arial" w:hAnsi="Arial" w:cs="Arial"/>
          <w:color w:val="000000" w:themeColor="text1"/>
          <w:sz w:val="20"/>
          <w:szCs w:val="20"/>
        </w:rPr>
        <w:t>n</w:t>
      </w:r>
    </w:p>
    <w:p w14:paraId="6CCB6090" w14:textId="05400A71" w:rsidR="00383442" w:rsidRPr="008072C7" w:rsidRDefault="003151B8" w:rsidP="00476D7D">
      <w:pPr>
        <w:rPr>
          <w:rFonts w:ascii="Arial" w:hAnsi="Arial" w:cs="Arial"/>
          <w:color w:val="000000" w:themeColor="text1"/>
          <w:sz w:val="20"/>
          <w:szCs w:val="20"/>
        </w:rPr>
      </w:pPr>
      <w:r w:rsidRPr="008072C7">
        <w:rPr>
          <w:rFonts w:ascii="Arial" w:hAnsi="Arial" w:cs="Arial"/>
          <w:color w:val="000000" w:themeColor="text1"/>
          <w:sz w:val="20"/>
          <w:szCs w:val="20"/>
        </w:rPr>
        <w:t>There are several novel findings in the present study.</w:t>
      </w:r>
      <w:r w:rsidR="004E5ABD">
        <w:rPr>
          <w:rFonts w:ascii="Arial" w:hAnsi="Arial" w:cs="Arial"/>
          <w:color w:val="000000" w:themeColor="text1"/>
          <w:sz w:val="20"/>
          <w:szCs w:val="20"/>
        </w:rPr>
        <w:t xml:space="preserve"> </w:t>
      </w:r>
      <w:r w:rsidR="0037426D">
        <w:rPr>
          <w:rFonts w:ascii="Arial" w:hAnsi="Arial" w:cs="Arial"/>
          <w:color w:val="000000" w:themeColor="text1"/>
          <w:sz w:val="20"/>
          <w:szCs w:val="20"/>
        </w:rPr>
        <w:t xml:space="preserve">Both low and high pressure BFR and HLRE augmented the increase in pain threshold in the exercising limb compared to LLRE (26-48% vs 10%). High pressure BFR resulted in the greatest increase in PPT in the exercising limb (48%). </w:t>
      </w:r>
      <w:r w:rsidR="00437D55" w:rsidRPr="008072C7">
        <w:rPr>
          <w:rFonts w:ascii="Arial" w:hAnsi="Arial" w:cs="Arial"/>
          <w:color w:val="000000" w:themeColor="text1"/>
          <w:sz w:val="20"/>
          <w:szCs w:val="20"/>
        </w:rPr>
        <w:t>A systemic effect was observed to less extent than the exercising limb, which was comparable to HLRE</w:t>
      </w:r>
      <w:r w:rsidR="002A0F57" w:rsidRPr="008072C7">
        <w:rPr>
          <w:rFonts w:ascii="Arial" w:hAnsi="Arial" w:cs="Arial"/>
          <w:color w:val="000000" w:themeColor="text1"/>
          <w:sz w:val="20"/>
          <w:szCs w:val="20"/>
        </w:rPr>
        <w:t xml:space="preserve"> (10-18%)</w:t>
      </w:r>
      <w:r w:rsidR="00437D55" w:rsidRPr="008072C7">
        <w:rPr>
          <w:rFonts w:ascii="Arial" w:hAnsi="Arial" w:cs="Arial"/>
          <w:color w:val="000000" w:themeColor="text1"/>
          <w:sz w:val="20"/>
          <w:szCs w:val="20"/>
        </w:rPr>
        <w:t xml:space="preserve"> with both low and high pressure BFR-RE</w:t>
      </w:r>
      <w:r w:rsidR="002A0F57" w:rsidRPr="008072C7">
        <w:rPr>
          <w:rFonts w:ascii="Arial" w:hAnsi="Arial" w:cs="Arial"/>
          <w:color w:val="000000" w:themeColor="text1"/>
          <w:sz w:val="20"/>
          <w:szCs w:val="20"/>
        </w:rPr>
        <w:t xml:space="preserve"> (11-17% and 11-21%, respectively)</w:t>
      </w:r>
      <w:r w:rsidR="00653E7D" w:rsidRPr="008072C7">
        <w:rPr>
          <w:rFonts w:ascii="Arial" w:hAnsi="Arial" w:cs="Arial"/>
          <w:color w:val="000000" w:themeColor="text1"/>
          <w:sz w:val="20"/>
          <w:szCs w:val="20"/>
        </w:rPr>
        <w:t xml:space="preserve">. </w:t>
      </w:r>
      <w:r w:rsidR="00467598" w:rsidRPr="008072C7">
        <w:rPr>
          <w:rFonts w:ascii="Arial" w:hAnsi="Arial" w:cs="Arial"/>
          <w:color w:val="000000" w:themeColor="text1"/>
          <w:sz w:val="20"/>
          <w:szCs w:val="20"/>
        </w:rPr>
        <w:t xml:space="preserve">Whereas </w:t>
      </w:r>
      <w:r w:rsidR="00451A6E" w:rsidRPr="008072C7">
        <w:rPr>
          <w:rFonts w:ascii="Arial" w:hAnsi="Arial" w:cs="Arial"/>
          <w:color w:val="000000" w:themeColor="text1"/>
          <w:sz w:val="20"/>
          <w:szCs w:val="20"/>
        </w:rPr>
        <w:t>PPTs</w:t>
      </w:r>
      <w:r w:rsidR="00467598" w:rsidRPr="008072C7">
        <w:rPr>
          <w:rFonts w:ascii="Arial" w:hAnsi="Arial" w:cs="Arial"/>
          <w:color w:val="000000" w:themeColor="text1"/>
          <w:sz w:val="20"/>
          <w:szCs w:val="20"/>
        </w:rPr>
        <w:t xml:space="preserve"> had returned to baseline at 24 hours following LLRE and HLRE, following </w:t>
      </w:r>
      <w:r w:rsidR="00653E7D" w:rsidRPr="008072C7">
        <w:rPr>
          <w:rFonts w:ascii="Arial" w:hAnsi="Arial" w:cs="Arial"/>
          <w:color w:val="000000" w:themeColor="text1"/>
          <w:sz w:val="20"/>
          <w:szCs w:val="20"/>
        </w:rPr>
        <w:t xml:space="preserve">low and high pressure </w:t>
      </w:r>
      <w:r w:rsidR="00467598" w:rsidRPr="008072C7">
        <w:rPr>
          <w:rFonts w:ascii="Arial" w:hAnsi="Arial" w:cs="Arial"/>
          <w:color w:val="000000" w:themeColor="text1"/>
          <w:sz w:val="20"/>
          <w:szCs w:val="20"/>
        </w:rPr>
        <w:t>BFR-RE</w:t>
      </w:r>
      <w:r w:rsidR="002F41B9" w:rsidRPr="008072C7">
        <w:rPr>
          <w:rFonts w:ascii="Arial" w:hAnsi="Arial" w:cs="Arial"/>
          <w:color w:val="000000" w:themeColor="text1"/>
          <w:sz w:val="20"/>
          <w:szCs w:val="20"/>
        </w:rPr>
        <w:t xml:space="preserve"> the PPTs were elevated relative to baseline in the exercising limb</w:t>
      </w:r>
      <w:r w:rsidR="004F1C8B" w:rsidRPr="008072C7">
        <w:rPr>
          <w:rFonts w:ascii="Arial" w:hAnsi="Arial" w:cs="Arial"/>
          <w:color w:val="000000" w:themeColor="text1"/>
          <w:sz w:val="20"/>
          <w:szCs w:val="20"/>
        </w:rPr>
        <w:t xml:space="preserve"> only</w:t>
      </w:r>
      <w:r w:rsidR="002A0F57" w:rsidRPr="008072C7">
        <w:rPr>
          <w:rFonts w:ascii="Arial" w:hAnsi="Arial" w:cs="Arial"/>
          <w:color w:val="000000" w:themeColor="text1"/>
          <w:sz w:val="20"/>
          <w:szCs w:val="20"/>
        </w:rPr>
        <w:t xml:space="preserve"> (15% and 24%, respectively)</w:t>
      </w:r>
      <w:r w:rsidR="002F41B9" w:rsidRPr="008072C7">
        <w:rPr>
          <w:rFonts w:ascii="Arial" w:hAnsi="Arial" w:cs="Arial"/>
          <w:color w:val="000000" w:themeColor="text1"/>
          <w:sz w:val="20"/>
          <w:szCs w:val="20"/>
        </w:rPr>
        <w:t>.</w:t>
      </w:r>
      <w:r w:rsidR="00653E7D" w:rsidRPr="008072C7">
        <w:rPr>
          <w:rFonts w:ascii="Arial" w:hAnsi="Arial" w:cs="Arial"/>
          <w:color w:val="000000" w:themeColor="text1"/>
          <w:sz w:val="20"/>
          <w:szCs w:val="20"/>
        </w:rPr>
        <w:t xml:space="preserve"> </w:t>
      </w:r>
      <w:r w:rsidR="00467598" w:rsidRPr="008072C7">
        <w:rPr>
          <w:rFonts w:ascii="Arial" w:hAnsi="Arial" w:cs="Arial"/>
          <w:color w:val="000000" w:themeColor="text1"/>
          <w:sz w:val="20"/>
          <w:szCs w:val="20"/>
        </w:rPr>
        <w:t>No</w:t>
      </w:r>
      <w:r w:rsidR="008741D9" w:rsidRPr="008072C7">
        <w:rPr>
          <w:rFonts w:ascii="Arial" w:hAnsi="Arial" w:cs="Arial"/>
          <w:color w:val="000000" w:themeColor="text1"/>
          <w:sz w:val="20"/>
          <w:szCs w:val="20"/>
        </w:rPr>
        <w:t xml:space="preserve"> </w:t>
      </w:r>
      <w:r w:rsidR="00467598" w:rsidRPr="008072C7">
        <w:rPr>
          <w:rFonts w:ascii="Arial" w:hAnsi="Arial" w:cs="Arial"/>
          <w:color w:val="000000" w:themeColor="text1"/>
          <w:sz w:val="20"/>
          <w:szCs w:val="20"/>
        </w:rPr>
        <w:t xml:space="preserve">alterations in circulating 2-AG concentration were </w:t>
      </w:r>
      <w:r w:rsidR="008741D9" w:rsidRPr="008072C7">
        <w:rPr>
          <w:rFonts w:ascii="Arial" w:hAnsi="Arial" w:cs="Arial"/>
          <w:color w:val="000000" w:themeColor="text1"/>
          <w:sz w:val="20"/>
          <w:szCs w:val="20"/>
        </w:rPr>
        <w:t>found</w:t>
      </w:r>
      <w:r w:rsidR="00467598" w:rsidRPr="008072C7">
        <w:rPr>
          <w:rFonts w:ascii="Arial" w:hAnsi="Arial" w:cs="Arial"/>
          <w:color w:val="000000" w:themeColor="text1"/>
          <w:sz w:val="20"/>
          <w:szCs w:val="20"/>
        </w:rPr>
        <w:t xml:space="preserve">; </w:t>
      </w:r>
      <w:r w:rsidR="00451A6E" w:rsidRPr="008072C7">
        <w:rPr>
          <w:rFonts w:ascii="Arial" w:hAnsi="Arial" w:cs="Arial"/>
          <w:color w:val="000000" w:themeColor="text1"/>
          <w:sz w:val="20"/>
          <w:szCs w:val="20"/>
        </w:rPr>
        <w:t>however</w:t>
      </w:r>
      <w:r w:rsidR="00467598" w:rsidRPr="008072C7">
        <w:rPr>
          <w:rFonts w:ascii="Arial" w:hAnsi="Arial" w:cs="Arial"/>
          <w:color w:val="000000" w:themeColor="text1"/>
          <w:sz w:val="20"/>
          <w:szCs w:val="20"/>
        </w:rPr>
        <w:t xml:space="preserve">, post-exercise BE concentration </w:t>
      </w:r>
      <w:r w:rsidR="008741D9" w:rsidRPr="008072C7">
        <w:rPr>
          <w:rFonts w:ascii="Arial" w:hAnsi="Arial" w:cs="Arial"/>
          <w:color w:val="000000" w:themeColor="text1"/>
          <w:sz w:val="20"/>
          <w:szCs w:val="20"/>
        </w:rPr>
        <w:t>was increased</w:t>
      </w:r>
      <w:r w:rsidR="00467598" w:rsidRPr="008072C7">
        <w:rPr>
          <w:rFonts w:ascii="Arial" w:hAnsi="Arial" w:cs="Arial"/>
          <w:color w:val="000000" w:themeColor="text1"/>
          <w:sz w:val="20"/>
          <w:szCs w:val="20"/>
        </w:rPr>
        <w:t xml:space="preserve"> for </w:t>
      </w:r>
      <w:r w:rsidR="002F41B9" w:rsidRPr="008072C7">
        <w:rPr>
          <w:rFonts w:ascii="Arial" w:hAnsi="Arial" w:cs="Arial"/>
          <w:color w:val="000000" w:themeColor="text1"/>
          <w:sz w:val="20"/>
          <w:szCs w:val="20"/>
        </w:rPr>
        <w:t xml:space="preserve">both </w:t>
      </w:r>
      <w:r w:rsidR="008741D9" w:rsidRPr="008072C7">
        <w:rPr>
          <w:rFonts w:ascii="Arial" w:hAnsi="Arial" w:cs="Arial"/>
          <w:color w:val="000000" w:themeColor="text1"/>
          <w:sz w:val="20"/>
          <w:szCs w:val="20"/>
        </w:rPr>
        <w:t>low</w:t>
      </w:r>
      <w:r w:rsidR="002A0F57" w:rsidRPr="008072C7">
        <w:rPr>
          <w:rFonts w:ascii="Arial" w:hAnsi="Arial" w:cs="Arial"/>
          <w:color w:val="000000" w:themeColor="text1"/>
          <w:sz w:val="20"/>
          <w:szCs w:val="20"/>
        </w:rPr>
        <w:t xml:space="preserve"> (21%)</w:t>
      </w:r>
      <w:r w:rsidR="008741D9" w:rsidRPr="008072C7">
        <w:rPr>
          <w:rFonts w:ascii="Arial" w:hAnsi="Arial" w:cs="Arial"/>
          <w:color w:val="000000" w:themeColor="text1"/>
          <w:sz w:val="20"/>
          <w:szCs w:val="20"/>
        </w:rPr>
        <w:t xml:space="preserve"> and high </w:t>
      </w:r>
      <w:r w:rsidR="002A0F57" w:rsidRPr="008072C7">
        <w:rPr>
          <w:rFonts w:ascii="Arial" w:hAnsi="Arial" w:cs="Arial"/>
          <w:color w:val="000000" w:themeColor="text1"/>
          <w:sz w:val="20"/>
          <w:szCs w:val="20"/>
        </w:rPr>
        <w:t xml:space="preserve">(23%) </w:t>
      </w:r>
      <w:r w:rsidR="008741D9" w:rsidRPr="008072C7">
        <w:rPr>
          <w:rFonts w:ascii="Arial" w:hAnsi="Arial" w:cs="Arial"/>
          <w:color w:val="000000" w:themeColor="text1"/>
          <w:sz w:val="20"/>
          <w:szCs w:val="20"/>
        </w:rPr>
        <w:t xml:space="preserve">pressure </w:t>
      </w:r>
      <w:r w:rsidR="00467598" w:rsidRPr="008072C7">
        <w:rPr>
          <w:rFonts w:ascii="Arial" w:hAnsi="Arial" w:cs="Arial"/>
          <w:color w:val="000000" w:themeColor="text1"/>
          <w:sz w:val="20"/>
          <w:szCs w:val="20"/>
        </w:rPr>
        <w:t>BFR-RE</w:t>
      </w:r>
      <w:r w:rsidR="002F41B9" w:rsidRPr="008072C7">
        <w:rPr>
          <w:rFonts w:ascii="Arial" w:hAnsi="Arial" w:cs="Arial"/>
          <w:color w:val="000000" w:themeColor="text1"/>
          <w:sz w:val="20"/>
          <w:szCs w:val="20"/>
        </w:rPr>
        <w:t xml:space="preserve"> conditions</w:t>
      </w:r>
      <w:r w:rsidR="00467598" w:rsidRPr="008072C7">
        <w:rPr>
          <w:rFonts w:ascii="Arial" w:hAnsi="Arial" w:cs="Arial"/>
          <w:color w:val="000000" w:themeColor="text1"/>
          <w:sz w:val="20"/>
          <w:szCs w:val="20"/>
        </w:rPr>
        <w:t xml:space="preserve"> compared to LLRE</w:t>
      </w:r>
      <w:r w:rsidR="002A0F57" w:rsidRPr="008072C7">
        <w:rPr>
          <w:rFonts w:ascii="Arial" w:hAnsi="Arial" w:cs="Arial"/>
          <w:color w:val="000000" w:themeColor="text1"/>
          <w:sz w:val="20"/>
          <w:szCs w:val="20"/>
        </w:rPr>
        <w:t xml:space="preserve"> (0.4%)</w:t>
      </w:r>
      <w:r w:rsidR="00467598" w:rsidRPr="008072C7">
        <w:rPr>
          <w:rFonts w:ascii="Arial" w:hAnsi="Arial" w:cs="Arial"/>
          <w:color w:val="000000" w:themeColor="text1"/>
          <w:sz w:val="20"/>
          <w:szCs w:val="20"/>
        </w:rPr>
        <w:t xml:space="preserve"> and HLRE</w:t>
      </w:r>
      <w:r w:rsidR="002A0F57" w:rsidRPr="008072C7">
        <w:rPr>
          <w:rFonts w:ascii="Arial" w:hAnsi="Arial" w:cs="Arial"/>
          <w:color w:val="000000" w:themeColor="text1"/>
          <w:sz w:val="20"/>
          <w:szCs w:val="20"/>
        </w:rPr>
        <w:t xml:space="preserve"> (5%)</w:t>
      </w:r>
      <w:r w:rsidR="001D1AE3" w:rsidRPr="008072C7">
        <w:rPr>
          <w:rFonts w:ascii="Arial" w:hAnsi="Arial" w:cs="Arial"/>
          <w:color w:val="000000" w:themeColor="text1"/>
          <w:sz w:val="20"/>
          <w:szCs w:val="20"/>
        </w:rPr>
        <w:t>.</w:t>
      </w:r>
      <w:r w:rsidR="00451A6E" w:rsidRPr="008072C7">
        <w:rPr>
          <w:rFonts w:ascii="Arial" w:hAnsi="Arial" w:cs="Arial"/>
          <w:color w:val="000000" w:themeColor="text1"/>
          <w:sz w:val="20"/>
          <w:szCs w:val="20"/>
        </w:rPr>
        <w:t xml:space="preserve"> Finally,</w:t>
      </w:r>
      <w:r w:rsidR="008741D9" w:rsidRPr="008072C7">
        <w:rPr>
          <w:rFonts w:ascii="Arial" w:hAnsi="Arial" w:cs="Arial"/>
          <w:color w:val="000000" w:themeColor="text1"/>
          <w:sz w:val="20"/>
          <w:szCs w:val="20"/>
        </w:rPr>
        <w:t xml:space="preserve"> </w:t>
      </w:r>
      <w:r w:rsidR="005D4B97" w:rsidRPr="008072C7">
        <w:rPr>
          <w:rFonts w:ascii="Arial" w:hAnsi="Arial" w:cs="Arial"/>
          <w:color w:val="000000" w:themeColor="text1"/>
          <w:sz w:val="20"/>
          <w:szCs w:val="20"/>
        </w:rPr>
        <w:t>beta-endorphin and muscle discomfort were found to mediate the relationship between exercise intervention and change in PPT.</w:t>
      </w:r>
    </w:p>
    <w:p w14:paraId="41D79D3A" w14:textId="69A0E74A" w:rsidR="003247BB" w:rsidRPr="008072C7" w:rsidRDefault="002F41B9" w:rsidP="00476D7D">
      <w:pPr>
        <w:rPr>
          <w:rFonts w:ascii="Arial" w:hAnsi="Arial" w:cs="Arial"/>
          <w:color w:val="000000" w:themeColor="text1"/>
          <w:sz w:val="20"/>
          <w:szCs w:val="20"/>
        </w:rPr>
      </w:pPr>
      <w:r w:rsidRPr="008072C7">
        <w:rPr>
          <w:rFonts w:ascii="Arial" w:hAnsi="Arial" w:cs="Arial"/>
          <w:color w:val="000000" w:themeColor="text1"/>
          <w:sz w:val="20"/>
          <w:szCs w:val="20"/>
        </w:rPr>
        <w:t>In the present study the</w:t>
      </w:r>
      <w:r w:rsidR="002D0E3A" w:rsidRPr="008072C7">
        <w:rPr>
          <w:rFonts w:ascii="Arial" w:hAnsi="Arial" w:cs="Arial"/>
          <w:color w:val="000000" w:themeColor="text1"/>
          <w:sz w:val="20"/>
          <w:szCs w:val="20"/>
        </w:rPr>
        <w:t>re was an</w:t>
      </w:r>
      <w:r w:rsidR="00451A6E" w:rsidRPr="008072C7">
        <w:rPr>
          <w:rFonts w:ascii="Arial" w:hAnsi="Arial" w:cs="Arial"/>
          <w:color w:val="000000" w:themeColor="text1"/>
          <w:sz w:val="20"/>
          <w:szCs w:val="20"/>
        </w:rPr>
        <w:t xml:space="preserve"> increase in PPT in exercising and non-exercising muscle</w:t>
      </w:r>
      <w:r w:rsidR="00E30A26" w:rsidRPr="008072C7">
        <w:rPr>
          <w:rFonts w:ascii="Arial" w:hAnsi="Arial" w:cs="Arial"/>
          <w:color w:val="000000" w:themeColor="text1"/>
          <w:sz w:val="20"/>
          <w:szCs w:val="20"/>
        </w:rPr>
        <w:t>s</w:t>
      </w:r>
      <w:r w:rsidR="00451A6E" w:rsidRPr="008072C7">
        <w:rPr>
          <w:rFonts w:ascii="Arial" w:hAnsi="Arial" w:cs="Arial"/>
          <w:color w:val="000000" w:themeColor="text1"/>
          <w:sz w:val="20"/>
          <w:szCs w:val="20"/>
        </w:rPr>
        <w:t xml:space="preserve"> across all </w:t>
      </w:r>
      <w:r w:rsidR="00E30A26" w:rsidRPr="008072C7">
        <w:rPr>
          <w:rFonts w:ascii="Arial" w:hAnsi="Arial" w:cs="Arial"/>
          <w:color w:val="000000" w:themeColor="text1"/>
          <w:sz w:val="20"/>
          <w:szCs w:val="20"/>
        </w:rPr>
        <w:t xml:space="preserve">exercise </w:t>
      </w:r>
      <w:r w:rsidR="00451A6E" w:rsidRPr="008072C7">
        <w:rPr>
          <w:rFonts w:ascii="Arial" w:hAnsi="Arial" w:cs="Arial"/>
          <w:color w:val="000000" w:themeColor="text1"/>
          <w:sz w:val="20"/>
          <w:szCs w:val="20"/>
        </w:rPr>
        <w:t>conditions</w:t>
      </w:r>
      <w:r w:rsidR="00D442D5" w:rsidRPr="008072C7">
        <w:rPr>
          <w:rFonts w:ascii="Arial" w:hAnsi="Arial" w:cs="Arial"/>
          <w:color w:val="000000" w:themeColor="text1"/>
          <w:sz w:val="20"/>
          <w:szCs w:val="20"/>
        </w:rPr>
        <w:t xml:space="preserve"> </w:t>
      </w:r>
      <w:r w:rsidR="009777DE"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{"citationItems":[{"id":"ITEM-1","itemData":{"DOI":"10.1093/pm/pny087","author":[{"dropping-particle":"","family":"Vaegter","given":"Henrik Bjarke","non-dropping-particle":"","parse-names":false,"suffix":""},{"dropping-particle":"","family":"Lyng","given":"Kristian Damgaard","non-dropping-particle":"","parse-names":false,"suffix":""},{"dropping-particle":"","family":"Yttereng","given":"Fredrik Wannaebo","non-dropping-particle":"","parse-names":false,"suffix":""},{"dropping-particle":"","family":"Christensen","given":"Mads Holst","non-dropping-particle":"","parse-names":false,"suffix":""},{"dropping-particle":"","family":"Sørensen","given":"Mathias Brandhøj","non-dropping-particle":"","parse-names":false,"suffix":""},{"dropping-particle":"","family":"Graven-Nielsen","given":"Thomas","non-dropping-particle":"","parse-names":false,"suffix":""}],"container-title":"Pain Medicine","id":"ITEM-1","issued":{"date-parts":[["2019"]]},"page":"129-137","title":"Exercise-Induced Hypoalgesia After Isometric Wall Squat Exercise: A Test-Retest Reliabilty Study","type":"article-journal","volume":"20"},"uris":["http://www.mendeley.com/documents/?uuid=13bcaea6-2ed5-4102-9872-fe7f32e48803"]},{"id":"ITEM-2","itemData":{"DOI":"10.1093/pm/pny009","author":[{"dropping-particle":"","family":"Vaegter","given":"Henrik Bjarke","non-dropping-particle":"","parse-names":false,"suffix":""},{"dropping-particle":"","family":"Bandholtz","given":"Daniel","non-dropping-particle":"","parse-names":false,"suffix":""},{"dropping-particle":"","family":"Schmidt","given":"Kristian Sonne","non-dropping-particle":"","parse-names":false,"suffix":""}],"id":"ITEM-2","issued":{"date-parts":[["2018"]]},"page":"2212-2222","title":"Test-Retest Reliabilty of Exercise-Induced Hypoalgesia After Aerobic Exercise","type":"article-journal"},"uris":["http://www.mendeley.com/documents/?uuid=31488ee1-0fb4-4bd0-9ace-832ae20dcfc4"]},{"id":"ITEM-3","itemData":{"DOI":"10.1016/j.pain.2013.09.023","ISSN":"03043959","abstract":"Pain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-3","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humans","type":"article-journal","volume":"155"},"uris":["http://www.mendeley.com/documents/?uuid=bcdda900-a48b-4fdf-9f12-6bd82a0db598"]},{"id":"ITEM-4","itemData":{"DOI":"10.1007/s00421-018-4002-0","ISBN":"0042101840","ISSN":"1439-6327","abstract":"Purpose Exercise decreases pain sensitivity known as exercise-induced hypoalgesia (EIH). However, the consistency of EIH after an acute exercise protocol based on subjective ratings of perceived exertion has been questioned. Objectives were to compare the effect on pressure pain thresholds (PPTs) after bicycling with work-rate at the lactate threshold compared with quiet rest, and investigate between-session reliability of EIH. Methods Thirty-four healthy subjects completed three sessions with 7 days in-between. In session 1, the lactate threshold was determined via blood samples (finger-tip pinprick, &gt; 2 mmol/l increase from warm-up) during a graded bicycling task. In session 2 and 3, all subjects performed (1) 15 min quiet-rest, and (2) 15 min bicycling (work-rate corresponding to the lactate threshold) in the two identical sessions. PPTs at the quadriceps and trapezius muscles were assessed before and after both conditions. Reliability was assessed by intraclass correlations (ICCs). Results Bicycling increased quadriceps PPT compared with quiet-rest in both sessions [mean difference: 45 kPa (95% CI 19–72 kPa), P = 0.002]; however, the increase in trapezius PPT was not significant after exercise. The EIH responses demon- strated fair between-session test–retest reliability (quadriceps: ICC = 0.45; trapezius: ICC = 0.57, P &lt; 0.05), and agreement in EIH responders and non-responders between sessions was significant (quadriceps: κ = 0.46 and trapezius: κ = 0.43, P &lt; 0.05). Conclusions In conclusion, bicycling at the lactate threshold increased PPT at the exercising muscle with fair reliability of the local EIH response. The results have implications for future EIH studies in subjects with and without pain and for clini- cians who design exercise programs for pain relief.","author":[{"dropping-particle":"","family":"Vaegter","given":"Henrik Bjarke","non-dropping-particle":"","parse-names":false,"suffix":""},{"dropping-particle":"","family":"Kathrine","given":"Louise","non-dropping-particle":"","parse-names":false,"suffix":""},{"dropping-particle":"","family":"Mia","given":"Bjerregaard","non-dropping-particle":"","parse-names":false,"suffix":""},{"dropping-particle":"","family":"Redin","given":"Maja","non-dropping-particle":"","parse-names":false,"suffix":""},{"dropping-particle":"","family":"Hartung","given":"Sara","non-dropping-particle":"","parse-names":false,"suffix":""},{"dropping-particle":"","family":"Nielsen","given":"Thomas Graven","non-dropping-particle":"","parse-names":false,"suffix":""}],"container-title":"European Journal of Applied Physiology","id":"ITEM-4","issue":"1","issued":{"date-parts":[["2018"]]},"page":"91-102","publisher":"Springer Berlin Heidelberg","title":"Hypoalgesia after bicycling at lactate threshold is reliable between sessions","type":"article-journal","volume":"19"},"uris":["http://www.mendeley.com/documents/?uuid=aea50657-d5be-4bc9-b4fd-cc06ba3181fa"]},{"id":"ITEM-5","itemData":{"DOI":"10.1016/S1090-3801(02)00124-6","author":[{"dropping-particle":"","family":"Kosek","given":"Eva","non-dropping-particle":"","parse-names":false,"suffix":""},{"dropping-particle":"","family":"Lundberg","given":"Lena","non-dropping-particle":"","parse-names":false,"suffix":""}],"container-title":"European Journal of Pain","id":"ITEM-5","issued":{"date-parts":[["2003"]]},"page":"251-258","title":"Segmental and plurisegmental modulation of pressure pain thresholds during static muscle contractions in healthy individuals","type":"article-journal","volume":"7"},"uris":["http://www.mendeley.com/documents/?uuid=9f9badcd-5ea9-4489-b5db-4211aa0087ff"]}],"mendeley":{"formattedCitation":"(43, 67–70)","plainTextFormattedCitation":"(43, 67–70)","previouslyFormattedCitation":"(43, 67–70)"},"properties":{"noteIndex":0},"schema":"https://github.com/citation-style-language/schema/raw/master/csl-citation.json"}</w:instrText>
      </w:r>
      <w:r w:rsidR="009777DE"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(43, 67–70)</w:t>
      </w:r>
      <w:r w:rsidR="009777DE" w:rsidRPr="008072C7">
        <w:rPr>
          <w:rFonts w:ascii="Arial" w:hAnsi="Arial" w:cs="Arial"/>
          <w:color w:val="000000" w:themeColor="text1"/>
          <w:sz w:val="20"/>
          <w:szCs w:val="20"/>
        </w:rPr>
        <w:fldChar w:fldCharType="end"/>
      </w:r>
      <w:r w:rsidR="009777DE" w:rsidRPr="008072C7">
        <w:rPr>
          <w:rFonts w:ascii="Arial" w:hAnsi="Arial" w:cs="Arial"/>
          <w:color w:val="000000" w:themeColor="text1"/>
          <w:sz w:val="20"/>
          <w:szCs w:val="20"/>
        </w:rPr>
        <w:t xml:space="preserve">. </w:t>
      </w:r>
      <w:r w:rsidR="00690A2E" w:rsidRPr="008072C7">
        <w:rPr>
          <w:rFonts w:ascii="Arial" w:hAnsi="Arial" w:cs="Arial"/>
          <w:color w:val="000000" w:themeColor="text1"/>
          <w:sz w:val="20"/>
          <w:szCs w:val="20"/>
        </w:rPr>
        <w:t>Findings</w:t>
      </w:r>
      <w:r w:rsidR="009777DE" w:rsidRPr="008072C7">
        <w:rPr>
          <w:rFonts w:ascii="Arial" w:hAnsi="Arial" w:cs="Arial"/>
          <w:color w:val="000000" w:themeColor="text1"/>
          <w:sz w:val="20"/>
          <w:szCs w:val="20"/>
        </w:rPr>
        <w:t xml:space="preserve"> from the present study </w:t>
      </w:r>
      <w:r w:rsidR="000F42EE" w:rsidRPr="008072C7">
        <w:rPr>
          <w:rFonts w:ascii="Arial" w:hAnsi="Arial" w:cs="Arial"/>
          <w:color w:val="000000" w:themeColor="text1"/>
          <w:sz w:val="20"/>
          <w:szCs w:val="20"/>
        </w:rPr>
        <w:t xml:space="preserve">also </w:t>
      </w:r>
      <w:r w:rsidR="009777DE" w:rsidRPr="008072C7">
        <w:rPr>
          <w:rFonts w:ascii="Arial" w:hAnsi="Arial" w:cs="Arial"/>
          <w:color w:val="000000" w:themeColor="text1"/>
          <w:sz w:val="20"/>
          <w:szCs w:val="20"/>
        </w:rPr>
        <w:t xml:space="preserve">support the notion that both local and central inhibitory nociceptive pathways contribute to systemic hypoalgesia following exercise </w:t>
      </w:r>
      <w:r w:rsidR="009777DE"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{"citationItems":[{"id":"ITEM-1","itemData":{"DOI":"10.1093/pm/pny087","author":[{"dropping-particle":"","family":"Vaegter","given":"Henrik Bjarke","non-dropping-particle":"","parse-names":false,"suffix":""},{"dropping-particle":"","family":"Lyng","given":"Kristian Damgaard","non-dropping-particle":"","parse-names":false,"suffix":""},{"dropping-particle":"","family":"Yttereng","given":"Fredrik Wannaebo","non-dropping-particle":"","parse-names":false,"suffix":""},{"dropping-particle":"","family":"Christensen","given":"Mads Holst","non-dropping-particle":"","parse-names":false,"suffix":""},{"dropping-particle":"","family":"Sørensen","given":"Mathias Brandhøj","non-dropping-particle":"","parse-names":false,"suffix":""},{"dropping-particle":"","family":"Graven-Nielsen","given":"Thomas","non-dropping-particle":"","parse-names":false,"suffix":""}],"container-title":"Pain Medicine","id":"ITEM-1","issued":{"date-parts":[["2019"]]},"page":"129-137","title":"Exercise-Induced Hypoalgesia After Isometric Wall Squat Exercise: A Test-Retest Reliabilty Study","type":"article-journal","volume":"20"},"uris":["http://www.mendeley.com/documents/?uuid=13bcaea6-2ed5-4102-9872-fe7f32e48803"]},{"id":"ITEM-2","itemData":{"DOI":"10.1016/j.mehy.2019.109370","ISSN":"03069877","author":[{"dropping-particle":"","family":"Hughes","given":"Luke","non-dropping-particle":"","parse-names":false,"suffix":""},{"dropping-particle":"","family":"Patterson","given":"Stephen David","non-dropping-particle":"","parse-names":false,"suffix":""}],"container-title":"Medical Hypotheses","id":"ITEM-2","issued":{"date-parts":[["2019"]]},"page":"109370","title":"Low intensity blood flow restriction exercise: Rationale for a hypoalgesia effect","type":"article-journal","volume":"132"},"uris":["http://www.mendeley.com/documents/?uuid=588c1dcc-3792-47e8-a6dd-e33b6f09998a"]}],"mendeley":{"formattedCitation":"(27, 70)","plainTextFormattedCitation":"(27, 70)","previouslyFormattedCitation":"(27, 70)"},"properties":{"noteIndex":0},"schema":"https://github.com/citation-style-language/schema/raw/master/csl-citation.json"}</w:instrText>
      </w:r>
      <w:r w:rsidR="009777DE"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(27, 70)</w:t>
      </w:r>
      <w:r w:rsidR="009777DE" w:rsidRPr="008072C7">
        <w:rPr>
          <w:rFonts w:ascii="Arial" w:hAnsi="Arial" w:cs="Arial"/>
          <w:color w:val="000000" w:themeColor="text1"/>
          <w:sz w:val="20"/>
          <w:szCs w:val="20"/>
        </w:rPr>
        <w:fldChar w:fldCharType="end"/>
      </w:r>
      <w:r w:rsidR="009777DE" w:rsidRPr="008072C7">
        <w:rPr>
          <w:rFonts w:ascii="Arial" w:hAnsi="Arial" w:cs="Arial"/>
          <w:color w:val="000000" w:themeColor="text1"/>
          <w:sz w:val="20"/>
          <w:szCs w:val="20"/>
        </w:rPr>
        <w:t>.</w:t>
      </w:r>
      <w:r w:rsidR="00992B0A" w:rsidRPr="008072C7">
        <w:rPr>
          <w:rFonts w:ascii="Arial" w:hAnsi="Arial" w:cs="Arial"/>
          <w:color w:val="000000" w:themeColor="text1"/>
          <w:sz w:val="20"/>
          <w:szCs w:val="20"/>
        </w:rPr>
        <w:t xml:space="preserve"> </w:t>
      </w:r>
      <w:r w:rsidR="000F42EE" w:rsidRPr="008072C7">
        <w:rPr>
          <w:rFonts w:ascii="Arial" w:hAnsi="Arial" w:cs="Arial"/>
          <w:color w:val="000000" w:themeColor="text1"/>
          <w:sz w:val="20"/>
          <w:szCs w:val="20"/>
        </w:rPr>
        <w:t>As hypothesised, greater increases in PPTs were observed with HLRE</w:t>
      </w:r>
      <w:r w:rsidR="00B412F3" w:rsidRPr="008072C7">
        <w:rPr>
          <w:rFonts w:ascii="Arial" w:hAnsi="Arial" w:cs="Arial"/>
          <w:color w:val="000000" w:themeColor="text1"/>
          <w:sz w:val="20"/>
          <w:szCs w:val="20"/>
        </w:rPr>
        <w:t xml:space="preserve"> (10-26%)</w:t>
      </w:r>
      <w:r w:rsidR="000F42EE" w:rsidRPr="008072C7">
        <w:rPr>
          <w:rFonts w:ascii="Arial" w:hAnsi="Arial" w:cs="Arial"/>
          <w:color w:val="000000" w:themeColor="text1"/>
          <w:sz w:val="20"/>
          <w:szCs w:val="20"/>
        </w:rPr>
        <w:t xml:space="preserve"> compared to LLRE</w:t>
      </w:r>
      <w:r w:rsidR="00B412F3" w:rsidRPr="008072C7">
        <w:rPr>
          <w:rFonts w:ascii="Arial" w:hAnsi="Arial" w:cs="Arial"/>
          <w:color w:val="000000" w:themeColor="text1"/>
          <w:sz w:val="20"/>
          <w:szCs w:val="20"/>
        </w:rPr>
        <w:t xml:space="preserve"> (1-10%)</w:t>
      </w:r>
      <w:r w:rsidR="000F42EE" w:rsidRPr="008072C7">
        <w:rPr>
          <w:rFonts w:ascii="Arial" w:hAnsi="Arial" w:cs="Arial"/>
          <w:color w:val="000000" w:themeColor="text1"/>
          <w:sz w:val="20"/>
          <w:szCs w:val="20"/>
        </w:rPr>
        <w:t xml:space="preserve"> </w:t>
      </w:r>
      <w:r w:rsidR="000F42EE"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{"citationItems":[{"id":"ITEM-1","itemData":{"author":[{"dropping-particle":"","family":"Koltyn","given":"Kelli F","non-dropping-particle":"","parse-names":false,"suffix":""}],"container-title":"Sports Medicine","id":"ITEM-1","issue":"8","issued":{"date-parts":[["2002"]]},"page":"477-487","title":"Exercise-Induced Hypoalgesia and Intensity of Exercise","type":"article-journal","volume":"32"},"uris":["http://www.mendeley.com/documents/?uuid=e790e620-a602-4ccc-981c-b739dd86cfa0"]},{"id":"ITEM-2","itemData":{"author":[{"dropping-particle":"","family":"Koltyn","given":"K F","non-dropping-particle":"","parse-names":false,"suffix":""},{"dropping-particle":"","family":"Arbogast","given":"R W","non-dropping-particle":"","parse-names":false,"suffix":""}],"container-title":"British Journal of Sports Medicine","id":"ITEM-2","issued":{"date-parts":[["1998"]]},"page":"20-24","title":"Perception of pain after resistance exercise","type":"article-journal","volume":"32"},"uris":["http://www.mendeley.com/documents/?uuid=41d70cf9-a184-4ec7-bb80-38a3c011bc9b"]},{"id":"ITEM-3","itemData":{"DOI":"10.1016/j.apmr.2003.09.010","author":[{"dropping-particle":"","family":"Hoffman","given":"Martin D","non-dropping-particle":"","parse-names":false,"suffix":""},{"dropping-particle":"","family":"Shepanski","given":"Melissa A","non-dropping-particle":"","parse-names":false,"suffix":""},{"dropping-particle":"","family":"Ruble","given":"Stephen B","non-dropping-particle":"","parse-names":false,"suffix":""},{"dropping-particle":"","family":"Valic","given":"Zoran","non-dropping-particle":"","parse-names":false,"suffix":""},{"dropping-particle":"","family":"Buckwalter","given":"John B","non-dropping-particle":"","parse-names":false,"suffix":""},{"dropping-particle":"","family":"Clifford","given":"Philip S","non-dropping-particle":"","parse-names":false,"suffix":""}],"container-title":"Archives of Physical Medicine and Rehabilitation","id":"ITEM-3","issue":"7","issued":{"date-parts":[["2003"]]},"page":"1183–1187","title":"Intensity and Duration Threshold for Aerobic Exercise–Induced Analgesia to Pressure Pain","type":"article-journal","volume":"85"},"uris":["http://www.mendeley.com/documents/?uuid=f5bca4da-baa6-44fe-b589-d78fbf64f4ee"]}],"mendeley":{"formattedCitation":"(20, 37, 38)","plainTextFormattedCitation":"(20, 37, 38)","previouslyFormattedCitation":"(20, 37, 38)"},"properties":{"noteIndex":0},"schema":"https://github.com/citation-style-language/schema/raw/master/csl-citation.json"}</w:instrText>
      </w:r>
      <w:r w:rsidR="000F42EE"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(20, 37, 38)</w:t>
      </w:r>
      <w:r w:rsidR="000F42EE" w:rsidRPr="008072C7">
        <w:rPr>
          <w:rFonts w:ascii="Arial" w:hAnsi="Arial" w:cs="Arial"/>
          <w:color w:val="000000" w:themeColor="text1"/>
          <w:sz w:val="20"/>
          <w:szCs w:val="20"/>
        </w:rPr>
        <w:fldChar w:fldCharType="end"/>
      </w:r>
      <w:r w:rsidR="000F42EE" w:rsidRPr="008072C7">
        <w:rPr>
          <w:rFonts w:ascii="Arial" w:hAnsi="Arial" w:cs="Arial"/>
          <w:color w:val="000000" w:themeColor="text1"/>
          <w:sz w:val="20"/>
          <w:szCs w:val="20"/>
        </w:rPr>
        <w:t>.</w:t>
      </w:r>
      <w:r w:rsidR="00E50109" w:rsidRPr="008072C7">
        <w:rPr>
          <w:rFonts w:ascii="Arial" w:hAnsi="Arial" w:cs="Arial"/>
          <w:color w:val="000000" w:themeColor="text1"/>
          <w:sz w:val="20"/>
          <w:szCs w:val="20"/>
        </w:rPr>
        <w:t xml:space="preserve"> </w:t>
      </w:r>
      <w:r w:rsidR="000F42EE" w:rsidRPr="008072C7">
        <w:rPr>
          <w:rFonts w:ascii="Arial" w:hAnsi="Arial" w:cs="Arial"/>
          <w:color w:val="000000" w:themeColor="text1"/>
          <w:sz w:val="20"/>
          <w:szCs w:val="20"/>
        </w:rPr>
        <w:t xml:space="preserve">Performing </w:t>
      </w:r>
      <w:r w:rsidR="00DC507D" w:rsidRPr="008072C7">
        <w:rPr>
          <w:rFonts w:ascii="Arial" w:hAnsi="Arial" w:cs="Arial"/>
          <w:color w:val="000000" w:themeColor="text1"/>
          <w:sz w:val="20"/>
          <w:szCs w:val="20"/>
        </w:rPr>
        <w:t xml:space="preserve">LLRE </w:t>
      </w:r>
      <w:r w:rsidR="000F42EE" w:rsidRPr="008072C7">
        <w:rPr>
          <w:rFonts w:ascii="Arial" w:hAnsi="Arial" w:cs="Arial"/>
          <w:color w:val="000000" w:themeColor="text1"/>
          <w:sz w:val="20"/>
          <w:szCs w:val="20"/>
        </w:rPr>
        <w:t xml:space="preserve">with low and high pressure </w:t>
      </w:r>
      <w:r w:rsidR="00DC507D" w:rsidRPr="008072C7">
        <w:rPr>
          <w:rFonts w:ascii="Arial" w:hAnsi="Arial" w:cs="Arial"/>
          <w:color w:val="000000" w:themeColor="text1"/>
          <w:sz w:val="20"/>
          <w:szCs w:val="20"/>
        </w:rPr>
        <w:t>BFR</w:t>
      </w:r>
      <w:r w:rsidR="000F42EE" w:rsidRPr="008072C7">
        <w:rPr>
          <w:rFonts w:ascii="Arial" w:hAnsi="Arial" w:cs="Arial"/>
          <w:color w:val="000000" w:themeColor="text1"/>
          <w:sz w:val="20"/>
          <w:szCs w:val="20"/>
        </w:rPr>
        <w:t xml:space="preserve"> </w:t>
      </w:r>
      <w:r w:rsidR="00DC507D" w:rsidRPr="008072C7">
        <w:rPr>
          <w:rFonts w:ascii="Arial" w:hAnsi="Arial" w:cs="Arial"/>
          <w:color w:val="000000" w:themeColor="text1"/>
          <w:sz w:val="20"/>
          <w:szCs w:val="20"/>
        </w:rPr>
        <w:t>resulted</w:t>
      </w:r>
      <w:r w:rsidR="000F42EE" w:rsidRPr="008072C7">
        <w:rPr>
          <w:rFonts w:ascii="Arial" w:hAnsi="Arial" w:cs="Arial"/>
          <w:color w:val="000000" w:themeColor="text1"/>
          <w:sz w:val="20"/>
          <w:szCs w:val="20"/>
        </w:rPr>
        <w:t xml:space="preserve"> in </w:t>
      </w:r>
      <w:r w:rsidR="00B412F3" w:rsidRPr="008072C7">
        <w:rPr>
          <w:rFonts w:ascii="Arial" w:hAnsi="Arial" w:cs="Arial"/>
          <w:color w:val="000000" w:themeColor="text1"/>
          <w:sz w:val="20"/>
          <w:szCs w:val="20"/>
        </w:rPr>
        <w:t xml:space="preserve">greater </w:t>
      </w:r>
      <w:r w:rsidR="003247BB" w:rsidRPr="008072C7">
        <w:rPr>
          <w:rFonts w:ascii="Arial" w:hAnsi="Arial" w:cs="Arial"/>
          <w:color w:val="000000" w:themeColor="text1"/>
          <w:sz w:val="20"/>
          <w:szCs w:val="20"/>
        </w:rPr>
        <w:t>increases in PPTs</w:t>
      </w:r>
      <w:r w:rsidR="00B412F3" w:rsidRPr="008072C7">
        <w:rPr>
          <w:rFonts w:ascii="Arial" w:hAnsi="Arial" w:cs="Arial"/>
          <w:color w:val="000000" w:themeColor="text1"/>
          <w:sz w:val="20"/>
          <w:szCs w:val="20"/>
        </w:rPr>
        <w:t xml:space="preserve"> (11-34% and 11-48%, respectively)</w:t>
      </w:r>
      <w:r w:rsidR="003247BB" w:rsidRPr="008072C7">
        <w:rPr>
          <w:rFonts w:ascii="Arial" w:hAnsi="Arial" w:cs="Arial"/>
          <w:color w:val="000000" w:themeColor="text1"/>
          <w:sz w:val="20"/>
          <w:szCs w:val="20"/>
        </w:rPr>
        <w:t xml:space="preserve">, which is in line with previous research demonstrating greater pain </w:t>
      </w:r>
      <w:r w:rsidR="00BD0F85" w:rsidRPr="008072C7">
        <w:rPr>
          <w:rFonts w:ascii="Arial" w:hAnsi="Arial" w:cs="Arial"/>
          <w:color w:val="000000" w:themeColor="text1"/>
          <w:sz w:val="20"/>
          <w:szCs w:val="20"/>
        </w:rPr>
        <w:t xml:space="preserve">reduction </w:t>
      </w:r>
      <w:r w:rsidR="003247BB" w:rsidRPr="008072C7">
        <w:rPr>
          <w:rFonts w:ascii="Arial" w:hAnsi="Arial" w:cs="Arial"/>
          <w:color w:val="000000" w:themeColor="text1"/>
          <w:sz w:val="20"/>
          <w:szCs w:val="20"/>
        </w:rPr>
        <w:t xml:space="preserve">during BFR-RE compared to LLRE in individuals with </w:t>
      </w:r>
      <w:r w:rsidR="00DF5A7F" w:rsidRPr="008072C7">
        <w:rPr>
          <w:rFonts w:ascii="Arial" w:hAnsi="Arial" w:cs="Arial"/>
          <w:color w:val="000000" w:themeColor="text1"/>
          <w:sz w:val="20"/>
          <w:szCs w:val="20"/>
        </w:rPr>
        <w:t xml:space="preserve">anterior knee pain </w:t>
      </w:r>
      <w:r w:rsidR="00DF5A7F"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{"citationItems":[{"id":"ITEM-1","itemData":{"DOI":"10.1016/j.ptsp.2018.09.007","ISSN":"18731600","abstract":"Objectives: To evaluate if application of blood flow restriction (BFR) combined with low-load resistance training (LLRT) would induce significant anterior knee pain (AKP) reduction compared to LLRT alone. Design: Randomised Controlled Trial. Setting: Institutional physiotherapy clinic. Participants: Forty males suffering from AKP were randomly allocated in the LLRT-BFR or LLRT group. BFR was applied at 80% of complete vascular occlusion. Four sets of open kinetic chain knee extensions were implemented in both groups using a pain monitoring model. Main outcome measures: Pain (0–10) was assessed immediately after LLRT-BFR or LLRT application and after a physiotherapy session (45 min) during shallow and deep single-leg squat (SLSS, SLSD), and step-down test (SDT). Results: Significant immediate pain reduction was found in LLRT-BFR group in SLSS, SLSD and SDT (d = 1.32, d = 1.12, d = 0.88 respectively), but no difference was found in LLRT group. Following the physiotherapy session pain reduction was sustained in LLRT-BFR group in both SLSs and SDT (d = 1.32, d = 0.78, d = 0.89 respectively). For the control group significant pain reduction was only found in SLSS (d = 0.56). No significant between-group differences were observed. Conclusions: The pain reduction induced by LLRT-BFR could indicate this intervention as a preconditioning process prior to the rehabilitation of AKP.","author":[{"dropping-particle":"","family":"Korakakis","given":"Vasileios","non-dropping-particle":"","parse-names":false,"suffix":""},{"dropping-particle":"","family":"Whiteley","given":"Rodney","non-dropping-particle":"","parse-names":false,"suffix":""},{"dropping-particle":"","family":"Giakas","given":"Giannis","non-dropping-particle":"","parse-names":false,"suffix":""}],"container-title":"Physical Therapy in Sport","id":"ITEM-1","issued":{"date-parts":[["2018"]]},"page":"121-128","publisher":"Elsevier B.V.","title":"Low load resistance training with blood flow restriction decreases anterior knee pain more than resistance training alone. A pilot randomised controlled trial","type":"article-journal","volume":"34"},"uris":["http://www.mendeley.com/documents/?uuid=dedd7947-f03f-4e20-8ed8-bc7059474a61"]}],"mendeley":{"formattedCitation":"(42)","plainTextFormattedCitation":"(42)","previouslyFormattedCitation":"(42)"},"properties":{"noteIndex":0},"schema":"https://github.com/citation-style-language/schema/raw/master/csl-citation.json"}</w:instrText>
      </w:r>
      <w:r w:rsidR="00DF5A7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(42)</w:t>
      </w:r>
      <w:r w:rsidR="00DF5A7F" w:rsidRPr="008072C7">
        <w:rPr>
          <w:rFonts w:ascii="Arial" w:hAnsi="Arial" w:cs="Arial"/>
          <w:color w:val="000000" w:themeColor="text1"/>
          <w:sz w:val="20"/>
          <w:szCs w:val="20"/>
        </w:rPr>
        <w:fldChar w:fldCharType="end"/>
      </w:r>
      <w:r w:rsidR="00DF5A7F" w:rsidRPr="008072C7">
        <w:rPr>
          <w:rFonts w:ascii="Arial" w:hAnsi="Arial" w:cs="Arial"/>
          <w:color w:val="000000" w:themeColor="text1"/>
          <w:sz w:val="20"/>
          <w:szCs w:val="20"/>
        </w:rPr>
        <w:t>.</w:t>
      </w:r>
      <w:r w:rsidR="00690A2E" w:rsidRPr="008072C7">
        <w:rPr>
          <w:rFonts w:ascii="Arial" w:hAnsi="Arial" w:cs="Arial"/>
          <w:color w:val="000000" w:themeColor="text1"/>
          <w:sz w:val="20"/>
          <w:szCs w:val="20"/>
        </w:rPr>
        <w:t xml:space="preserve"> The increase in PPT</w:t>
      </w:r>
      <w:r w:rsidR="00267221" w:rsidRPr="008072C7">
        <w:rPr>
          <w:rFonts w:ascii="Arial" w:hAnsi="Arial" w:cs="Arial"/>
          <w:color w:val="000000" w:themeColor="text1"/>
          <w:sz w:val="20"/>
          <w:szCs w:val="20"/>
        </w:rPr>
        <w:t>s</w:t>
      </w:r>
      <w:r w:rsidR="00690A2E" w:rsidRPr="008072C7">
        <w:rPr>
          <w:rFonts w:ascii="Arial" w:hAnsi="Arial" w:cs="Arial"/>
          <w:color w:val="000000" w:themeColor="text1"/>
          <w:sz w:val="20"/>
          <w:szCs w:val="20"/>
        </w:rPr>
        <w:t xml:space="preserve"> during both BFR-RE conditions were </w:t>
      </w:r>
      <w:r w:rsidR="00985F53" w:rsidRPr="008072C7">
        <w:rPr>
          <w:rFonts w:ascii="Arial" w:hAnsi="Arial" w:cs="Arial"/>
          <w:color w:val="000000" w:themeColor="text1"/>
          <w:sz w:val="20"/>
          <w:szCs w:val="20"/>
        </w:rPr>
        <w:t>similar</w:t>
      </w:r>
      <w:r w:rsidR="00690A2E" w:rsidRPr="008072C7">
        <w:rPr>
          <w:rFonts w:ascii="Arial" w:hAnsi="Arial" w:cs="Arial"/>
          <w:color w:val="000000" w:themeColor="text1"/>
          <w:sz w:val="20"/>
          <w:szCs w:val="20"/>
        </w:rPr>
        <w:t xml:space="preserve"> to HLRE at all assessment sites, except for the exercising limb where high pressure BFR appeared to augment the change</w:t>
      </w:r>
      <w:r w:rsidR="00B412F3" w:rsidRPr="008072C7">
        <w:rPr>
          <w:rFonts w:ascii="Arial" w:hAnsi="Arial" w:cs="Arial"/>
          <w:color w:val="000000" w:themeColor="text1"/>
          <w:sz w:val="20"/>
          <w:szCs w:val="20"/>
        </w:rPr>
        <w:t xml:space="preserve"> (48% vs 26% for BFR80 and HLRE, respectively)</w:t>
      </w:r>
      <w:r w:rsidR="00690A2E" w:rsidRPr="008072C7">
        <w:rPr>
          <w:rFonts w:ascii="Arial" w:hAnsi="Arial" w:cs="Arial"/>
          <w:color w:val="000000" w:themeColor="text1"/>
          <w:sz w:val="20"/>
          <w:szCs w:val="20"/>
        </w:rPr>
        <w:t xml:space="preserve">. This may </w:t>
      </w:r>
      <w:r w:rsidR="00BD0F85" w:rsidRPr="008072C7">
        <w:rPr>
          <w:rFonts w:ascii="Arial" w:hAnsi="Arial" w:cs="Arial"/>
          <w:color w:val="000000" w:themeColor="text1"/>
          <w:sz w:val="20"/>
          <w:szCs w:val="20"/>
        </w:rPr>
        <w:t xml:space="preserve">partially </w:t>
      </w:r>
      <w:r w:rsidR="00690A2E" w:rsidRPr="008072C7">
        <w:rPr>
          <w:rFonts w:ascii="Arial" w:hAnsi="Arial" w:cs="Arial"/>
          <w:color w:val="000000" w:themeColor="text1"/>
          <w:sz w:val="20"/>
          <w:szCs w:val="20"/>
        </w:rPr>
        <w:t>explain the finding</w:t>
      </w:r>
      <w:r w:rsidR="00BD0F85" w:rsidRPr="008072C7">
        <w:rPr>
          <w:rFonts w:ascii="Arial" w:hAnsi="Arial" w:cs="Arial"/>
          <w:color w:val="000000" w:themeColor="text1"/>
          <w:sz w:val="20"/>
          <w:szCs w:val="20"/>
        </w:rPr>
        <w:t>s</w:t>
      </w:r>
      <w:r w:rsidR="00690A2E" w:rsidRPr="008072C7">
        <w:rPr>
          <w:rFonts w:ascii="Arial" w:hAnsi="Arial" w:cs="Arial"/>
          <w:color w:val="000000" w:themeColor="text1"/>
          <w:sz w:val="20"/>
          <w:szCs w:val="20"/>
        </w:rPr>
        <w:t xml:space="preserve"> of recent studies in load compromised populations</w:t>
      </w:r>
      <w:r w:rsidR="00BD0F85" w:rsidRPr="008072C7">
        <w:rPr>
          <w:rFonts w:ascii="Arial" w:hAnsi="Arial" w:cs="Arial"/>
          <w:color w:val="000000" w:themeColor="text1"/>
          <w:sz w:val="20"/>
          <w:szCs w:val="20"/>
        </w:rPr>
        <w:t xml:space="preserve"> </w:t>
      </w:r>
      <w:r w:rsidR="00690A2E" w:rsidRPr="008072C7">
        <w:rPr>
          <w:rFonts w:ascii="Arial" w:hAnsi="Arial" w:cs="Arial"/>
          <w:color w:val="000000" w:themeColor="text1"/>
          <w:sz w:val="20"/>
          <w:szCs w:val="20"/>
        </w:rPr>
        <w:t>where high pressure BFR (60-80% LOP)</w:t>
      </w:r>
      <w:r w:rsidR="00BD0F85" w:rsidRPr="008072C7">
        <w:rPr>
          <w:rFonts w:ascii="Arial" w:hAnsi="Arial" w:cs="Arial"/>
          <w:color w:val="000000" w:themeColor="text1"/>
          <w:sz w:val="20"/>
          <w:szCs w:val="20"/>
        </w:rPr>
        <w:t xml:space="preserve"> has been shown to reduce pain more than HLRE over a training programme </w:t>
      </w:r>
      <w:r w:rsidR="00BD0F85"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{"citationItems":[{"id":"ITEM-1","itemData":{"DOI":"10.1016/j.ptsp.2019.06.014","abstract":"Objective: Examine the comfort and pain experienced with blow flow restriction resistance training (BFR-RT) compared to standard care heavy load resistance training (HL-RT) during anterior cruciate ligament reconstruction (ACLR) patient rehabilitation. Design: Randomised controlled trial. Setting: United Kingdom National Health Service. Participants: Twenty eight patients undergoing unilateral ACLR surgery with hamstring autograft were recruited. Following surgery participants were block randomised to either HL-RT at 70% repetition maximum (1RM) (n ¼ 14) or BFR-RT (n ¼ 14) at 30% 1RM and completed 8 weeks of twice weekly uni- lateral leg press training on both limbs. Main outcome measures: Perceived knee pain, muscle pain and rating of perceived exertion (RPE) were assessed using Borg’s (1998) RPE and pain scales during training. Knee pain was also assessed 24 h post- training. Results: There were no adverse events. Knee pain was lower with BFR-RT during (p &lt; 0.05) and at 24 h post-training (p &lt; 0.05) with BFR-RT for all sessions. Muscle pain was higher (p &lt; 0.05) with BFR-RT compared to HL-RT during all sessions. RPE remained unchanged (p &gt; 0.05) for both BFR-RT and HL-RT. Conclusion: ACLR patients experienced less knee joint pain and reported similar ratings of perceived exertion during and following leg press exercise with BFR-RT compared to traditional HL-RT. BFR-RT may be more advantageous during the early phases of post-surgery ACLR rehabilitation.","author":[{"dropping-particle":"","family":"Hughes","given":"Luke","non-dropping-particle":"","parse-names":false,"suffix":""},{"dropping-particle":"","family":"Patterson","given":"Stephen David","non-dropping-particle":"","parse-names":false,"suffix":""},{"dropping-particle":"","family":"Haddad","given":"Fares","non-dropping-particle":"","parse-names":false,"suffix":""},{"dropping-particle":"","family":"Rosenblatt","given":"Benjamin","non-dropping-particle":"","parse-names":false,"suffix":""},{"dropping-particle":"","family":"Gissane","given":"Conor","non-dropping-particle":"","parse-names":false,"suffix":""},{"dropping-particle":"","family":"McCarthy","given":"Daniel","non-dropping-particle":"","parse-names":false,"suffix":""},{"dropping-particle":"","family":"Clarke","given":"Thomas","non-dropping-particle":"","parse-names":false,"suffix":""},{"dropping-particle":"","family":"Ferris","given":"Graham","non-dropping-particle":"","parse-names":false,"suffix":""},{"dropping-particle":"","family":"Dawes","given":"Joanna","non-dropping-particle":"","parse-names":false,"suffix":""},{"dropping-particle":"","family":"Paton","given":"Bruce","non-dropping-particle":"","parse-names":false,"suffix":""}],"container-title":"Physical Therapy in Sport","id":"ITEM-1","issued":{"date-parts":[["2019"]]},"page":"90-98","publisher":"Elsevier Ltd","title":"Examination of the comfort and pain experienced with blood flow restriction training during post-surgery rehabilitation of anterior cruciate ligament reconstruction patients: A UK National Health Service trial","type":"article-journal","volume":"39"},"uris":["http://www.mendeley.com/documents/?uuid=a4986fd0-7ac6-4947-8a1d-05f1f39566c0"]},{"id":"ITEM-2","itemData":{"DOI":"10.1007/s40279-019-01137-2","author":[{"dropping-particle":"","family":"Hughes","given":"Luke","non-dropping-particle":"","parse-names":false,"suffix":""},{"dropping-particle":"","family":"Rosenblatt","given":"Benjamin","non-dropping-particle":"","parse-names":false,"suffix":""},{"dropping-particle":"","family":"Haddad","given":"Fares","non-dropping-particle":"","parse-names":false,"suffix":""},{"dropping-particle":"","family":"Gissane","given":"Conor","non-dropping-particle":"","parse-names":false,"suffix":""},{"dropping-particle":"","family":"McCarthy","given":"Daniel","non-dropping-particle":"","parse-names":false,"suffix":""},{"dropping-particle":"","family":"Clarke","given":"Thomas","non-dropping-particle":"","parse-names":false,"suffix":""},{"dropping-particle":"","family":"Ferris","given":"Graham","non-dropping-particle":"","parse-names":false,"suffix":""},{"dropping-particle":"","family":"Dawes","given":"Joanna","non-dropping-particle":"","parse-names":false,"suffix":""},{"dropping-particle":"","family":"Paton","given":"Bruce","non-dropping-particle":"","parse-names":false,"suffix":""},{"dropping-particle":"","family":"Patterson","given":"Stephen David","non-dropping-particle":"","parse-names":false,"suffix":""}],"container-title":"Sports Medicine","id":"ITEM-2","issue":"11","issued":{"date-parts":[["2019"]]},"page":"1787-1805","title":"Comparing the Effectiveness of Blood Flow Restriction and Traditional Heavy Load Resistance Training in the Post-Surgery Rehabilitation of Anterior Cruciate Ligament Reconstruction Patients: A UK National Health Service Randomised Controlled Trial","type":"article-journal","volume":"49"},"uris":["http://www.mendeley.com/documents/?uuid=e388b49f-11a0-485d-ac33-e9f486bc0f83"]},{"id":"ITEM-3","itemData":{"DOI":"10.1249/MSS.0000000000001530","ISBN":"0000000000","ISSN":"15300315","abstract":"PURPOSE Evaluate the effects of a low-intensity resistance training (LI-RT) program associated with partial blood flow restriction on selected clinical outcomes in patients with knee osteoarthritis (OA). METHODS Forty-eight women with knee OA were randomized into one of the three groups: LI-RT (30% one repetition maximum [1-RM]) associated (blood flow restriction training [BFRT]) or not (LI-RT) with partial blood flow restriction, and high-intensity resistance training (HI-RT, 80% 1-RM). Patients underwent a 12-wk supervised training program and were assessed for lower-limb 1-RM, quadriceps cross-sectional area, functionality (timed-stands test and timed-up-and-go test), and disease-specific inventory (Western Ontario and McMaster Universities Osteoarthritis Index [WOMAC]) before (PRE) and after (POST) the protocol. RESULTS Similar within-group increases were observed in leg press (26% and 33%, all P &lt; 0.0001), knee extension 1-RM (23% and 22%; all P &lt; 0.0001) and cross-sectional area (7% and 8%; all P &lt; 0.0001) in BFRT and HI-RT, respectively, and these were significantly greater (all P &lt; 0.05) than those of LI-RT. The BFRT and HI-RT showed comparable improvements in timed-stands test (7% and 14%, respectively), with the latter showing greater increases than LI-RT. Timed-up-and-go test scores were not significantly changed within or between groups. WOMAC physical function was improved in BFRT and HI-RT (-49% and -42%, respectively; all P &lt; 0.05), and WOMAC pain was improved in BFRT and LI-RT (-45% and -39%, respectively; all P &lt; 0.05). Four patients (of 16) were excluded due to exercise-induced knee pain in HI-RT. CONCLUSIONS Blood flow restriction training and HI-RT were similarly effective in increasing muscle strength, quadriceps muscle mass, and functionality in knee OA patients. Importantly, BFRT was also able to improve pain while inducing less joint stress, emerging as a feasible and effective therapeutic adjuvant in OA management.","author":[{"dropping-particle":"","family":"Ferraz","given":"Rodrigo Branco","non-dropping-particle":"","parse-names":false,"suffix":""},{"dropping-particle":"","family":"Gualano","given":"Bruno","non-dropping-particle":"","parse-names":false,"suffix":""},{"dropping-particle":"","family":"Rodrigues","given":"Reynaldo","non-dropping-particle":"","parse-names":false,"suffix":""},{"dropping-particle":"","family":"Kurimori","given":"Ceci Obara","non-dropping-particle":"","parse-names":false,"suffix":""},{"dropping-particle":"","family":"Fuller","given":"Ricardo","non-dropping-particle":"","parse-names":false,"suffix":""},{"dropping-particle":"","family":"Lima","given":"Fernanda Rodrigues","non-dropping-particle":"","parse-names":false,"suffix":""},{"dropping-particle":"","family":"Sá-Pinto","given":"Ana Lúcia","non-dropping-particle":"De","parse-names":false,"suffix":""},{"dropping-particle":"","family":"Roschel","given":"Hamilton","non-dropping-particle":"","parse-names":false,"suffix":""}],"container-title":"Medicine and Science in Sports and Exercise","id":"ITEM-3","issue":"5","issued":{"date-parts":[["2017"]]},"number-of-pages":"897-905","title":"Benefits of Resistance Training with Blood Flow Restriction in Knee Osteoarthritis","type":"book","volume":"50"},"uris":["http://www.mendeley.com/documents/?uuid=91d13432-e2c4-4125-8ece-100c6a0fbe38"]},{"id":"ITEM-4","itemData":{"DOI":"10.1136/bjsports-2016-096329","ISBN":"0306-3674","ISSN":"14730480","PMID":"28500081","abstract":"BACKGROUND Quadriceps strengthening exercises are part of the treatment of patellofemoral pain (PFP), but the heavy resistance exercises may aggravate knee pain. Blood flow restriction (BFR) training may provide a low-load quadriceps strengthening method to treat PFP. METHODS Seventy-nine participants were randomly allocated to a standardised quadriceps strengthening (standard) or low-load BFR. Both groups performed 8 weeks of leg press and leg extension, the standard group at 70% of 1 repetition maximum (1RM) and the BFR group at 30% of 1RM. Interventions were compared using repeated-measures analysis of variance for Kujala Patellofemoral Score, Visual Analogue Scale for 'worst pain' and 'pain with daily activity', isometric knee extensor torque (Newton metre) and quadriceps muscle thickness (cm). Subgroup analyses were performed on those participants with painful resisted knee extension at 60°. RESULTS Sixty-nine participants (87%) completed the study (standard, n=34; BFR, n=35). The BFR group had a 93% greater reduction in pain with activities of daily living (p=0.02) than the standard group. Participants with painful resisted knee extension (n=39) had greater increases in knee extensor torque with BFR than standard (p&lt;0.01). No between-group differences were found for change in Kujala Patellofemoral Score (p=0.31), worst pain (p=0.24), knee extensor torque (p=0.07) or quadriceps thickness (p=0.2). No difference was found between interventions at 6 months. CONCLUSION Compared with standard quadriceps strengthening, low load with BFR produced greater reduction in pain with daily living at 8 weeks in people with PFP. Improvements were similar between groups in worst pain and Kujala score. The subgroup with painful resisted knee extension had larger improvements in quadriceps strength from BFR. TRIAL REGISTRATION NUMBER 12614001164684.","author":[{"dropping-particle":"","family":"Giles","given":"Lachlan","non-dropping-particle":"","parse-names":false,"suffix":""},{"dropping-particle":"","family":"Webster","given":"Kate E.","non-dropping-particle":"","parse-names":false,"suffix":""},{"dropping-particle":"","family":"Mcclelland","given":"Jodie","non-dropping-particle":"","parse-names":false,"suffix":""},{"dropping-particle":"","family":"Cook","given":"Jill L.","non-dropping-particle":"","parse-names":false,"suffix":""}],"container-title":"British Journal of Sports Medicine","id":"ITEM-4","issue":"23","issued":{"date-parts":[["2017"]]},"page":"1688-1694","title":"Quadriceps strengthening with and without blood flow restriction in the treatment of patellofemoral pain: A double-blind randomised trial","type":"article-journal","volume":"51"},"uris":["http://www.mendeley.com/documents/?uuid=90681d34-de6d-46d5-b904-cfe0f02dc07d"]}],"mendeley":{"formattedCitation":"(9, 15, 28, 31)","plainTextFormattedCitation":"(9, 15, 28, 31)","previouslyFormattedCitation":"(9, 15, 28, 31)"},"properties":{"noteIndex":0},"schema":"https://github.com/citation-style-language/schema/raw/master/csl-citation.json"}</w:instrText>
      </w:r>
      <w:r w:rsidR="00BD0F85"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(9, 15, 28, 31)</w:t>
      </w:r>
      <w:r w:rsidR="00BD0F85" w:rsidRPr="008072C7">
        <w:rPr>
          <w:rFonts w:ascii="Arial" w:hAnsi="Arial" w:cs="Arial"/>
          <w:color w:val="000000" w:themeColor="text1"/>
          <w:sz w:val="20"/>
          <w:szCs w:val="20"/>
        </w:rPr>
        <w:fldChar w:fldCharType="end"/>
      </w:r>
      <w:r w:rsidR="00BD0F85" w:rsidRPr="008072C7">
        <w:rPr>
          <w:rFonts w:ascii="Arial" w:hAnsi="Arial" w:cs="Arial"/>
          <w:color w:val="000000" w:themeColor="text1"/>
          <w:sz w:val="20"/>
          <w:szCs w:val="20"/>
        </w:rPr>
        <w:t>.</w:t>
      </w:r>
    </w:p>
    <w:p w14:paraId="3278913E" w14:textId="308E238F" w:rsidR="002D0E3A" w:rsidRPr="008072C7" w:rsidRDefault="002D0E3A"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The hypoalgesia response to exercise is typically diminished at 30-45 minutes following exercise </w:t>
      </w:r>
      <w:r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{"citationItems":[{"id":"ITEM-1","itemData":{"DOI":"10.1016/j.jpain.2012.09.006","author":[{"dropping-particle":"","family":"Naugle","given":"Kelly M","non-dropping-particle":"","parse-names":false,"suffix":""},{"dropping-particle":"","family":"Fillingim","given":"Roger B","non-dropping-particle":"","parse-names":false,"suffix":""},{"dropping-particle":"","family":"Riley","given":"Joseph L","non-dropping-particle":"","parse-names":false,"suffix":""}],"container-title":"The Journal of Pain","id":"ITEM-1","issue":"12","issued":{"date-parts":[["2012"]]},"page":"1139-1150","publisher":"Elsevier Ltd","title":"A Meta-Analytic Review of the Hypoalgesic Effects of Exercise","type":"article-journal","volume":"13"},"uris":["http://www.mendeley.com/documents/?uuid=41e6aa37-b2fe-4496-8691-4ccaff877651"]}],"mendeley":{"formattedCitation":"(53)","plainTextFormattedCitation":"(53)","previouslyFormattedCitation":"(53)"},"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(53)</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A reduction in pain sensitivity at 45 minutes following BFR-RE has been observed in individuals with anterior knee pain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{"citationItems":[{"id":"ITEM-1","itemData":{"DOI":"10.1016/j.ptsp.2018.09.007","ISSN":"18731600","abstract":"Objectives: To evaluate if application of blood flow restriction (BFR) combined with low-load resistance training (LLRT) would induce significant anterior knee pain (AKP) reduction compared to LLRT alone. Design: Randomised Controlled Trial. Setting: Institutional physiotherapy clinic. Participants: Forty males suffering from AKP were randomly allocated in the LLRT-BFR or LLRT group. BFR was applied at 80% of complete vascular occlusion. Four sets of open kinetic chain knee extensions were implemented in both groups using a pain monitoring model. Main outcome measures: Pain (0–10) was assessed immediately after LLRT-BFR or LLRT application and after a physiotherapy session (45 min) during shallow and deep single-leg squat (SLSS, SLSD), and step-down test (SDT). Results: Significant immediate pain reduction was found in LLRT-BFR group in SLSS, SLSD and SDT (d = 1.32, d = 1.12, d = 0.88 respectively), but no difference was found in LLRT group. Following the physiotherapy session pain reduction was sustained in LLRT-BFR group in both SLSs and SDT (d = 1.32, d = 0.78, d = 0.89 respectively). For the control group significant pain reduction was only found in SLSS (d = 0.56). No significant between-group differences were observed. Conclusions: The pain reduction induced by LLRT-BFR could indicate this intervention as a preconditioning process prior to the rehabilitation of AKP.","author":[{"dropping-particle":"","family":"Korakakis","given":"Vasileios","non-dropping-particle":"","parse-names":false,"suffix":""},{"dropping-particle":"","family":"Whiteley","given":"Rodney","non-dropping-particle":"","parse-names":false,"suffix":""},{"dropping-particle":"","family":"Giakas","given":"Giannis","non-dropping-particle":"","parse-names":false,"suffix":""}],"container-title":"Physical Therapy in Sport","id":"ITEM-1","issued":{"date-parts":[["2018"]]},"page":"121-128","publisher":"Elsevier B.V.","title":"Low load resistance training with blood flow restriction decreases anterior knee pain more than resistance training alone. A pilot randomised controlled trial","type":"article-journal","volume":"34"},"uris":["http://www.mendeley.com/documents/?uuid=dedd7947-f03f-4e20-8ed8-bc7059474a61"]}],"mendeley":{"formattedCitation":"(42)","plainTextFormattedCitation":"(42)","previouslyFormattedCitation":"(42)"},"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(42)</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and recent evidence in patients following knee ligament surgery suggests pain may be reduced for up to 24 hours post-exercise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{"citationItems":[{"id":"ITEM-1","itemData":{"DOI":"10.1016/j.ptsp.2019.06.014","ISSN":"18731600","abstract":"Objective: Examine the comfort and pain experienced with blow flow restriction resistance training (BFR-RT) compared to standard care heavy load resistance training (HL-RT) during anterior cruciate ligament reconstruction (ACLR) patient rehabilitation. Design: Randomised controlled trial. Setting: United Kingdom National Health Service. Participants: Twenty eight patients undergoing unilateral ACLR surgery with hamstring autograft were recruited. Following surgery participants were block randomised to either HL-RT at 70% repetition maximum (1RM) (n = 14) or BFR-RT (n = 14) at 30% 1RM and completed 8 weeks of twice weekly unilateral leg press training on both limbs. Main outcome measures: Perceived knee pain, muscle pain and rating of perceived exertion (RPE) were assessed using Borg's (1998) RPE and pain scales during training. Knee pain was also assessed 24 h post-training. Results: There were no adverse events. Knee pain was lower with BFR-RT during (p &lt; 0.05) and at 24 h post-training (p &lt; 0.05) with BFR-RT for all sessions. Muscle pain was higher (p &lt; 0.05) with BFR-RT compared to HL-RT during all sessions. RPE remained unchanged (p &gt; 0.05) for both BFR-RT and HL-RT. Conclusion: ACLR patients experienced less knee joint pain and reported similar ratings of perceived exertion during and following leg press exercise with BFR-RT compared to traditional HL-RT. BFR-RT may be more advantageous during the early phases of post-surgery ACLR rehabilitation.","author":[{"dropping-particle":"","family":"Hughes","given":"Luke","non-dropping-particle":"","parse-names":false,"suffix":""},{"dropping-particle":"","family":"Patterson","given":"Stephen David","non-dropping-particle":"","parse-names":false,"suffix":""},{"dropping-particle":"","family":"Haddad","given":"F.","non-dropping-particle":"","parse-names":false,"suffix":""},{"dropping-particle":"","family":"Rosenblatt","given":"Benjamin","non-dropping-particle":"","parse-names":false,"suffix":""},{"dropping-particle":"","family":"Gissane","given":"C.","non-dropping-particle":"","parse-names":false,"suffix":""},{"dropping-particle":"","family":"McCarthy","given":"Daniel","non-dropping-particle":"","parse-names":false,"suffix":""},{"dropping-particle":"","family":"Clarke","given":"Thomas","non-dropping-particle":"","parse-names":false,"suffix":""},{"dropping-particle":"","family":"Ferris","given":"Graham","non-dropping-particle":"","parse-names":false,"suffix":""},{"dropping-particle":"","family":"Dawes","given":"Joanna","non-dropping-particle":"","parse-names":false,"suffix":""},{"dropping-particle":"","family":"Paton","given":"B.","non-dropping-particle":"","parse-names":false,"suffix":""}],"container-title":"Physical Therapy in Sport","id":"ITEM-1","issued":{"date-parts":[["2019","9","1"]]},"page":"90-98","publisher":"Churchill Livingstone","title":"Examination of the comfort and pain experienced with blood flow restriction training during post-surgery rehabilitation of anterior cruciate ligament reconstruction patients: A UK National Health Service trial","type":"article-journal","volume":"39"},"uris":["http://www.mendeley.com/documents/?uuid=28bd7359-0d3c-3395-b42c-93a1235f4d5a"]},{"id":"ITEM-2","itemData":{"DOI":"https://doi.org/10.1016/j.ptsp.2018.07.002","ISSN":"1466-853X","abstract":"Objectives To compare the acute perceptual and blood pressure responses to: 1) light load blood flow restriction resistance exercise (BFR-RE) in non-injured individuals and anterior cruciate ligament reconstruction (ACLR) patients; and 2) light load BFR-RE and heavy load RE (HL-RE) in ACLR patients. Design Between-subjects, partially-randomised. Methods This study comprised 3 groups: non-injured BFR-RE (NI-BFR); ACLR patients BFR-RE (ACLR-BFR); ACLR patients HL-RE (ACLR-HL). NI-BFR and ACLR-BFR performed 4 sets (30, 15, 15, 15 reps, total=75 reps, 30s inter-set rest) of unilateral leg press exercise at 30% 1RM with continuous BFR at 80% limb occlusive pressure. ACLR-HL performed 3 x 10 reps (Total=30 reps, 30s inter-set rest) of unilateral leg press exercise at 70% 1RM. Perceived exertion (RPE), muscle pain, knee pain and pre- and 5-min post-exercise blood pressure were measured. Results RPE was higher in ACLR-BFR compared to NI-BFR (p&lt;0.05). Muscle pain was higher in NI-BFR and ACLR-BFR compared to ACLR-HL (p&lt;0.05). Knee pain was lower in ACLR-BFR compared to ACLR-HL (p&lt;0.01). There were no differences in blood pressure. Conclusion These responses to BFR exercise may not limit application and favourably influence knee pain throughout ACLR rehabilitation training programmes. These findings can help inform practitioners’ decisions to utilise this tool.","author":[{"dropping-particle":"","family":"Hughes","given":"Luke","non-dropping-particle":"","parse-names":false,"suffix":""},{"dropping-particle":"","family":"Paton","given":"Bruce","non-dropping-particle":"","parse-names":false,"suffix":""},{"dropping-particle":"","family":"Haddad","given":"Fares","non-dropping-particle":"","parse-names":false,"suffix":""},{"dropping-particle":"","family":"Rosenblatt","given":"Benjamin","non-dropping-particle":"","parse-names":false,"suffix":""},{"dropping-particle":"","family":"Gissane","given":"Conor","non-dropping-particle":"","parse-names":false,"suffix":""},{"dropping-particle":"","family":"Patterson","given":"Stephen David","non-dropping-particle":"","parse-names":false,"suffix":""}],"container-title":"Physical Therapy in Sport","id":"ITEM-2","issued":{"date-parts":[["2018"]]},"page":"54-61","publisher":"Elsevier Ltd","title":"Comparison of the acute perceptual and blood pressure response to heavy load and light load blood flow restriction resistance exercise in anterior cruciate ligament reconstruction patients and non-injured populations","type":"article-journal","volume":"33"},"uris":["http://www.mendeley.com/documents/?uuid=8956f261-e2c9-42d0-b408-9f06afe4a84b"]}],"mendeley":{"formattedCitation":"(25, 29)","plainTextFormattedCitation":"(25, 29)","previouslyFormattedCitation":"(25, 29)"},"properties":{"noteIndex":0},"schema":"https://github.com/citation-style-language/schema/raw/master/csl-citation.json"}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(25, 29)</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A particularly novel finding in the present study is that PPT in the exercising limb remained elevated above baseline at 24 hours following BF</w:t>
      </w:r>
      <w:r w:rsidR="001B24F8" w:rsidRPr="008072C7">
        <w:rPr>
          <w:rFonts w:ascii="Arial" w:hAnsi="Arial" w:cs="Arial"/>
          <w:color w:val="000000" w:themeColor="text1"/>
          <w:sz w:val="20"/>
          <w:szCs w:val="20"/>
        </w:rPr>
        <w:t>R-</w:t>
      </w:r>
      <w:r w:rsidR="001B24F8" w:rsidRPr="008072C7">
        <w:rPr>
          <w:rFonts w:ascii="Arial" w:hAnsi="Arial" w:cs="Arial"/>
          <w:color w:val="000000" w:themeColor="text1"/>
          <w:sz w:val="20"/>
          <w:szCs w:val="20"/>
        </w:rPr>
        <w:lastRenderedPageBreak/>
        <w:t>RE only (15% and 24% for low and high pressure BFR-RE)</w:t>
      </w:r>
      <w:r w:rsidR="00007A5C" w:rsidRPr="008072C7">
        <w:rPr>
          <w:rFonts w:ascii="Arial" w:hAnsi="Arial" w:cs="Arial"/>
          <w:color w:val="000000" w:themeColor="text1"/>
          <w:sz w:val="20"/>
          <w:szCs w:val="20"/>
        </w:rPr>
        <w:t>.</w:t>
      </w:r>
      <w:r w:rsidRPr="008072C7">
        <w:rPr>
          <w:rFonts w:ascii="Arial" w:hAnsi="Arial" w:cs="Arial"/>
          <w:color w:val="000000" w:themeColor="text1"/>
          <w:sz w:val="20"/>
          <w:szCs w:val="20"/>
        </w:rPr>
        <w:t xml:space="preserve"> This may explain previous findings where patients have reported reduced pain the day after performing BFR-RE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{"citationItems":[{"id":"ITEM-1","itemData":{"DOI":"10.1016/j.ptsp.2019.06.014","ISSN":"18731600","abstract":"Objective: Examine the comfort and pain experienced with blow flow restriction resistance training (BFR-RT) compared to standard care heavy load resistance training (HL-RT) during anterior cruciate ligament reconstruction (ACLR) patient rehabilitation. Design: Randomised controlled trial. Setting: United Kingdom National Health Service. Participants: Twenty eight patients undergoing unilateral ACLR surgery with hamstring autograft were recruited. Following surgery participants were block randomised to either HL-RT at 70% repetition maximum (1RM) (n = 14) or BFR-RT (n = 14) at 30% 1RM and completed 8 weeks of twice weekly unilateral leg press training on both limbs. Main outcome measures: Perceived knee pain, muscle pain and rating of perceived exertion (RPE) were assessed using Borg's (1998) RPE and pain scales during training. Knee pain was also assessed 24 h post-training. Results: There were no adverse events. Knee pain was lower with BFR-RT during (p &lt; 0.05) and at 24 h post-training (p &lt; 0.05) with BFR-RT for all sessions. Muscle pain was higher (p &lt; 0.05) with BFR-RT compared to HL-RT during all sessions. RPE remained unchanged (p &gt; 0.05) for both BFR-RT and HL-RT. Conclusion: ACLR patients experienced less knee joint pain and reported similar ratings of perceived exertion during and following leg press exercise with BFR-RT compared to traditional HL-RT. BFR-RT may be more advantageous during the early phases of post-surgery ACLR rehabilitation.","author":[{"dropping-particle":"","family":"Hughes","given":"Luke","non-dropping-particle":"","parse-names":false,"suffix":""},{"dropping-particle":"","family":"Patterson","given":"Stephen David","non-dropping-particle":"","parse-names":false,"suffix":""},{"dropping-particle":"","family":"Haddad","given":"F.","non-dropping-particle":"","parse-names":false,"suffix":""},{"dropping-particle":"","family":"Rosenblatt","given":"Benjamin","non-dropping-particle":"","parse-names":false,"suffix":""},{"dropping-particle":"","family":"Gissane","given":"C.","non-dropping-particle":"","parse-names":false,"suffix":""},{"dropping-particle":"","family":"McCarthy","given":"Daniel","non-dropping-particle":"","parse-names":false,"suffix":""},{"dropping-particle":"","family":"Clarke","given":"Thomas","non-dropping-particle":"","parse-names":false,"suffix":""},{"dropping-particle":"","family":"Ferris","given":"Graham","non-dropping-particle":"","parse-names":false,"suffix":""},{"dropping-particle":"","family":"Dawes","given":"Joanna","non-dropping-particle":"","parse-names":false,"suffix":""},{"dropping-particle":"","family":"Paton","given":"B.","non-dropping-particle":"","parse-names":false,"suffix":""}],"container-title":"Physical Therapy in Sport","id":"ITEM-1","issued":{"date-parts":[["2019","9","1"]]},"page":"90-98","publisher":"Churchill Livingstone","title":"Examination of the comfort and pain experienced with blood flow restriction training during post-surgery rehabilitation of anterior cruciate ligament reconstruction patients: A UK National Health Service trial","type":"article-journal","volume":"39"},"uris":["http://www.mendeley.com/documents/?uuid=28bd7359-0d3c-3395-b42c-93a1235f4d5a"]},{"id":"ITEM-2","itemData":{"DOI":"https://doi.org/10.1016/j.ptsp.2018.07.002","ISSN":"1466-853X","abstract":"Objectives To compare the acute perceptual and blood pressure responses to: 1) light load blood flow restriction resistance exercise (BFR-RE) in non-injured individuals and anterior cruciate ligament reconstruction (ACLR) patients; and 2) light load BFR-RE and heavy load RE (HL-RE) in ACLR patients. Design Between-subjects, partially-randomised. Methods This study comprised 3 groups: non-injured BFR-RE (NI-BFR); ACLR patients BFR-RE (ACLR-BFR); ACLR patients HL-RE (ACLR-HL). NI-BFR and ACLR-BFR performed 4 sets (30, 15, 15, 15 reps, total=75 reps, 30s inter-set rest) of unilateral leg press exercise at 30% 1RM with continuous BFR at 80% limb occlusive pressure. ACLR-HL performed 3 x 10 reps (Total=30 reps, 30s inter-set rest) of unilateral leg press exercise at 70% 1RM. Perceived exertion (RPE), muscle pain, knee pain and pre- and 5-min post-exercise blood pressure were measured. Results RPE was higher in ACLR-BFR compared to NI-BFR (p&lt;0.05). Muscle pain was higher in NI-BFR and ACLR-BFR compared to ACLR-HL (p&lt;0.05). Knee pain was lower in ACLR-BFR compared to ACLR-HL (p&lt;0.01). There were no differences in blood pressure. Conclusion These responses to BFR exercise may not limit application and favourably influence knee pain throughout ACLR rehabilitation training programmes. These findings can help inform practitioners’ decisions to utilise this tool.","author":[{"dropping-particle":"","family":"Hughes","given":"Luke","non-dropping-particle":"","parse-names":false,"suffix":""},{"dropping-particle":"","family":"Paton","given":"Bruce","non-dropping-particle":"","parse-names":false,"suffix":""},{"dropping-particle":"","family":"Haddad","given":"Fares","non-dropping-particle":"","parse-names":false,"suffix":""},{"dropping-particle":"","family":"Rosenblatt","given":"Benjamin","non-dropping-particle":"","parse-names":false,"suffix":""},{"dropping-particle":"","family":"Gissane","given":"Conor","non-dropping-particle":"","parse-names":false,"suffix":""},{"dropping-particle":"","family":"Patterson","given":"Stephen David","non-dropping-particle":"","parse-names":false,"suffix":""}],"container-title":"Physical Therapy in Sport","id":"ITEM-2","issued":{"date-parts":[["2018"]]},"page":"54-61","publisher":"Elsevier Ltd","title":"Comparison of the acute perceptual and blood pressure response to heavy load and light load blood flow restriction resistance exercise in anterior cruciate ligament reconstruction patients and non-injured populations","type":"article-journal","volume":"33"},"uris":["http://www.mendeley.com/documents/?uuid=8956f261-e2c9-42d0-b408-9f06afe4a84b"]}],"mendeley":{"formattedCitation":"(25, 29)","plainTextFormattedCitation":"(25, 29)","previouslyFormattedCitation":"(25, 29)"},"properties":{"noteIndex":0},"schema":"https://github.com/citation-style-language/schema/raw/master/csl-citation.json"}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(25, 29)</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w:t>
      </w:r>
      <w:r w:rsidR="006E3AA0" w:rsidRPr="008072C7">
        <w:rPr>
          <w:rFonts w:ascii="Arial" w:hAnsi="Arial" w:cs="Arial"/>
          <w:color w:val="000000" w:themeColor="text1"/>
          <w:sz w:val="20"/>
          <w:szCs w:val="20"/>
        </w:rPr>
        <w:t xml:space="preserve"> </w:t>
      </w:r>
      <w:r w:rsidRPr="008072C7">
        <w:rPr>
          <w:rFonts w:ascii="Arial" w:hAnsi="Arial" w:cs="Arial"/>
          <w:color w:val="000000" w:themeColor="text1"/>
          <w:sz w:val="20"/>
          <w:szCs w:val="20"/>
        </w:rPr>
        <w:t>However, this persistent elevation in PPT is likely not related to endogenous opioid production, which had returned to baseline at 24 hours post-exercise in the present study. Moreover, though it was not measured we did not anticipate muscle discomfort to be present in the exercising limb the following day, therefore it is unlikely that the prolonged hypoalgesia at 24 hours post-exercise is mediated in a CPM manner. Limitation of this effect to only the limb that the BFR stimulus was applied to suggests that prolonged hypoalgesia is primarily related to activation of local or segmental pain inhibitory mechanisms, rather than a systemic mechanism.</w:t>
      </w:r>
    </w:p>
    <w:p w14:paraId="4B292C9C" w14:textId="769AE334" w:rsidR="0087726F" w:rsidRPr="008072C7" w:rsidRDefault="002F41B9"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Several mechanisms of EIH have been proposed, including recruitment of high threshold motor units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{"citationItems":[{"id":"ITEM-1","itemData":{"DOI":"10.1249/MSS.0b013e31817eeecc","abstract":"Dose Response of Isometric Contractions on Pain Perception in Healthy Adults. Med. Sci. Sports Exerc., Vol. 40, No. 11, pp. 1880–1889, 2008. Introduction: The purpose of the study was to compare pain ratings and thresholds in men and women before and after isometric contractions of varying intensity and duration performed with the elbow flexor muscles. Methods: Pain perception was assessed, using a pressure device applied to the contralateral finger, before and after the following isometric contractions: 1) three brief maximal voluntary contractions (MVC), 2) 25% MVC sustained until task failure, 3) 25% MVC sustained for 2 min, and 4) 80% MVC sustained until task failure. Results: High-intensity and long-duration, low-intensity isometric contractions produced an analgesic response. The greatest change in pain threshold and pain ratings, when pressure was applied to the contralateral finger, was after the long-duration, low-intensity contraction sustained until failure. Sex differences were present with women reporting 1) lower pain thresholds and higher pain ratings during quiet rest and 2) higher pain ratings before and after isometric contractions. Conclusion: These results suggest that activation of high-threshold motor units is involved in exercise-induced analgesia.","author":[{"dropping-particle":"","family":"Hoeger-Bement","given":"Marie K","non-dropping-particle":"","parse-names":false,"suffix":""},{"dropping-particle":"","family":"Dicapo","given":"John","non-dropping-particle":"","parse-names":false,"suffix":""},{"dropping-particle":"","family":"Rasiarmos","given":"Rebecca","non-dropping-particle":"","parse-names":false,"suffix":""},{"dropping-particle":"","family":"Hunter","given":"Sandra K","non-dropping-particle":"","parse-names":false,"suffix":""}],"container-title":"Medicine &amp; Science in Sports &amp; Exercise","id":"ITEM-1","issue":"11","issued":{"date-parts":[["2008"]]},"page":"1880-1889","title":"Dose Response of Isometric Contractions on Pain Perception in Healthy Adults","type":"article-journal","volume":"40"},"uris":["http://www.mendeley.com/documents/?uuid=c9544ef3-f4a5-4e89-80c8-10ca32f9247a"]}],"mendeley":{"formattedCitation":"(19)","plainTextFormattedCitation":"(19)","previouslyFormattedCitation":"(19)"},"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(19)</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a link between baroreceptors and pain pathways </w:t>
      </w:r>
      <w:r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{"citationItems":[{"id":"ITEM-1","itemData":{"DOI":"10.2165/00007256-200636030-00003","author":[{"dropping-particle":"","family":"Koltyn","given":"Kelli F","non-dropping-particle":"","parse-names":false,"suffix":""},{"dropping-particle":"","family":"Umeda","given":"Masataka","non-dropping-particle":"","parse-names":false,"suffix":""}],"container-title":"Sports Medicine","id":"ITEM-1","issue":"3","issued":{"date-parts":[["2006"]]},"page":"207-214","title":"Exercise, Hypoalgesia and Blood Pressure","type":"article-journal","volume":"36"},"uris":["http://www.mendeley.com/documents/?uuid=307e3fdb-ef3d-4543-a6cc-fedde6149a59"]}],"mendeley":{"formattedCitation":"(40)","plainTextFormattedCitation":"(40)","previouslyFormattedCitation":"(40)"},"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(40)</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ischemic and metabolite induced pain </w:t>
      </w:r>
      <w:r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{"citationItems":[{"id":"ITEM-1","itemData":{"DOI":"10.1113/expphysiol.2013.075812","author":[{"dropping-particle":"","family":"Pollak","given":"Kelly A","non-dropping-particle":"","parse-names":false,"suffix":""},{"dropping-particle":"","family":"Swenson","given":"Jeffrey D","non-dropping-particle":"","parse-names":false,"suffix":""},{"dropping-particle":"","family":"Vanhaitsma","given":"Timothy A","non-dropping-particle":"","parse-names":false,"suffix":""},{"dropping-particle":"","family":"Hughen","given":"Ronald W","non-dropping-particle":"","parse-names":false,"suffix":""},{"dropping-particle":"","family":"Jo","given":"Daehyun","non-dropping-particle":"","parse-names":false,"suffix":""},{"dropping-particle":"","family":"Light","given":"C","non-dropping-particle":"","parse-names":false,"suffix":""},{"dropping-particle":"","family":"Schweinhardt","given":"Petra","non-dropping-particle":"","parse-names":false,"suffix":""},{"dropping-particle":"","family":"Amann","given":"Markus","non-dropping-particle":"","parse-names":false,"suffix":""},{"dropping-particle":"","family":"Light","given":"Alan R","non-dropping-particle":"","parse-names":false,"suffix":""}],"container-title":"Experimental Physiology","id":"ITEM-1","issued":{"date-parts":[["2014"]]},"page":"368-380","title":"Exogenously applied muscle metabolites synergistically evoke sensations of muscle fatigue and pain in human subjects","type":"article-journal","volume":"2"},"uris":["http://www.mendeley.com/documents/?uuid=5a05e561-818e-4498-8a8c-8dae8fbdb66d"]}],"mendeley":{"formattedCitation":"(56)","plainTextFormattedCitation":"(56)","previouslyFormattedCitation":"(56)"},"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(56)</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 xml:space="preserve"> and conditioned pain modulation </w:t>
      </w:r>
      <w:r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{"citationItems":[{"id":"ITEM-1","itemData":{"DOI":"10.1016/j.pain.2013.09.023","ISSN":"03043959","abstract":"Pain inhibitory mechanisms are often assessed by paradigms of exercise-induced hypoalgesia (EIH) and conditioned pain modulation (CPM). In this study it was hypothesized that the spatial and temporal manifestations of EIH and CPM were comparable. The participants were 80 healthy subjects (40 females), between 18 and 65 years of age in this randomized, repeated-measures cross-over trial that involved data collection on 2 different days. CPM was assessed by 2 different cold pressor tests (hand and foot). EIH was assessed by 2 intensities of aerobic bicycling exercises and 2 intensities of isometric muscle contraction exercises (arm and leg). Pressure pain thresholds (PPTs) were recorded before, during, after, and 15 minutes after conditioning/exercise at sites local to and remote from the extremity used for cold pressor stimulation and exercise. PPTs increased at local as well as at remote sites during both cold pressor tests and after all of the exercise conditions except low-intensity bicycling. EIH after bicycling was higher in women than in men. CPM and the EIH responses after isometric exercises were comparable in men and women and were not affected by age. The EIH response was larger in the exercising body part compared with nonexercising body parts for all exercise conditions. High-intensity exercise produced greater EIH responses than did low-intensity exercise. The change in PPTs during cold pressor tests and the change in PPTs after exercises were not correlated. The CPM response was not dominated by local manifestations, and the effect was seen only during the stimulation, whereas exercise had larger local manifestations, and the effects were also found after exercise. © 2013 International Association for the Study of Pain. Published by Elsevier B.V. All rights reserved.","author":[{"dropping-particle":"","family":"Vaegter","given":"Henrik Bjarke","non-dropping-particle":"","parse-names":false,"suffix":""},{"dropping-particle":"","family":"Handberg","given":"Gitte","non-dropping-particle":"","parse-names":false,"suffix":""},{"dropping-particle":"","family":"Graven-Nielsen","given":"Thomas","non-dropping-particle":"","parse-names":false,"suffix":""}],"container-title":"Pain","id":"ITEM-1","issue":"1","issued":{"date-parts":[["2014"]]},"page":"158-167","publisher":"International Association for the Study of Pain","title":"Similarities between exercise-induced hypoalgesia and conditioned pain modulation in humans","type":"article-journal","volume":"155"},"uris":["http://www.mendeley.com/documents/?uuid=bcdda900-a48b-4fdf-9f12-6bd82a0db598"]}],"mendeley":{"formattedCitation":"(68)","plainTextFormattedCitation":"(68)","previouslyFormattedCitation":"(68)"},"properties":{"noteIndex":0},"schema":"https://github.com/citation-style-language/schema/raw/master/csl-citation.json"}</w:instrText>
      </w:r>
      <w:r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(68)</w:t>
      </w:r>
      <w:r w:rsidRPr="008072C7">
        <w:rPr>
          <w:rFonts w:ascii="Arial" w:hAnsi="Arial" w:cs="Arial"/>
          <w:color w:val="000000" w:themeColor="text1"/>
          <w:sz w:val="20"/>
          <w:szCs w:val="20"/>
        </w:rPr>
        <w:fldChar w:fldCharType="end"/>
      </w:r>
      <w:r w:rsidRPr="008072C7">
        <w:rPr>
          <w:rFonts w:ascii="Arial" w:hAnsi="Arial" w:cs="Arial"/>
          <w:color w:val="000000" w:themeColor="text1"/>
          <w:sz w:val="20"/>
          <w:szCs w:val="20"/>
        </w:rPr>
        <w:t>.</w:t>
      </w:r>
      <w:r w:rsidR="00D80CD4" w:rsidRPr="008072C7">
        <w:rPr>
          <w:rFonts w:ascii="Arial" w:hAnsi="Arial" w:cs="Arial"/>
          <w:color w:val="000000" w:themeColor="text1"/>
          <w:sz w:val="20"/>
          <w:szCs w:val="20"/>
        </w:rPr>
        <w:t xml:space="preserve"> </w:t>
      </w:r>
      <w:r w:rsidR="000F282F" w:rsidRPr="008072C7">
        <w:rPr>
          <w:rFonts w:ascii="Arial" w:hAnsi="Arial" w:cs="Arial"/>
          <w:color w:val="000000" w:themeColor="text1"/>
          <w:sz w:val="20"/>
          <w:szCs w:val="20"/>
        </w:rPr>
        <w:t>The</w:t>
      </w:r>
      <w:r w:rsidR="004F5E7B" w:rsidRPr="008072C7">
        <w:rPr>
          <w:rFonts w:ascii="Arial" w:hAnsi="Arial" w:cs="Arial"/>
          <w:color w:val="000000" w:themeColor="text1"/>
          <w:sz w:val="20"/>
          <w:szCs w:val="20"/>
        </w:rPr>
        <w:t xml:space="preserve"> intensity of exercise </w:t>
      </w:r>
      <w:r w:rsidR="000F282F" w:rsidRPr="008072C7">
        <w:rPr>
          <w:rFonts w:ascii="Arial" w:hAnsi="Arial" w:cs="Arial"/>
          <w:color w:val="000000" w:themeColor="text1"/>
          <w:sz w:val="20"/>
          <w:szCs w:val="20"/>
        </w:rPr>
        <w:t xml:space="preserve">is acknowledged as an important determinant of the </w:t>
      </w:r>
      <w:r w:rsidR="002B4272" w:rsidRPr="008072C7">
        <w:rPr>
          <w:rFonts w:ascii="Arial" w:hAnsi="Arial" w:cs="Arial"/>
          <w:color w:val="000000" w:themeColor="text1"/>
          <w:sz w:val="20"/>
          <w:szCs w:val="20"/>
        </w:rPr>
        <w:t>magnitude</w:t>
      </w:r>
      <w:r w:rsidR="000F282F" w:rsidRPr="008072C7">
        <w:rPr>
          <w:rFonts w:ascii="Arial" w:hAnsi="Arial" w:cs="Arial"/>
          <w:color w:val="000000" w:themeColor="text1"/>
          <w:sz w:val="20"/>
          <w:szCs w:val="20"/>
        </w:rPr>
        <w:t xml:space="preserve"> of EIH, with higher intensity exercise resulting in greater EIH </w:t>
      </w:r>
      <w:r w:rsidR="000F282F"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{"citationItems":[{"id":"ITEM-1","itemData":{"author":[{"dropping-particle":"","family":"Koltyn","given":"Kelli F","non-dropping-particle":"","parse-names":false,"suffix":""}],"container-title":"Sports Medicine","id":"ITEM-1","issue":"8","issued":{"date-parts":[["2002"]]},"page":"477-487","title":"Exercise-Induced Hypoalgesia and Intensity of Exercise","type":"article-journal","volume":"32"},"uris":["http://www.mendeley.com/documents/?uuid=e790e620-a602-4ccc-981c-b739dd86cfa0"]},{"id":"ITEM-2","itemData":{"author":[{"dropping-particle":"","family":"Koltyn","given":"K F","non-dropping-particle":"","parse-names":false,"suffix":""},{"dropping-particle":"","family":"Arbogast","given":"R W","non-dropping-particle":"","parse-names":false,"suffix":""}],"container-title":"British Journal of Sports Medicine","id":"ITEM-2","issued":{"date-parts":[["1998"]]},"page":"20-24","title":"Perception of pain after resistance exercise","type":"article-journal","volume":"32"},"uris":["http://www.mendeley.com/documents/?uuid=41d70cf9-a184-4ec7-bb80-38a3c011bc9b"]},{"id":"ITEM-3","itemData":{"DOI":"10.1016/j.apmr.2003.09.010","author":[{"dropping-particle":"","family":"Hoffman","given":"Martin D","non-dropping-particle":"","parse-names":false,"suffix":""},{"dropping-particle":"","family":"Shepanski","given":"Melissa A","non-dropping-particle":"","parse-names":false,"suffix":""},{"dropping-particle":"","family":"Ruble","given":"Stephen B","non-dropping-particle":"","parse-names":false,"suffix":""},{"dropping-particle":"","family":"Valic","given":"Zoran","non-dropping-particle":"","parse-names":false,"suffix":""},{"dropping-particle":"","family":"Buckwalter","given":"John B","non-dropping-particle":"","parse-names":false,"suffix":""},{"dropping-particle":"","family":"Clifford","given":"Philip S","non-dropping-particle":"","parse-names":false,"suffix":""}],"container-title":"Archives of Physical Medicine and Rehabilitation","id":"ITEM-3","issue":"7","issued":{"date-parts":[["2003"]]},"page":"1183–1187","title":"Intensity and Duration Threshold for Aerobic Exercise–Induced Analgesia to Pressure Pain","type":"article-journal","volume":"85"},"uris":["http://www.mendeley.com/documents/?uuid=f5bca4da-baa6-44fe-b589-d78fbf64f4ee"]}],"mendeley":{"formattedCitation":"(20, 37, 38)","plainTextFormattedCitation":"(20, 37, 38)","previouslyFormattedCitation":"(20, 37, 38)"},"properties":{"noteIndex":0},"schema":"https://github.com/citation-style-language/schema/raw/master/csl-citation.json"}</w:instrText>
      </w:r>
      <w:r w:rsidR="000F282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(20, 37, 38)</w:t>
      </w:r>
      <w:r w:rsidR="000F282F" w:rsidRPr="008072C7">
        <w:rPr>
          <w:rFonts w:ascii="Arial" w:hAnsi="Arial" w:cs="Arial"/>
          <w:color w:val="000000" w:themeColor="text1"/>
          <w:sz w:val="20"/>
          <w:szCs w:val="20"/>
        </w:rPr>
        <w:fldChar w:fldCharType="end"/>
      </w:r>
      <w:r w:rsidR="000F282F" w:rsidRPr="008072C7">
        <w:rPr>
          <w:rFonts w:ascii="Arial" w:hAnsi="Arial" w:cs="Arial"/>
          <w:color w:val="000000" w:themeColor="text1"/>
          <w:sz w:val="20"/>
          <w:szCs w:val="20"/>
        </w:rPr>
        <w:t>.</w:t>
      </w:r>
      <w:r w:rsidR="002A5A51" w:rsidRPr="008072C7">
        <w:rPr>
          <w:rFonts w:ascii="Arial" w:hAnsi="Arial" w:cs="Arial"/>
          <w:color w:val="000000" w:themeColor="text1"/>
          <w:sz w:val="20"/>
          <w:szCs w:val="20"/>
        </w:rPr>
        <w:t xml:space="preserve"> The present study </w:t>
      </w:r>
      <w:r w:rsidR="00267221" w:rsidRPr="008072C7">
        <w:rPr>
          <w:rFonts w:ascii="Arial" w:hAnsi="Arial" w:cs="Arial"/>
          <w:color w:val="000000" w:themeColor="text1"/>
          <w:sz w:val="20"/>
          <w:szCs w:val="20"/>
        </w:rPr>
        <w:t xml:space="preserve">provides </w:t>
      </w:r>
      <w:r w:rsidR="002A5A51" w:rsidRPr="008072C7">
        <w:rPr>
          <w:rFonts w:ascii="Arial" w:hAnsi="Arial" w:cs="Arial"/>
          <w:color w:val="000000" w:themeColor="text1"/>
          <w:sz w:val="20"/>
          <w:szCs w:val="20"/>
        </w:rPr>
        <w:t>evidence of greater EIH with BFR-RE</w:t>
      </w:r>
      <w:r w:rsidR="001E5F2A" w:rsidRPr="008072C7">
        <w:rPr>
          <w:rFonts w:ascii="Arial" w:hAnsi="Arial" w:cs="Arial"/>
          <w:color w:val="000000" w:themeColor="text1"/>
          <w:sz w:val="20"/>
          <w:szCs w:val="20"/>
        </w:rPr>
        <w:t xml:space="preserve"> compared to</w:t>
      </w:r>
      <w:r w:rsidR="00267221" w:rsidRPr="008072C7">
        <w:rPr>
          <w:rFonts w:ascii="Arial" w:hAnsi="Arial" w:cs="Arial"/>
          <w:color w:val="000000" w:themeColor="text1"/>
          <w:sz w:val="20"/>
          <w:szCs w:val="20"/>
        </w:rPr>
        <w:t xml:space="preserve"> LLRE without BFR, </w:t>
      </w:r>
      <w:r w:rsidRPr="008072C7">
        <w:rPr>
          <w:rFonts w:ascii="Arial" w:hAnsi="Arial" w:cs="Arial"/>
          <w:color w:val="000000" w:themeColor="text1"/>
          <w:sz w:val="20"/>
          <w:szCs w:val="20"/>
        </w:rPr>
        <w:t>for which several explanations</w:t>
      </w:r>
      <w:r w:rsidR="002B4272" w:rsidRPr="008072C7">
        <w:rPr>
          <w:rFonts w:ascii="Arial" w:hAnsi="Arial" w:cs="Arial"/>
          <w:color w:val="000000" w:themeColor="text1"/>
          <w:sz w:val="20"/>
          <w:szCs w:val="20"/>
        </w:rPr>
        <w:t xml:space="preserve"> </w:t>
      </w:r>
      <w:r w:rsidR="001E5F2A" w:rsidRPr="008072C7">
        <w:rPr>
          <w:rFonts w:ascii="Arial" w:hAnsi="Arial" w:cs="Arial"/>
          <w:color w:val="000000" w:themeColor="text1"/>
          <w:sz w:val="20"/>
          <w:szCs w:val="20"/>
        </w:rPr>
        <w:t>are possible</w:t>
      </w:r>
      <w:r w:rsidR="002B4272" w:rsidRPr="008072C7">
        <w:rPr>
          <w:rFonts w:ascii="Arial" w:hAnsi="Arial" w:cs="Arial"/>
          <w:color w:val="000000" w:themeColor="text1"/>
          <w:sz w:val="20"/>
          <w:szCs w:val="20"/>
        </w:rPr>
        <w:t>.</w:t>
      </w:r>
      <w:r w:rsidR="00985F53" w:rsidRPr="008072C7">
        <w:rPr>
          <w:rFonts w:ascii="Arial" w:hAnsi="Arial" w:cs="Arial"/>
          <w:color w:val="000000" w:themeColor="text1"/>
          <w:sz w:val="20"/>
          <w:szCs w:val="20"/>
        </w:rPr>
        <w:t xml:space="preserve"> </w:t>
      </w:r>
      <w:r w:rsidR="001E5F2A" w:rsidRPr="008072C7">
        <w:rPr>
          <w:rFonts w:ascii="Arial" w:hAnsi="Arial" w:cs="Arial"/>
          <w:color w:val="000000" w:themeColor="text1"/>
          <w:sz w:val="20"/>
          <w:szCs w:val="20"/>
        </w:rPr>
        <w:t>The BFR stimulus</w:t>
      </w:r>
      <w:r w:rsidR="002B4272" w:rsidRPr="008072C7">
        <w:rPr>
          <w:rFonts w:ascii="Arial" w:hAnsi="Arial" w:cs="Arial"/>
          <w:color w:val="000000" w:themeColor="text1"/>
          <w:sz w:val="20"/>
          <w:szCs w:val="20"/>
        </w:rPr>
        <w:t xml:space="preserve"> may </w:t>
      </w:r>
      <w:r w:rsidR="001E5F2A" w:rsidRPr="008072C7">
        <w:rPr>
          <w:rFonts w:ascii="Arial" w:hAnsi="Arial" w:cs="Arial"/>
          <w:color w:val="000000" w:themeColor="text1"/>
          <w:sz w:val="20"/>
          <w:szCs w:val="20"/>
        </w:rPr>
        <w:t xml:space="preserve">have </w:t>
      </w:r>
      <w:r w:rsidR="002B4272" w:rsidRPr="008072C7">
        <w:rPr>
          <w:rFonts w:ascii="Arial" w:hAnsi="Arial" w:cs="Arial"/>
          <w:color w:val="000000" w:themeColor="text1"/>
          <w:sz w:val="20"/>
          <w:szCs w:val="20"/>
        </w:rPr>
        <w:t>act</w:t>
      </w:r>
      <w:r w:rsidR="001E5F2A" w:rsidRPr="008072C7">
        <w:rPr>
          <w:rFonts w:ascii="Arial" w:hAnsi="Arial" w:cs="Arial"/>
          <w:color w:val="000000" w:themeColor="text1"/>
          <w:sz w:val="20"/>
          <w:szCs w:val="20"/>
        </w:rPr>
        <w:t>ed</w:t>
      </w:r>
      <w:r w:rsidR="002B4272" w:rsidRPr="008072C7">
        <w:rPr>
          <w:rFonts w:ascii="Arial" w:hAnsi="Arial" w:cs="Arial"/>
          <w:color w:val="000000" w:themeColor="text1"/>
          <w:sz w:val="20"/>
          <w:szCs w:val="20"/>
        </w:rPr>
        <w:t xml:space="preserve"> as a noxious conditioning stimulus in a </w:t>
      </w:r>
      <w:r w:rsidR="001E5F2A" w:rsidRPr="008072C7">
        <w:rPr>
          <w:rFonts w:ascii="Arial" w:hAnsi="Arial" w:cs="Arial"/>
          <w:color w:val="000000" w:themeColor="text1"/>
          <w:sz w:val="20"/>
          <w:szCs w:val="20"/>
        </w:rPr>
        <w:t>CPM</w:t>
      </w:r>
      <w:r w:rsidR="002B4272" w:rsidRPr="008072C7">
        <w:rPr>
          <w:rFonts w:ascii="Arial" w:hAnsi="Arial" w:cs="Arial"/>
          <w:color w:val="000000" w:themeColor="text1"/>
          <w:sz w:val="20"/>
          <w:szCs w:val="20"/>
        </w:rPr>
        <w:t xml:space="preserve"> mechanism</w:t>
      </w:r>
      <w:r w:rsidR="001E5F2A" w:rsidRPr="008072C7">
        <w:rPr>
          <w:rFonts w:ascii="Arial" w:hAnsi="Arial" w:cs="Arial"/>
          <w:color w:val="000000" w:themeColor="text1"/>
          <w:sz w:val="20"/>
          <w:szCs w:val="20"/>
        </w:rPr>
        <w:t>, whereby ‘pain inhibits pain’.</w:t>
      </w:r>
      <w:r w:rsidR="0071319F" w:rsidRPr="008072C7">
        <w:rPr>
          <w:rFonts w:ascii="Arial" w:hAnsi="Arial" w:cs="Arial"/>
          <w:color w:val="000000" w:themeColor="text1"/>
          <w:sz w:val="20"/>
          <w:szCs w:val="20"/>
        </w:rPr>
        <w:t xml:space="preserve"> Perception </w:t>
      </w:r>
      <w:r w:rsidR="001E5F2A" w:rsidRPr="008072C7">
        <w:rPr>
          <w:rFonts w:ascii="Arial" w:hAnsi="Arial" w:cs="Arial"/>
          <w:color w:val="000000" w:themeColor="text1"/>
          <w:sz w:val="20"/>
          <w:szCs w:val="20"/>
        </w:rPr>
        <w:t xml:space="preserve">of discomfort and pain is exacerbated during BFR-RE </w:t>
      </w:r>
      <w:r w:rsidR="001E5F2A"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{"citationItems":[{"id":"ITEM-1","itemData":{"DOI":"10.1055/s-0030-1268472","ISBN":"1439-3964 (Electronic)\\r0172-4622 (Linking)","ISSN":"01724622","PMID":"21165798","abstract":"The purpose was to determine repetitions to failure and perceptual responses to exercise with and without occlusion. 15 subjects participated in a randomized crossover study of 3 trials. The first determined one repetition maximum (1RM) on the leg extension. Subjects were then assigned to an occlusion (OCC) or control (CON) group. After trial 2, subjects crossed over to the opposite trial. Knee wraps (KW) were placed around the upper thigh of each leg during OCC. Subjects completed 2 sets of leg extensions to failure at 30% 1RM, with 30 s rest between sets. Ratings of perceived exertion (RPE) and pain (P) were taken following each set. Data were analyzed using paired sample t-tests with an alpha level of 0.01. OCC repetitions were lower for the first and second set compared to CON (p=0.001). Total work completed was significantly lower with OCC compared to CON (p=0.001). OCC RPE were higher for both the first (p=0.01) and second set (p=0.003) compared to CON. P was not different following one set but was higher with OCC over CON following the second (p=0.009). In conclusion, KW provide an OCC stimulus allowing failure to occur sooner. However, the higher perceptual responses with OCC may limit its application to the highly motivated.","author":[{"dropping-particle":"","family":"Loenneke","given":"Jeremy P","non-dropping-particle":"","parse-names":false,"suffix":""},{"dropping-particle":"","family":"Balapur","given":"A.","non-dropping-particle":"","parse-names":false,"suffix":""},{"dropping-particle":"","family":"Thrower","given":"A. D.","non-dropping-particle":"","parse-names":false,"suffix":""},{"dropping-particle":"","family":"Barnes","given":"J. T.","non-dropping-particle":"","parse-names":false,"suffix":""},{"dropping-particle":"","family":"Pujol","given":"T. J.","non-dropping-particle":"","parse-names":false,"suffix":""}],"container-title":"International Journal of Sports Medicine","id":"ITEM-1","issue":"3","issued":{"date-parts":[["2011"]]},"page":"181-184","title":"The perceptual responses to occluded exercise","type":"article-journal","volume":"32"},"uris":["http://www.mendeley.com/documents/?uuid=04b5a62e-c8c3-4141-bda4-b6850271e2d0"]}],"mendeley":{"formattedCitation":"(44)","plainTextFormattedCitation":"(44)","previouslyFormattedCitation":"(44)"},"properties":{"noteIndex":0},"schema":"https://github.com/citation-style-language/schema/raw/master/csl-citation.json"}</w:instrText>
      </w:r>
      <w:r w:rsidR="001E5F2A"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(44)</w:t>
      </w:r>
      <w:r w:rsidR="001E5F2A" w:rsidRPr="008072C7">
        <w:rPr>
          <w:rFonts w:ascii="Arial" w:hAnsi="Arial" w:cs="Arial"/>
          <w:color w:val="000000" w:themeColor="text1"/>
          <w:sz w:val="20"/>
          <w:szCs w:val="20"/>
        </w:rPr>
        <w:fldChar w:fldCharType="end"/>
      </w:r>
      <w:r w:rsidR="001E5F2A" w:rsidRPr="008072C7">
        <w:rPr>
          <w:rFonts w:ascii="Arial" w:hAnsi="Arial" w:cs="Arial"/>
          <w:color w:val="000000" w:themeColor="text1"/>
          <w:sz w:val="20"/>
          <w:szCs w:val="20"/>
        </w:rPr>
        <w:t xml:space="preserve"> to a similar or greater extent as HLRE </w:t>
      </w:r>
      <w:r w:rsidR="001E5F2A"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{"citationItems":[{"id":"ITEM-1","itemData":{"DOI":"10.1519/JSC.0b013e3181c7badf","ISBN":"1533-4287 (Electronic)\\n1064-8011 (Linking)","ISSN":"10648011","PMID":"19935100","abstract":"The purpose of the study was to determine how manipulation of peripheral blood flow during resistance exercise using a light load affected perception and physiological measures compared with moderate load resistance exercise and a control trial. Seven subjects performed a 3 (session) by 2 (biceps curls and calf extensions) within-subjects study that was randomized and counterbalanced across 3 weeks. The 3 sessions included (a) light resistance exercise (3 sets to failure) at 30% of 1 repetition maximum (1RM) with partial occlusion (LRO), (b) moderate resistance at 70% of 1RM with no occlusion (MR), and (c) partial occlusion without exercise (OO). Ratings of perceived exertion (RPE), pain, and heart rate were assessed immediately after each set, whereas blood samples were taken before, immediately after, and 15 minutes after exercise. Results demonstrated that RPE and pain were lower in the OO condition than that in the MR and LRO conditions for biceps curls and calf extensions, Fs(2 ,24) = 22.75, 20.86, ps &lt; 0.0001 and Fs(2,24) = 18.95, 24.52, ps &lt; 0.01; however, no significant differences were noted between MR and LRO conditions. Heart rate was significantly higher for the LRO condition when compared with the MR trial, F(2,18) 20.12, p &lt; 0.001. Results suggest that when partial vascular occlusion with a light load was applied, both pain and effort sense were altered to a similar degree as moderate loads but no occlusion. The practical application of results were that individuals may be better able to tolerate perceptual change at low loads with partial occlusion because joint stress may be minimized while local muscle metabolic demands increase, making resistance training maximally effective and minimally stressful on joints. Perceptual tracking of effort and pain may aid coaches who attempt this protocol.","author":[{"dropping-particle":"","family":"Hollander","given":"Daniel B.","non-dropping-particle":"","parse-names":false,"suffix":""},{"dropping-particle":"V.","family":"Reeves","given":"Gregory","non-dropping-particle":"","parse-names":false,"suffix":""},{"dropping-particle":"","family":"Clavier","given":"Jordan D.","non-dropping-particle":"","parse-names":false,"suffix":""},{"dropping-particle":"","family":"Francois","given":"Michelle R.","non-dropping-particle":"","parse-names":false,"suffix":""},{"dropping-particle":"","family":"Thomas","given":"Craig","non-dropping-particle":"","parse-names":false,"suffix":""},{"dropping-particle":"","family":"Kraemer","given":"Robert R.","non-dropping-particle":"","parse-names":false,"suffix":""}],"container-title":"Journal of Strength and Conditioning Research","id":"ITEM-1","issue":"1","issued":{"date-parts":[["2010"]]},"page":"235-243","title":"Partial occlusion during resistance exercise alters effort sense and pain","type":"article-journal","volume":"24"},"uris":["http://www.mendeley.com/documents/?uuid=752faa32-d677-405b-bb01-c3572ce29b8e"]},{"id":"ITEM-2","itemData":{"DOI":"10.1519/JSC.0000000000001478","ISBN":"0000000000","ISSN":"15334295","PMID":"27191690","abstract":"The purpose of this study was to determine the adaptive response of ratings of perceived exertion (RPE) and pain over 6 consecutive training sessions. Thirty subjects were assigned to either a blood flow restriction training (BFRT) group or a high- intensity resistance training (HIT) group. Blood flow–restricted training group performed 4 sets (30 + 15 + 15 + 15, respec- tively) of unilateral leg extension at an intensity of 20% one repetition maximum (1RM) while a restrictive cuff was applied to the most proximal part of the leg. The HIT group performed 3 sets of 8 repetitions with 85% 1RM. Ratings of perceived exertion and pain were assessed immediately after each exercise set along the 6 training sessions and were then averaged to obtain the overall RPE and pain per session. Statistical analyses showed significant main effects for group (p#0.05) and time (p , 0.001). Ratings of perceived exertion values dropped from session 1 to session 6 in both BFRT (8.1261.3 to 5.761.1, p , 0.001) and HIT (8.5 61.2 to 6.4061.2, p, 0.001). Similar results were observed regarding pain ratings (BFRT: 8.1261.3 to 5.9061.55, p,0.001; HIT: 6.2261.7 to 5.1461.42, p, 0.01). Our results indicate that RPE was higher after HIT, whereas differences did not reach significance regarding pain. These perceptual responses were attenuated over time, and the time course of this adaptive response was similar between BFRT and HIT. In summary, BFRT induces a marked perceptual response to training, comparable with that observed with HIT. However, this response becomes attenuated with continuous practice, leading to moderate values of RPE and pain. Percep- tual responses may not limit the application of BFRT to highly motivated individuals.","author":[{"dropping-particle":"","family":"Martín-Hernández","given":"Juan","non-dropping-particle":"","parse-names":false,"suffix":""},{"dropping-particle":"","family":"Ruiz-Aguado","given":"Jorge","non-dropping-particle":"","parse-names":false,"suffix":""},{"dropping-particle":"","family":"Herrero","given":"Azael J.","non-dropping-particle":"","parse-names":false,"suffix":""},{"dropping-particle":"","family":"Loenneke","given":"Jeremy P","non-dropping-particle":"","parse-names":false,"suffix":""},{"dropping-particle":"","family":"Aagaard","given":"Per","non-dropping-particle":"","parse-names":false,"suffix":""},{"dropping-particle":"","family":"Cristi-Montero","given":"Carlos","non-dropping-particle":"","parse-names":false,"suffix":""},{"dropping-particle":"","family":"Menéndez","given":"Héctor","non-dropping-particle":"","parse-names":false,"suffix":""},{"dropping-particle":"","family":"Marín","given":"Pedro J.","non-dropping-particle":"","parse-names":false,"suffix":""}],"container-title":"Journal of Strength and Conditioning Research","id":"ITEM-2","issue":"3","issued":{"date-parts":[["2016"]]},"page":"765-772","title":"Adaptation of perceptual responses to low-load blood flow restriction training","type":"article-journal","volume":"31"},"uris":["http://www.mendeley.com/documents/?uuid=5c6d9b5d-9664-4078-8221-97f856011a31"]}],"mendeley":{"formattedCitation":"(23, 48)","plainTextFormattedCitation":"(23, 48)","previouslyFormattedCitation":"(23, 48)"},"properties":{"noteIndex":0},"schema":"https://github.com/citation-style-language/schema/raw/master/csl-citation.json"}</w:instrText>
      </w:r>
      <w:r w:rsidR="001E5F2A"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(23, 48)</w:t>
      </w:r>
      <w:r w:rsidR="001E5F2A" w:rsidRPr="008072C7">
        <w:rPr>
          <w:rFonts w:ascii="Arial" w:hAnsi="Arial" w:cs="Arial"/>
          <w:color w:val="000000" w:themeColor="text1"/>
          <w:sz w:val="20"/>
          <w:szCs w:val="20"/>
        </w:rPr>
        <w:fldChar w:fldCharType="end"/>
      </w:r>
      <w:r w:rsidR="00D442D5" w:rsidRPr="008072C7">
        <w:rPr>
          <w:rFonts w:ascii="Arial" w:hAnsi="Arial" w:cs="Arial"/>
          <w:color w:val="000000" w:themeColor="text1"/>
          <w:sz w:val="20"/>
          <w:szCs w:val="20"/>
        </w:rPr>
        <w:t>. This</w:t>
      </w:r>
      <w:r w:rsidR="001E5F2A" w:rsidRPr="008072C7">
        <w:rPr>
          <w:rFonts w:ascii="Arial" w:hAnsi="Arial" w:cs="Arial"/>
          <w:color w:val="000000" w:themeColor="text1"/>
          <w:sz w:val="20"/>
          <w:szCs w:val="20"/>
        </w:rPr>
        <w:t xml:space="preserve"> </w:t>
      </w:r>
      <w:r w:rsidR="00D442D5" w:rsidRPr="008072C7">
        <w:rPr>
          <w:rFonts w:ascii="Arial" w:hAnsi="Arial" w:cs="Arial"/>
          <w:color w:val="000000" w:themeColor="text1"/>
          <w:sz w:val="20"/>
          <w:szCs w:val="20"/>
        </w:rPr>
        <w:t>is often attributed to</w:t>
      </w:r>
      <w:r w:rsidR="001E5F2A" w:rsidRPr="008072C7">
        <w:rPr>
          <w:rFonts w:ascii="Arial" w:hAnsi="Arial" w:cs="Arial"/>
          <w:color w:val="000000" w:themeColor="text1"/>
          <w:sz w:val="20"/>
          <w:szCs w:val="20"/>
        </w:rPr>
        <w:t xml:space="preserve"> stimulation of group III and IV afferent fibres </w:t>
      </w:r>
      <w:r w:rsidR="00D442D5" w:rsidRPr="008072C7">
        <w:rPr>
          <w:rFonts w:ascii="Arial" w:hAnsi="Arial" w:cs="Arial"/>
          <w:color w:val="000000" w:themeColor="text1"/>
          <w:sz w:val="20"/>
          <w:szCs w:val="20"/>
        </w:rPr>
        <w:t xml:space="preserve">and a subsequent </w:t>
      </w:r>
      <w:r w:rsidR="001E5F2A" w:rsidRPr="008072C7">
        <w:rPr>
          <w:rFonts w:ascii="Arial" w:hAnsi="Arial" w:cs="Arial"/>
          <w:color w:val="000000" w:themeColor="text1"/>
          <w:sz w:val="20"/>
          <w:szCs w:val="20"/>
        </w:rPr>
        <w:t>increase</w:t>
      </w:r>
      <w:r w:rsidR="00D442D5" w:rsidRPr="008072C7">
        <w:rPr>
          <w:rFonts w:ascii="Arial" w:hAnsi="Arial" w:cs="Arial"/>
          <w:color w:val="000000" w:themeColor="text1"/>
          <w:sz w:val="20"/>
          <w:szCs w:val="20"/>
        </w:rPr>
        <w:t xml:space="preserve"> in</w:t>
      </w:r>
      <w:r w:rsidR="001E5F2A" w:rsidRPr="008072C7">
        <w:rPr>
          <w:rFonts w:ascii="Arial" w:hAnsi="Arial" w:cs="Arial"/>
          <w:color w:val="000000" w:themeColor="text1"/>
          <w:sz w:val="20"/>
          <w:szCs w:val="20"/>
        </w:rPr>
        <w:t xml:space="preserve"> sympathetic nervous activity and perception of pain and discomfort </w:t>
      </w:r>
      <w:r w:rsidR="001E5F2A"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author":[{"dropping-particle":"","family":"Takarada","given":"Yudai","non-dropping-particle":"","parse-names":false,"suffix":""},{"dropping-particle":"","family":"Nakamura","given":"Yutaka","non-dropping-particle":"","parse-names":false,"suffix":""},{"dropping-particle":"","family":"Aruga","given":"Seiji","non-dropping-particle":"","parse-names":false,"suffix":""},{"dropping-particle":"","family":"Onda","given":"Tetuya","non-dropping-particle":"","parse-names":false,"suffix":""},{"dropping-particle":"","family":"Miyazaki","given":"Seiji","non-dropping-particle":"","parse-names":false,"suffix":""},{"dropping-particle":"","family":"Ishii","given":"Naokata","non-dropping-particle":"","parse-names":false,"suffix":""}],"container-title":"Journal of applied physiology","id":"ITEM-1","issued":{"date-parts":[["2000"]]},"page":"61-65","title":"Rapid increase in plasma growth hormone after low-intensity resistance exercise with vascular occlusion","type":"article-journal","volume":"88"},"uris":["http://www.mendeley.com/documents/?uuid=1f67ec91-90ed-46e4-8757-29f8d5ed3eda"]}],"mendeley":{"formattedCitation":"(65)","plainTextFormattedCitation":"(65)","previouslyFormattedCitation":"(65)"},"properties":{"noteIndex":0},"schema":"https://github.com/citation-style-language/schema/raw/master/csl-citation.json"}</w:instrText>
      </w:r>
      <w:r w:rsidR="001E5F2A"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(65)</w:t>
      </w:r>
      <w:r w:rsidR="001E5F2A" w:rsidRPr="008072C7">
        <w:rPr>
          <w:rFonts w:ascii="Arial" w:hAnsi="Arial" w:cs="Arial"/>
          <w:color w:val="000000" w:themeColor="text1"/>
          <w:sz w:val="20"/>
          <w:szCs w:val="20"/>
        </w:rPr>
        <w:fldChar w:fldCharType="end"/>
      </w:r>
      <w:r w:rsidR="001E5F2A" w:rsidRPr="008072C7">
        <w:rPr>
          <w:rFonts w:ascii="Arial" w:hAnsi="Arial" w:cs="Arial"/>
          <w:color w:val="000000" w:themeColor="text1"/>
          <w:sz w:val="20"/>
          <w:szCs w:val="20"/>
        </w:rPr>
        <w:t>.</w:t>
      </w:r>
      <w:r w:rsidR="0071319F" w:rsidRPr="008072C7">
        <w:rPr>
          <w:rFonts w:ascii="Arial" w:hAnsi="Arial" w:cs="Arial"/>
          <w:color w:val="000000" w:themeColor="text1"/>
          <w:sz w:val="20"/>
          <w:szCs w:val="20"/>
        </w:rPr>
        <w:t xml:space="preserve"> </w:t>
      </w:r>
      <w:r w:rsidR="003D7C1C">
        <w:rPr>
          <w:rFonts w:ascii="Arial" w:hAnsi="Arial" w:cs="Arial"/>
          <w:color w:val="000000" w:themeColor="text1"/>
          <w:sz w:val="20"/>
          <w:szCs w:val="20"/>
        </w:rPr>
        <w:t>M</w:t>
      </w:r>
      <w:r w:rsidR="001E5F2A" w:rsidRPr="008072C7">
        <w:rPr>
          <w:rFonts w:ascii="Arial" w:hAnsi="Arial" w:cs="Arial"/>
          <w:color w:val="000000" w:themeColor="text1"/>
          <w:sz w:val="20"/>
          <w:szCs w:val="20"/>
        </w:rPr>
        <w:t xml:space="preserve">uscle discomfort was greater in the exercising limb during </w:t>
      </w:r>
      <w:r w:rsidR="00267221" w:rsidRPr="008072C7">
        <w:rPr>
          <w:rFonts w:ascii="Arial" w:hAnsi="Arial" w:cs="Arial"/>
          <w:color w:val="000000" w:themeColor="text1"/>
          <w:sz w:val="20"/>
          <w:szCs w:val="20"/>
        </w:rPr>
        <w:t xml:space="preserve">both </w:t>
      </w:r>
      <w:r w:rsidR="001E5F2A" w:rsidRPr="008072C7">
        <w:rPr>
          <w:rFonts w:ascii="Arial" w:hAnsi="Arial" w:cs="Arial"/>
          <w:color w:val="000000" w:themeColor="text1"/>
          <w:sz w:val="20"/>
          <w:szCs w:val="20"/>
        </w:rPr>
        <w:t xml:space="preserve">BFR-RE conditions, </w:t>
      </w:r>
      <w:r w:rsidR="00963A44" w:rsidRPr="008072C7">
        <w:rPr>
          <w:rFonts w:ascii="Arial" w:hAnsi="Arial" w:cs="Arial"/>
          <w:color w:val="000000" w:themeColor="text1"/>
          <w:sz w:val="20"/>
          <w:szCs w:val="20"/>
        </w:rPr>
        <w:t xml:space="preserve">and results of the mediation analysis demonstrate that muscle discomfort mediates the relationship of exercise intervention on change in PPT, </w:t>
      </w:r>
      <w:r w:rsidR="001E5F2A" w:rsidRPr="008072C7">
        <w:rPr>
          <w:rFonts w:ascii="Arial" w:hAnsi="Arial" w:cs="Arial"/>
          <w:color w:val="000000" w:themeColor="text1"/>
          <w:sz w:val="20"/>
          <w:szCs w:val="20"/>
        </w:rPr>
        <w:t>which indicate</w:t>
      </w:r>
      <w:r w:rsidR="00963A44" w:rsidRPr="008072C7">
        <w:rPr>
          <w:rFonts w:ascii="Arial" w:hAnsi="Arial" w:cs="Arial"/>
          <w:color w:val="000000" w:themeColor="text1"/>
          <w:sz w:val="20"/>
          <w:szCs w:val="20"/>
        </w:rPr>
        <w:t>s</w:t>
      </w:r>
      <w:r w:rsidR="001E5F2A" w:rsidRPr="008072C7">
        <w:rPr>
          <w:rFonts w:ascii="Arial" w:hAnsi="Arial" w:cs="Arial"/>
          <w:color w:val="000000" w:themeColor="text1"/>
          <w:sz w:val="20"/>
          <w:szCs w:val="20"/>
        </w:rPr>
        <w:t xml:space="preserve"> a link between the pain and discomfort generated during exercise and the EIH response. </w:t>
      </w:r>
      <w:r w:rsidR="0071319F" w:rsidRPr="008072C7">
        <w:rPr>
          <w:rFonts w:ascii="Arial" w:hAnsi="Arial" w:cs="Arial"/>
          <w:color w:val="000000" w:themeColor="text1"/>
          <w:sz w:val="20"/>
          <w:szCs w:val="20"/>
        </w:rPr>
        <w:t>The greater increase in PPT alongside greater discomfort scores in the exercising limb within the high pressure</w:t>
      </w:r>
      <w:r w:rsidR="00267221" w:rsidRPr="008072C7">
        <w:rPr>
          <w:rFonts w:ascii="Arial" w:hAnsi="Arial" w:cs="Arial"/>
          <w:color w:val="000000" w:themeColor="text1"/>
          <w:sz w:val="20"/>
          <w:szCs w:val="20"/>
        </w:rPr>
        <w:t xml:space="preserve"> BFR condition</w:t>
      </w:r>
      <w:r w:rsidR="0071319F" w:rsidRPr="008072C7">
        <w:rPr>
          <w:rFonts w:ascii="Arial" w:hAnsi="Arial" w:cs="Arial"/>
          <w:color w:val="000000" w:themeColor="text1"/>
          <w:sz w:val="20"/>
          <w:szCs w:val="20"/>
        </w:rPr>
        <w:t xml:space="preserve"> compared to </w:t>
      </w:r>
      <w:r w:rsidR="00985F53" w:rsidRPr="008072C7">
        <w:rPr>
          <w:rFonts w:ascii="Arial" w:hAnsi="Arial" w:cs="Arial"/>
          <w:color w:val="000000" w:themeColor="text1"/>
          <w:sz w:val="20"/>
          <w:szCs w:val="20"/>
        </w:rPr>
        <w:t xml:space="preserve">the </w:t>
      </w:r>
      <w:r w:rsidR="0071319F" w:rsidRPr="008072C7">
        <w:rPr>
          <w:rFonts w:ascii="Arial" w:hAnsi="Arial" w:cs="Arial"/>
          <w:color w:val="000000" w:themeColor="text1"/>
          <w:sz w:val="20"/>
          <w:szCs w:val="20"/>
        </w:rPr>
        <w:t xml:space="preserve">low pressure BFR </w:t>
      </w:r>
      <w:r w:rsidR="00267221" w:rsidRPr="008072C7">
        <w:rPr>
          <w:rFonts w:ascii="Arial" w:hAnsi="Arial" w:cs="Arial"/>
          <w:color w:val="000000" w:themeColor="text1"/>
          <w:sz w:val="20"/>
          <w:szCs w:val="20"/>
        </w:rPr>
        <w:t>condition</w:t>
      </w:r>
      <w:r w:rsidR="0071319F" w:rsidRPr="008072C7">
        <w:rPr>
          <w:rFonts w:ascii="Arial" w:hAnsi="Arial" w:cs="Arial"/>
          <w:color w:val="000000" w:themeColor="text1"/>
          <w:sz w:val="20"/>
          <w:szCs w:val="20"/>
        </w:rPr>
        <w:t xml:space="preserve"> would support this. </w:t>
      </w:r>
      <w:r w:rsidR="001E5F2A" w:rsidRPr="008072C7">
        <w:rPr>
          <w:rFonts w:ascii="Arial" w:hAnsi="Arial" w:cs="Arial"/>
          <w:color w:val="000000" w:themeColor="text1"/>
          <w:sz w:val="20"/>
          <w:szCs w:val="20"/>
        </w:rPr>
        <w:t xml:space="preserve">This would </w:t>
      </w:r>
      <w:r w:rsidR="00985F53" w:rsidRPr="008072C7">
        <w:rPr>
          <w:rFonts w:ascii="Arial" w:hAnsi="Arial" w:cs="Arial"/>
          <w:color w:val="000000" w:themeColor="text1"/>
          <w:sz w:val="20"/>
          <w:szCs w:val="20"/>
        </w:rPr>
        <w:t xml:space="preserve">also </w:t>
      </w:r>
      <w:r w:rsidR="001E5F2A" w:rsidRPr="008072C7">
        <w:rPr>
          <w:rFonts w:ascii="Arial" w:hAnsi="Arial" w:cs="Arial"/>
          <w:color w:val="000000" w:themeColor="text1"/>
          <w:sz w:val="20"/>
          <w:szCs w:val="20"/>
        </w:rPr>
        <w:t xml:space="preserve">agree with existing research which shows the magnitude of EIH to be greater following painful compared to non-painful exercise </w:t>
      </w:r>
      <w:r w:rsidR="001E5F2A"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{"citationItems":[{"id":"ITEM-1","itemData":{"DOI":"10.1111/psyp.12168","author":[{"dropping-particle":"","family":"Ellingson","given":"Laura D","non-dropping-particle":"","parse-names":false,"suffix":""},{"dropping-particle":"","family":"Koltyn","given":"Kelli F","non-dropping-particle":"","parse-names":false,"suffix":""},{"dropping-particle":"","family":"Kim","given":"Jee-seon","non-dropping-particle":"","parse-names":false,"suffix":""},{"dropping-particle":"","family":"Cook","given":"Dane B","non-dropping-particle":"","parse-names":false,"suffix":""}],"container-title":"Psychophysiology","id":"ITEM-1","issue":"3","issued":{"date-parts":[["2014"]]},"page":"267-276","title":"Does exercise induce hypoalgesia through conditioned pain modulation?","type":"article-journal","volume":"51"},"uris":["http://www.mendeley.com/documents/?uuid=92361fbf-23f6-4bc2-8fe5-71a51f26103e"]},{"id":"ITEM-2","itemData":{"DOI":"10.1249/MSS.0b013e31817eeecc","abstract":"Dose Response of Isometric Contractions on Pain Perception in Healthy Adults. Med. Sci. Sports Exerc., Vol. 40, No. 11, pp. 1880–1889, 2008. Introduction: The purpose of the study was to compare pain ratings and thresholds in men and women before and after isometric contractions of varying intensity and duration performed with the elbow flexor muscles. Methods: Pain perception was assessed, using a pressure device applied to the contralateral finger, before and after the following isometric contractions: 1) three brief maximal voluntary contractions (MVC), 2) 25% MVC sustained until task failure, 3) 25% MVC sustained for 2 min, and 4) 80% MVC sustained until task failure. Results: High-intensity and long-duration, low-intensity isometric contractions produced an analgesic response. The greatest change in pain threshold and pain ratings, when pressure was applied to the contralateral finger, was after the long-duration, low-intensity contraction sustained until failure. Sex differences were present with women reporting 1) lower pain thresholds and higher pain ratings during quiet rest and 2) higher pain ratings before and after isometric contractions. Conclusion: These results suggest that activation of high-threshold motor units is involved in exercise-induced analgesia.","author":[{"dropping-particle":"","family":"Hoeger-Bement","given":"Marie K","non-dropping-particle":"","parse-names":false,"suffix":""},{"dropping-particle":"","family":"Dicapo","given":"John","non-dropping-particle":"","parse-names":false,"suffix":""},{"dropping-particle":"","family":"Rasiarmos","given":"Rebecca","non-dropping-particle":"","parse-names":false,"suffix":""},{"dropping-particle":"","family":"Hunter","given":"Sandra K","non-dropping-particle":"","parse-names":false,"suffix":""}],"container-title":"Medicine &amp; Science in Sports &amp; Exercise","id":"ITEM-2","issue":"11","issued":{"date-parts":[["2008"]]},"page":"1880-1889","title":"Dose Response of Isometric Contractions on Pain Perception in Healthy Adults","type":"article-journal","volume":"40"},"uris":["http://www.mendeley.com/documents/?uuid=c9544ef3-f4a5-4e89-80c8-10ca32f9247a"]}],"mendeley":{"formattedCitation":"(8, 19)","plainTextFormattedCitation":"(8, 19)","previouslyFormattedCitation":"(8, 19)"},"properties":{"noteIndex":0},"schema":"https://github.com/citation-style-language/schema/raw/master/csl-citation.json"}</w:instrText>
      </w:r>
      <w:r w:rsidR="001E5F2A"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(8, 19)</w:t>
      </w:r>
      <w:r w:rsidR="001E5F2A" w:rsidRPr="008072C7">
        <w:rPr>
          <w:rFonts w:ascii="Arial" w:hAnsi="Arial" w:cs="Arial"/>
          <w:color w:val="000000" w:themeColor="text1"/>
          <w:sz w:val="20"/>
          <w:szCs w:val="20"/>
        </w:rPr>
        <w:fldChar w:fldCharType="end"/>
      </w:r>
      <w:r w:rsidR="001E5F2A" w:rsidRPr="008072C7">
        <w:rPr>
          <w:rFonts w:ascii="Arial" w:hAnsi="Arial" w:cs="Arial"/>
          <w:color w:val="000000" w:themeColor="text1"/>
          <w:sz w:val="20"/>
          <w:szCs w:val="20"/>
        </w:rPr>
        <w:t>.</w:t>
      </w:r>
      <w:r w:rsidR="00F417A9" w:rsidRPr="008072C7">
        <w:rPr>
          <w:rFonts w:ascii="Arial" w:hAnsi="Arial" w:cs="Arial"/>
          <w:color w:val="000000" w:themeColor="text1"/>
          <w:sz w:val="20"/>
          <w:szCs w:val="20"/>
        </w:rPr>
        <w:t xml:space="preserve"> BFR-RE is often associated with a sensation of numbness; it has been suggested that pressure applied to the peripheral nerve results in ischemia and nerve conduction blockage </w:t>
      </w:r>
      <w:r w:rsidR="00F417A9"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{"citationItems":[{"id":"ITEM-1","itemData":{"author":[{"dropping-particle":"","family":"Lundborg","given":"G","non-dropping-particle":"","parse-names":false,"suffix":""}],"id":"ITEM-1","issued":{"date-parts":[["1988"]]},"publisher":"Churchill Linvingstone","publisher-place":"Edinburgh","title":"Nerve injury and repair","type":"book"},"uris":["http://www.mendeley.com/documents/?uuid=0d80a8df-12b4-4f0b-8ce0-e6e929048ab3"]}],"mendeley":{"formattedCitation":"(46)","plainTextFormattedCitation":"(46)","previouslyFormattedCitation":"(46)"},"properties":{"noteIndex":0},"schema":"https://github.com/citation-style-language/schema/raw/master/csl-citation.json"}</w:instrText>
      </w:r>
      <w:r w:rsidR="00F417A9"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(46)</w:t>
      </w:r>
      <w:r w:rsidR="00F417A9" w:rsidRPr="008072C7">
        <w:rPr>
          <w:rFonts w:ascii="Arial" w:hAnsi="Arial" w:cs="Arial"/>
          <w:color w:val="000000" w:themeColor="text1"/>
          <w:sz w:val="20"/>
          <w:szCs w:val="20"/>
        </w:rPr>
        <w:fldChar w:fldCharType="end"/>
      </w:r>
      <w:r w:rsidR="00F417A9" w:rsidRPr="008072C7">
        <w:rPr>
          <w:rFonts w:ascii="Arial" w:hAnsi="Arial" w:cs="Arial"/>
          <w:color w:val="000000" w:themeColor="text1"/>
          <w:sz w:val="20"/>
          <w:szCs w:val="20"/>
        </w:rPr>
        <w:t xml:space="preserve">, which could possible alter the sensation of pain with BFR-RE. Though we did not measure nerve conduction velocity in the present study, Clark et al. </w:t>
      </w:r>
      <w:r w:rsidR="00F417A9"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{"citationItems":[{"id":"ITEM-1","itemData":{"DOI":"10.1111/j.1600-0838.2010.01100.x","abstract":"</w:instrText>
      </w:r>
      <w:r w:rsidR="00794A33" w:rsidRPr="008072C7">
        <w:rPr>
          <w:rFonts w:ascii="Microsoft JhengHei" w:eastAsia="Microsoft JhengHei" w:hAnsi="Microsoft JhengHei" w:cs="Microsoft JhengHei" w:hint="eastAsia"/>
          <w:color w:val="000000" w:themeColor="text1"/>
          <w:sz w:val="20"/>
          <w:szCs w:val="20"/>
        </w:rPr>
        <w:instrText>环</w:instrText>
      </w:r>
      <w:r w:rsidR="00794A33" w:rsidRPr="008072C7">
        <w:rPr>
          <w:rFonts w:ascii="MS Gothic" w:eastAsia="MS Gothic" w:hAnsi="MS Gothic" w:cs="MS Gothic" w:hint="eastAsia"/>
          <w:color w:val="000000" w:themeColor="text1"/>
          <w:sz w:val="20"/>
          <w:szCs w:val="20"/>
        </w:rPr>
        <w:instrText>境中砷与</w:instrText>
      </w:r>
      <w:r w:rsidR="00794A33" w:rsidRPr="008072C7">
        <w:rPr>
          <w:rFonts w:ascii="Microsoft JhengHei" w:eastAsia="Microsoft JhengHei" w:hAnsi="Microsoft JhengHei" w:cs="Microsoft JhengHei" w:hint="eastAsia"/>
          <w:color w:val="000000" w:themeColor="text1"/>
          <w:sz w:val="20"/>
          <w:szCs w:val="20"/>
        </w:rPr>
        <w:instrText>铬</w:instrText>
      </w:r>
      <w:r w:rsidR="00794A33" w:rsidRPr="008072C7">
        <w:rPr>
          <w:rFonts w:ascii="MS Gothic" w:eastAsia="MS Gothic" w:hAnsi="MS Gothic" w:cs="MS Gothic" w:hint="eastAsia"/>
          <w:color w:val="000000" w:themeColor="text1"/>
          <w:sz w:val="20"/>
          <w:szCs w:val="20"/>
        </w:rPr>
        <w:instrText>暴露</w:instrText>
      </w:r>
      <w:r w:rsidR="00794A33" w:rsidRPr="008072C7">
        <w:rPr>
          <w:rFonts w:ascii="Microsoft JhengHei" w:eastAsia="Microsoft JhengHei" w:hAnsi="Microsoft JhengHei" w:cs="Microsoft JhengHei" w:hint="eastAsia"/>
          <w:color w:val="000000" w:themeColor="text1"/>
          <w:sz w:val="20"/>
          <w:szCs w:val="20"/>
        </w:rPr>
        <w:instrText>对</w:instrText>
      </w:r>
      <w:r w:rsidR="00794A33" w:rsidRPr="008072C7">
        <w:rPr>
          <w:rFonts w:ascii="MS Gothic" w:eastAsia="MS Gothic" w:hAnsi="MS Gothic" w:cs="MS Gothic" w:hint="eastAsia"/>
          <w:color w:val="000000" w:themeColor="text1"/>
          <w:sz w:val="20"/>
          <w:szCs w:val="20"/>
        </w:rPr>
        <w:instrText>于儿童</w:instrText>
      </w:r>
      <w:r w:rsidR="00794A33" w:rsidRPr="008072C7">
        <w:rPr>
          <w:rFonts w:ascii="Microsoft JhengHei" w:eastAsia="Microsoft JhengHei" w:hAnsi="Microsoft JhengHei" w:cs="Microsoft JhengHei" w:hint="eastAsia"/>
          <w:color w:val="000000" w:themeColor="text1"/>
          <w:sz w:val="20"/>
          <w:szCs w:val="20"/>
        </w:rPr>
        <w:instrText>肾</w:instrText>
      </w:r>
      <w:r w:rsidR="00794A33" w:rsidRPr="008072C7">
        <w:rPr>
          <w:rFonts w:ascii="MS Gothic" w:eastAsia="MS Gothic" w:hAnsi="MS Gothic" w:cs="MS Gothic" w:hint="eastAsia"/>
          <w:color w:val="000000" w:themeColor="text1"/>
          <w:sz w:val="20"/>
          <w:szCs w:val="20"/>
        </w:rPr>
        <w:instrText>功能的影响</w:instrText>
      </w:r>
      <w:r w:rsidR="00794A33" w:rsidRPr="008072C7">
        <w:rPr>
          <w:rFonts w:ascii="Arial" w:hAnsi="Arial" w:cs="Arial"/>
          <w:color w:val="000000" w:themeColor="text1"/>
          <w:sz w:val="20"/>
          <w:szCs w:val="20"/>
        </w:rPr>
        <w:instrText>","author":[{"dropping-particle":"","family":"Clark","given":"Brian C.","non-dropping-particle":"","parse-names":false,"suffix":""},{"dropping-particle":"","family":"Manini","given":"Todd M.","non-dropping-particle":"","parse-names":false,"suffix":""},{"dropping-particle":"","family":"Hoffman","given":"Richard L.","non-dropping-particle":"","parse-names":false,"suffix":""},{"dropping-particle":"","family":"Williams","given":"P. S.","non-dropping-particle":"","parse-names":false,"suffix":""},{"dropping-particle":"","family":"Guiler","given":"M. K.","non-dropping-particle":"","parse-names":false,"suffix":""},{"dropping-particle":"","family":"Knutson","given":"M. J.","non-dropping-particle":"","parse-names":false,"suffix":""},{"dropping-particle":"","family":"McGlynn","given":"M. L.","non-dropping-particle":"","parse-names":false,"suffix":""},{"dropping-particle":"","family":"Kushnick","given":"M. R.","non-dropping-particle":"","parse-names":false,"suffix":""}],"container-title":"Scandinavian Journal of Medicine &amp; Science in Sports","id":"ITEM-1","issue":"5","issued":{"date-parts":[["2011"]]},"page":"653-662","title":"Relative safety of 4 weeks of blood flow-restricted resistance exercise in young, healthy adults","type":"article-journal","volume":"21"},"uris":["http://www.mendeley.com/documents/?uuid=978778f8-24e4-4fb2-9052-bf680b84921c"]}],"mendeley":{"formattedCitation":"(5)","plainTextFormattedCitation":"(5)","previouslyFormattedCitation":"(5)"},"properties":{"noteIndex":0},"schema":"https://github.com/citation-style-language/schema/raw/master/csl-citation.json"}</w:instrText>
      </w:r>
      <w:r w:rsidR="00F417A9"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(5)</w:t>
      </w:r>
      <w:r w:rsidR="00F417A9" w:rsidRPr="008072C7">
        <w:rPr>
          <w:rFonts w:ascii="Arial" w:hAnsi="Arial" w:cs="Arial"/>
          <w:color w:val="000000" w:themeColor="text1"/>
          <w:sz w:val="20"/>
          <w:szCs w:val="20"/>
        </w:rPr>
        <w:fldChar w:fldCharType="end"/>
      </w:r>
      <w:r w:rsidR="00F417A9" w:rsidRPr="008072C7">
        <w:rPr>
          <w:rFonts w:ascii="Arial" w:hAnsi="Arial" w:cs="Arial"/>
          <w:color w:val="000000" w:themeColor="text1"/>
          <w:sz w:val="20"/>
          <w:szCs w:val="20"/>
        </w:rPr>
        <w:t xml:space="preserve"> found no changes in nerve conduction velocity before and after 4 weeks of BFR-RE resistance training. Furthermore, as any side effects of nerve compression </w:t>
      </w:r>
      <w:r w:rsidR="00F417A9" w:rsidRPr="008072C7">
        <w:rPr>
          <w:rFonts w:ascii="Arial" w:hAnsi="Arial" w:cs="Arial"/>
          <w:color w:val="000000" w:themeColor="text1"/>
          <w:sz w:val="20"/>
          <w:szCs w:val="20"/>
        </w:rPr>
        <w:lastRenderedPageBreak/>
        <w:t xml:space="preserve">are rapidly reversible </w:t>
      </w:r>
      <w:r w:rsidR="00F417A9"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{"citationItems":[{"id":"ITEM-1","itemData":{"author":[{"dropping-particle":"","family":"Lundborg","given":"G","non-dropping-particle":"","parse-names":false,"suffix":""}],"id":"ITEM-1","issued":{"date-parts":[["1988"]]},"publisher":"Churchill Linvingstone","publisher-place":"Edinburgh","title":"Nerve injury and repair","type":"book"},"uris":["http://www.mendeley.com/documents/?uuid=0d80a8df-12b4-4f0b-8ce0-e6e929048ab3"]}],"mendeley":{"formattedCitation":"(46)","plainTextFormattedCitation":"(46)","previouslyFormattedCitation":"(46)"},"properties":{"noteIndex":0},"schema":"https://github.com/citation-style-language/schema/raw/master/csl-citation.json"}</w:instrText>
      </w:r>
      <w:r w:rsidR="00F417A9"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(46)</w:t>
      </w:r>
      <w:r w:rsidR="00F417A9" w:rsidRPr="008072C7">
        <w:rPr>
          <w:rFonts w:ascii="Arial" w:hAnsi="Arial" w:cs="Arial"/>
          <w:color w:val="000000" w:themeColor="text1"/>
          <w:sz w:val="20"/>
          <w:szCs w:val="20"/>
        </w:rPr>
        <w:fldChar w:fldCharType="end"/>
      </w:r>
      <w:r w:rsidR="00F417A9" w:rsidRPr="008072C7">
        <w:rPr>
          <w:rFonts w:ascii="Arial" w:hAnsi="Arial" w:cs="Arial"/>
          <w:color w:val="000000" w:themeColor="text1"/>
          <w:sz w:val="20"/>
          <w:szCs w:val="20"/>
        </w:rPr>
        <w:t xml:space="preserve"> it is unlikely that the elevation of PPTs at 24h following BFR-RE in the present study is </w:t>
      </w:r>
      <w:r w:rsidR="00BC45F8" w:rsidRPr="008072C7">
        <w:rPr>
          <w:rFonts w:ascii="Arial" w:hAnsi="Arial" w:cs="Arial"/>
          <w:color w:val="000000" w:themeColor="text1"/>
          <w:sz w:val="20"/>
          <w:szCs w:val="20"/>
        </w:rPr>
        <w:t xml:space="preserve">due to alterations in neural function. </w:t>
      </w:r>
      <w:r w:rsidR="0087726F" w:rsidRPr="008072C7">
        <w:rPr>
          <w:rFonts w:ascii="Arial" w:hAnsi="Arial" w:cs="Arial"/>
          <w:color w:val="000000" w:themeColor="text1"/>
          <w:sz w:val="20"/>
          <w:szCs w:val="20"/>
        </w:rPr>
        <w:t>Other possible mechanisms of a greater EIH response with BFR-RE include i</w:t>
      </w:r>
      <w:r w:rsidR="00985F53" w:rsidRPr="008072C7">
        <w:rPr>
          <w:rFonts w:ascii="Arial" w:hAnsi="Arial" w:cs="Arial"/>
          <w:color w:val="000000" w:themeColor="text1"/>
          <w:sz w:val="20"/>
          <w:szCs w:val="20"/>
        </w:rPr>
        <w:t xml:space="preserve">ncreased </w:t>
      </w:r>
      <w:r w:rsidR="0087726F" w:rsidRPr="008072C7">
        <w:rPr>
          <w:rFonts w:ascii="Arial" w:hAnsi="Arial" w:cs="Arial"/>
          <w:color w:val="000000" w:themeColor="text1"/>
          <w:sz w:val="20"/>
          <w:szCs w:val="20"/>
        </w:rPr>
        <w:t>blood pressure, metabolite accumulation and recruitment of fast-twitch fibres</w:t>
      </w:r>
      <w:r w:rsidR="00985F53" w:rsidRPr="008072C7">
        <w:rPr>
          <w:rFonts w:ascii="Arial" w:hAnsi="Arial" w:cs="Arial"/>
          <w:color w:val="000000" w:themeColor="text1"/>
          <w:sz w:val="20"/>
          <w:szCs w:val="20"/>
        </w:rPr>
        <w:t xml:space="preserve">, all of </w:t>
      </w:r>
      <w:r w:rsidR="0087726F" w:rsidRPr="008072C7">
        <w:rPr>
          <w:rFonts w:ascii="Arial" w:hAnsi="Arial" w:cs="Arial"/>
          <w:color w:val="000000" w:themeColor="text1"/>
          <w:sz w:val="20"/>
          <w:szCs w:val="20"/>
        </w:rPr>
        <w:t xml:space="preserve">which are associated with BFR exercise </w:t>
      </w:r>
      <w:r w:rsidR="0087726F"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mehy.2019.109370","ISSN":"03069877","author":[{"dropping-particle":"","family":"Hughes","given":"Luke","non-dropping-particle":"","parse-names":false,"suffix":""},{"dropping-particle":"","family":"Patterson","given":"Stephen David","non-dropping-particle":"","parse-names":false,"suffix":""}],"container-title":"Medical Hypotheses","id":"ITEM-1","issued":{"date-parts":[["2019"]]},"page":"109370","title":"Low intensity blood flow restriction exercise: Rationale for a hypoalgesia effect","type":"article-journal","volume":"132"},"uris":["http://www.mendeley.com/documents/?uuid=588c1dcc-3792-47e8-a6dd-e33b6f09998a"]}],"mendeley":{"formattedCitation":"(27)","plainTextFormattedCitation":"(27)","previouslyFormattedCitation":"(27)"},"properties":{"noteIndex":0},"schema":"https://github.com/citation-style-language/schema/raw/master/csl-citation.json"}</w:instrText>
      </w:r>
      <w:r w:rsidR="0087726F"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(27)</w:t>
      </w:r>
      <w:r w:rsidR="0087726F" w:rsidRPr="008072C7">
        <w:rPr>
          <w:rFonts w:ascii="Arial" w:hAnsi="Arial" w:cs="Arial"/>
          <w:color w:val="000000" w:themeColor="text1"/>
          <w:sz w:val="20"/>
          <w:szCs w:val="20"/>
        </w:rPr>
        <w:fldChar w:fldCharType="end"/>
      </w:r>
      <w:r w:rsidR="00267221" w:rsidRPr="008072C7">
        <w:rPr>
          <w:rFonts w:ascii="Arial" w:hAnsi="Arial" w:cs="Arial"/>
          <w:color w:val="000000" w:themeColor="text1"/>
          <w:sz w:val="20"/>
          <w:szCs w:val="20"/>
        </w:rPr>
        <w:t xml:space="preserve">; </w:t>
      </w:r>
      <w:r w:rsidR="0087726F" w:rsidRPr="008072C7">
        <w:rPr>
          <w:rFonts w:ascii="Arial" w:hAnsi="Arial" w:cs="Arial"/>
          <w:color w:val="000000" w:themeColor="text1"/>
          <w:sz w:val="20"/>
          <w:szCs w:val="20"/>
        </w:rPr>
        <w:t>however this cannot be determined from the present study.</w:t>
      </w:r>
    </w:p>
    <w:p w14:paraId="09FF6108" w14:textId="4E693D5C" w:rsidR="00B36CCF" w:rsidRPr="008072C7" w:rsidRDefault="00203B8D" w:rsidP="00476D7D">
      <w:pPr>
        <w:rPr>
          <w:rFonts w:ascii="Arial" w:hAnsi="Arial" w:cs="Arial"/>
          <w:color w:val="000000" w:themeColor="text1"/>
          <w:sz w:val="20"/>
          <w:szCs w:val="20"/>
        </w:rPr>
      </w:pPr>
      <w:r w:rsidRPr="008072C7">
        <w:rPr>
          <w:rFonts w:ascii="Arial" w:hAnsi="Arial" w:cs="Arial"/>
          <w:color w:val="000000" w:themeColor="text1"/>
          <w:sz w:val="20"/>
          <w:szCs w:val="20"/>
        </w:rPr>
        <w:t>Consistent</w:t>
      </w:r>
      <w:r w:rsidR="00BA18AE" w:rsidRPr="008072C7">
        <w:rPr>
          <w:rFonts w:ascii="Arial" w:hAnsi="Arial" w:cs="Arial"/>
          <w:color w:val="000000" w:themeColor="text1"/>
          <w:sz w:val="20"/>
          <w:szCs w:val="20"/>
        </w:rPr>
        <w:t xml:space="preserve"> with previous human research </w:t>
      </w:r>
      <w:r w:rsidR="00BA18AE"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{"citationItems":[{"id":"ITEM-1","itemData":{"DOI":"10.1249/00005768-199008000-00001","author":[{"dropping-particle":"","family":"Thoren","given":"Peter","non-dropping-particle":"","parse-names":false,"suffix":""},{"dropping-particle":"","family":"Floras","given":"John S","non-dropping-particle":"","parse-names":false,"suffix":""},{"dropping-particle":"","family":"Hoffman","given":"Pavel","non-dropping-particle":"","parse-names":false,"suffix":""},{"dropping-particle":"","family":"Seals","given":"Douglas R","non-dropping-particle":"","parse-names":false,"suffix":""}],"container-title":"Medicine &amp; Science in Sports &amp; Exercise","id":"ITEM-1","issue":"4","issued":{"date-parts":[["1990"]]},"page":"417-428.","title":"Endorphins and exercise: physiological mechanisms and clinical implications","type":"article-journal","volume":"22"},"uris":["http://www.mendeley.com/documents/?uuid=6a094909-21c7-4222-a774-3044004531b9"]},{"id":"ITEM-2","itemData":{"DOI":"10.1152/ajpendo.1991.261.2.E214","author":[{"dropping-particle":"","family":"Kjaer","given":"Michael","non-dropping-particle":"","parse-names":false,"suffix":""},{"dropping-particle":"","family":"Secher","given":"Niels H","non-dropping-particle":"","parse-names":false,"suffix":""},{"dropping-particle":"","family":"Bach","given":"Flemmin W","non-dropping-particle":"","parse-names":false,"suffix":""},{"dropping-particle":"","family":"Galbo","given":"Henrik","non-dropping-particle":"","parse-names":false,"suffix":""},{"dropping-particle":"","family":"Reeves","given":"Doreen R","non-dropping-particle":"","parse-names":false,"suffix":""},{"dropping-particle":"","family":"Mitchell","given":"Jere H","non-dropping-particle":"","parse-names":false,"suffix":""}],"container-title":"American Physiological Society","id":"ITEM-2","issued":{"date-parts":[["1991"]]},"page":"E214-20.","title":"Hormonal, metabolic, and cardiovascular exercise in humans: influence of epidural responses to static anesthesia","type":"article-journal","volume":"261"},"uris":["http://www.mendeley.com/documents/?uuid=001f35bd-888a-414f-99f4-2131b1ab8850"]}],"mendeley":{"formattedCitation":"(35, 66)","plainTextFormattedCitation":"(35, 66)","previouslyFormattedCitation":"(35, 66)"},"properties":{"noteIndex":0},"schema":"https://github.com/citation-style-language/schema/raw/master/csl-citation.json"}</w:instrText>
      </w:r>
      <w:r w:rsidR="00BA18AE"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(35, 66)</w:t>
      </w:r>
      <w:r w:rsidR="00BA18AE" w:rsidRPr="008072C7">
        <w:rPr>
          <w:rFonts w:ascii="Arial" w:hAnsi="Arial" w:cs="Arial"/>
          <w:color w:val="000000" w:themeColor="text1"/>
          <w:sz w:val="20"/>
          <w:szCs w:val="20"/>
        </w:rPr>
        <w:fldChar w:fldCharType="end"/>
      </w:r>
      <w:r w:rsidR="00BA18AE" w:rsidRPr="008072C7">
        <w:rPr>
          <w:rFonts w:ascii="Arial" w:hAnsi="Arial" w:cs="Arial"/>
          <w:color w:val="000000" w:themeColor="text1"/>
          <w:sz w:val="20"/>
          <w:szCs w:val="20"/>
        </w:rPr>
        <w:t xml:space="preserve"> the current study demonstrate</w:t>
      </w:r>
      <w:r w:rsidR="002D0E3A" w:rsidRPr="008072C7">
        <w:rPr>
          <w:rFonts w:ascii="Arial" w:hAnsi="Arial" w:cs="Arial"/>
          <w:color w:val="000000" w:themeColor="text1"/>
          <w:sz w:val="20"/>
          <w:szCs w:val="20"/>
        </w:rPr>
        <w:t xml:space="preserve">d </w:t>
      </w:r>
      <w:r w:rsidR="00BA18AE" w:rsidRPr="008072C7">
        <w:rPr>
          <w:rFonts w:ascii="Arial" w:hAnsi="Arial" w:cs="Arial"/>
          <w:color w:val="000000" w:themeColor="text1"/>
          <w:sz w:val="20"/>
          <w:szCs w:val="20"/>
        </w:rPr>
        <w:t xml:space="preserve">significant elevation of peripheral blood BE concentration following </w:t>
      </w:r>
      <w:r w:rsidR="00421849" w:rsidRPr="008072C7">
        <w:rPr>
          <w:rFonts w:ascii="Arial" w:hAnsi="Arial" w:cs="Arial"/>
          <w:color w:val="000000" w:themeColor="text1"/>
          <w:sz w:val="20"/>
          <w:szCs w:val="20"/>
        </w:rPr>
        <w:t xml:space="preserve">low (21%) and high (23%) </w:t>
      </w:r>
      <w:r w:rsidR="007F013A" w:rsidRPr="008072C7">
        <w:rPr>
          <w:rFonts w:ascii="Arial" w:hAnsi="Arial" w:cs="Arial"/>
          <w:color w:val="000000" w:themeColor="text1"/>
          <w:sz w:val="20"/>
          <w:szCs w:val="20"/>
        </w:rPr>
        <w:t xml:space="preserve">pressure </w:t>
      </w:r>
      <w:r w:rsidR="00BA18AE" w:rsidRPr="008072C7">
        <w:rPr>
          <w:rFonts w:ascii="Arial" w:hAnsi="Arial" w:cs="Arial"/>
          <w:color w:val="000000" w:themeColor="text1"/>
          <w:sz w:val="20"/>
          <w:szCs w:val="20"/>
        </w:rPr>
        <w:t>BFR-RE</w:t>
      </w:r>
      <w:r w:rsidR="00F35405" w:rsidRPr="008072C7">
        <w:rPr>
          <w:rFonts w:ascii="Arial" w:hAnsi="Arial" w:cs="Arial"/>
          <w:color w:val="000000" w:themeColor="text1"/>
          <w:sz w:val="20"/>
          <w:szCs w:val="20"/>
        </w:rPr>
        <w:t>, suggesting involvement of an opioid-mediated mechanism</w:t>
      </w:r>
      <w:r w:rsidR="00F57C80" w:rsidRPr="008072C7">
        <w:rPr>
          <w:rFonts w:ascii="Arial" w:hAnsi="Arial" w:cs="Arial"/>
          <w:color w:val="000000" w:themeColor="text1"/>
          <w:sz w:val="20"/>
          <w:szCs w:val="20"/>
        </w:rPr>
        <w:t xml:space="preserve"> in EIH with BFR-RE.</w:t>
      </w:r>
      <w:r w:rsidR="009675E0" w:rsidRPr="008072C7">
        <w:rPr>
          <w:rFonts w:ascii="Arial" w:hAnsi="Arial" w:cs="Arial"/>
          <w:color w:val="000000" w:themeColor="text1"/>
          <w:sz w:val="20"/>
          <w:szCs w:val="20"/>
        </w:rPr>
        <w:t xml:space="preserve"> The results of the mediation analyses would support this.</w:t>
      </w:r>
      <w:r w:rsidR="00F57C80" w:rsidRPr="008072C7">
        <w:rPr>
          <w:rFonts w:ascii="Arial" w:hAnsi="Arial" w:cs="Arial"/>
          <w:color w:val="000000" w:themeColor="text1"/>
          <w:sz w:val="20"/>
          <w:szCs w:val="20"/>
        </w:rPr>
        <w:t xml:space="preserve"> </w:t>
      </w:r>
      <w:r w:rsidR="00FF01DD" w:rsidRPr="008072C7">
        <w:rPr>
          <w:rFonts w:ascii="Arial" w:hAnsi="Arial" w:cs="Arial"/>
          <w:color w:val="000000" w:themeColor="text1"/>
          <w:sz w:val="20"/>
          <w:szCs w:val="20"/>
        </w:rPr>
        <w:t>Activation</w:t>
      </w:r>
      <w:r w:rsidR="005B6123" w:rsidRPr="008072C7">
        <w:rPr>
          <w:rFonts w:ascii="Arial" w:hAnsi="Arial" w:cs="Arial"/>
          <w:color w:val="000000" w:themeColor="text1"/>
          <w:sz w:val="20"/>
          <w:szCs w:val="20"/>
        </w:rPr>
        <w:t xml:space="preserve"> </w:t>
      </w:r>
      <w:r w:rsidR="007A27F9" w:rsidRPr="008072C7">
        <w:rPr>
          <w:rFonts w:ascii="Arial" w:hAnsi="Arial" w:cs="Arial"/>
          <w:color w:val="000000" w:themeColor="text1"/>
          <w:sz w:val="20"/>
          <w:szCs w:val="20"/>
        </w:rPr>
        <w:t>of the endogenous opioid system and</w:t>
      </w:r>
      <w:r w:rsidR="005B6123" w:rsidRPr="008072C7">
        <w:rPr>
          <w:rFonts w:ascii="Arial" w:hAnsi="Arial" w:cs="Arial"/>
          <w:color w:val="000000" w:themeColor="text1"/>
          <w:sz w:val="20"/>
          <w:szCs w:val="20"/>
        </w:rPr>
        <w:t xml:space="preserve"> stimulation</w:t>
      </w:r>
      <w:r w:rsidR="00FF01DD" w:rsidRPr="008072C7">
        <w:rPr>
          <w:rFonts w:ascii="Arial" w:hAnsi="Arial" w:cs="Arial"/>
          <w:color w:val="000000" w:themeColor="text1"/>
          <w:sz w:val="20"/>
          <w:szCs w:val="20"/>
        </w:rPr>
        <w:t xml:space="preserve"> of </w:t>
      </w:r>
      <w:r w:rsidR="007A27F9" w:rsidRPr="008072C7">
        <w:rPr>
          <w:rFonts w:ascii="Arial" w:hAnsi="Arial" w:cs="Arial"/>
          <w:color w:val="000000" w:themeColor="text1"/>
          <w:sz w:val="20"/>
          <w:szCs w:val="20"/>
        </w:rPr>
        <w:t>BE production</w:t>
      </w:r>
      <w:r w:rsidR="005B6123" w:rsidRPr="008072C7">
        <w:rPr>
          <w:rFonts w:ascii="Arial" w:hAnsi="Arial" w:cs="Arial"/>
          <w:color w:val="000000" w:themeColor="text1"/>
          <w:sz w:val="20"/>
          <w:szCs w:val="20"/>
        </w:rPr>
        <w:t xml:space="preserve"> may contribute </w:t>
      </w:r>
      <w:r w:rsidR="007A27F9" w:rsidRPr="008072C7">
        <w:rPr>
          <w:rFonts w:ascii="Arial" w:hAnsi="Arial" w:cs="Arial"/>
          <w:color w:val="000000" w:themeColor="text1"/>
          <w:sz w:val="20"/>
          <w:szCs w:val="20"/>
        </w:rPr>
        <w:t xml:space="preserve">to </w:t>
      </w:r>
      <w:r w:rsidR="005B6123" w:rsidRPr="008072C7">
        <w:rPr>
          <w:rFonts w:ascii="Arial" w:hAnsi="Arial" w:cs="Arial"/>
          <w:color w:val="000000" w:themeColor="text1"/>
          <w:sz w:val="20"/>
          <w:szCs w:val="20"/>
        </w:rPr>
        <w:t>the</w:t>
      </w:r>
      <w:r w:rsidR="00267221" w:rsidRPr="008072C7">
        <w:rPr>
          <w:rFonts w:ascii="Arial" w:hAnsi="Arial" w:cs="Arial"/>
          <w:color w:val="000000" w:themeColor="text1"/>
          <w:sz w:val="20"/>
          <w:szCs w:val="20"/>
        </w:rPr>
        <w:t xml:space="preserve"> </w:t>
      </w:r>
      <w:r w:rsidR="005B6123" w:rsidRPr="008072C7">
        <w:rPr>
          <w:rFonts w:ascii="Arial" w:hAnsi="Arial" w:cs="Arial"/>
          <w:color w:val="000000" w:themeColor="text1"/>
          <w:sz w:val="20"/>
          <w:szCs w:val="20"/>
        </w:rPr>
        <w:t>EIH response</w:t>
      </w:r>
      <w:r w:rsidR="00267221" w:rsidRPr="008072C7">
        <w:rPr>
          <w:rFonts w:ascii="Arial" w:hAnsi="Arial" w:cs="Arial"/>
          <w:color w:val="000000" w:themeColor="text1"/>
          <w:sz w:val="20"/>
          <w:szCs w:val="20"/>
        </w:rPr>
        <w:t xml:space="preserve"> </w:t>
      </w:r>
      <w:r w:rsidR="00267221"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{"citationItems":[{"id":"ITEM-1","itemData":{"DOI":"10.1097/ALN.0b013e318210f880.","author":[{"dropping-particle":"","family":"Stagg","given":"Nicola J","non-dropping-particle":"","parse-names":false,"suffix":""},{"dropping-particle":"","family":"Mata","given":"Heriberto P","non-dropping-particle":"","parse-names":false,"suffix":""},{"dropping-particle":"","family":"Ibrahim","given":"Mohab M","non-dropping-particle":"","parse-names":false,"suffix":""},{"dropping-particle":"","family":"Henriksen","given":"Erik J","non-dropping-particle":"","parse-names":false,"suffix":""},{"dropping-particle":"","family":"Porreca","given":"Frank","non-dropping-particle":"","parse-names":false,"suffix":""},{"dropping-particle":"","family":"Vanderah","given":"Todd W","non-dropping-particle":"","parse-names":false,"suffix":""},{"dropping-particle":"","family":"Malan","given":"T. Phillip","non-dropping-particle":"","parse-names":false,"suffix":""}],"container-title":"Anesthesiology","id":"ITEM-1","issue":"4","issued":{"date-parts":[["2011"]]},"page":"940-948","title":"Regular Exercise Reverses Sensory Hypersensitivity in a Rat Neuropathic Pain Model","type":"article-journal","volume":"114"},"uris":["http://www.mendeley.com/documents/?uuid=f9f6857e-655e-418f-b9b5-14c6d117d666"]},{"id":"ITEM-2","itemData":{"DOI":"10.1016/j.jpain.2014.09.006.Mechanisms","ISSN":"15265900","author":[{"dropping-particle":"","family":"Koltyn","given":"Kelli F.","non-dropping-particle":"","parse-names":false,"suffix":""},{"dropping-particle":"","family":"Brellenthin","given":"Angelique G.","non-dropping-particle":"","parse-names":false,"suffix":""},{"dropping-particle":"","family":"Cook","given":"Dane B.","non-dropping-particle":"","parse-names":false,"suffix":""},{"dropping-particle":"","family":"Sehgal","given":"Nalini","non-dropping-particle":"","parse-names":false,"suffix":""},{"dropping-particle":"","family":"Hillard","given":"Cecilia","non-dropping-particle":"","parse-names":false,"suffix":""}],"container-title":"Journal of Pain","id":"ITEM-2","issue":"12","issued":{"date-parts":[["2014"]]},"page":"1294-1304","title":"Mechanisms of Exercise-Induced Hypoalgesia","type":"article-journal","volume":"15"},"uris":["http://www.mendeley.com/documents/?uuid=95124bf8-7f98-48d7-b499-8d6ac35c50c8"]}],"mendeley":{"formattedCitation":"(39, 62)","plainTextFormattedCitation":"(39, 62)","previouslyFormattedCitation":"(39, 62)"},"properties":{"noteIndex":0},"schema":"https://github.com/citation-style-language/schema/raw/master/csl-citation.json"}</w:instrText>
      </w:r>
      <w:r w:rsidR="00267221"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(39, 62)</w:t>
      </w:r>
      <w:r w:rsidR="00267221" w:rsidRPr="008072C7">
        <w:rPr>
          <w:rFonts w:ascii="Arial" w:hAnsi="Arial" w:cs="Arial"/>
          <w:color w:val="000000" w:themeColor="text1"/>
          <w:sz w:val="20"/>
          <w:szCs w:val="20"/>
        </w:rPr>
        <w:fldChar w:fldCharType="end"/>
      </w:r>
      <w:r w:rsidR="00267221" w:rsidRPr="008072C7">
        <w:rPr>
          <w:rFonts w:ascii="Arial" w:hAnsi="Arial" w:cs="Arial"/>
          <w:color w:val="000000" w:themeColor="text1"/>
          <w:sz w:val="20"/>
          <w:szCs w:val="20"/>
        </w:rPr>
        <w:t xml:space="preserve"> </w:t>
      </w:r>
      <w:r w:rsidR="009840DF" w:rsidRPr="008072C7">
        <w:rPr>
          <w:rFonts w:ascii="Arial" w:hAnsi="Arial" w:cs="Arial"/>
          <w:color w:val="000000" w:themeColor="text1"/>
          <w:sz w:val="20"/>
          <w:szCs w:val="20"/>
        </w:rPr>
        <w:t xml:space="preserve">by inhibiting noxious-evoked activity </w:t>
      </w:r>
      <w:r w:rsidR="009840DF"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author":[{"dropping-particle":"","family":"Sprouse-Blum","given":"Adam","non-dropping-particle":"","parse-names":false,"suffix":""},{"dropping-particle":"","family":"Smith","given":"Greg","non-dropping-particle":"","parse-names":false,"suffix":""},{"dropping-particle":"","family":"Sugai","given":"Daniel","non-dropping-particle":"","parse-names":false,"suffix":""},{"dropping-particle":"","family":"Don Parsa","given":"F","non-dropping-particle":"","parse-names":false,"suffix":""}],"container-title":"Hawai'i Medical Journal","id":"ITEM-1","issue":"3","issued":{"date-parts":[["2010"]]},"page":"70-71","title":"Understanding ndorphins and Their Importance in Pain Management","type":"article-journal","volume":"69"},"uris":["http://www.mendeley.com/documents/?uuid=b10a6e75-d8ea-4962-a8c7-ffbc37b60d81"]}],"mendeley":{"formattedCitation":"(61)","plainTextFormattedCitation":"(61)","previouslyFormattedCitation":"(61)"},"properties":{"noteIndex":0},"schema":"https://github.com/citation-style-language/schema/raw/master/csl-citation.json"}</w:instrText>
      </w:r>
      <w:r w:rsidR="009840DF"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(61)</w:t>
      </w:r>
      <w:r w:rsidR="009840DF" w:rsidRPr="008072C7">
        <w:rPr>
          <w:rFonts w:ascii="Arial" w:hAnsi="Arial" w:cs="Arial"/>
          <w:color w:val="000000" w:themeColor="text1"/>
          <w:sz w:val="20"/>
          <w:szCs w:val="20"/>
        </w:rPr>
        <w:fldChar w:fldCharType="end"/>
      </w:r>
      <w:r w:rsidR="009840DF" w:rsidRPr="008072C7">
        <w:rPr>
          <w:rFonts w:ascii="Arial" w:hAnsi="Arial" w:cs="Arial"/>
          <w:color w:val="000000" w:themeColor="text1"/>
          <w:sz w:val="20"/>
          <w:szCs w:val="20"/>
        </w:rPr>
        <w:t xml:space="preserve">. The body produces BE in response to physiological stressors such as pain and exercise; the latter is thought to be caused by stimulation of group III and IV afferent fibres in contracting muscle during exercise. </w:t>
      </w:r>
      <w:r w:rsidR="00495BB0" w:rsidRPr="008072C7">
        <w:rPr>
          <w:rFonts w:ascii="Arial" w:hAnsi="Arial" w:cs="Arial"/>
          <w:color w:val="000000" w:themeColor="text1"/>
          <w:sz w:val="20"/>
          <w:szCs w:val="20"/>
        </w:rPr>
        <w:t xml:space="preserve">A high level of </w:t>
      </w:r>
      <w:r w:rsidR="00E50109" w:rsidRPr="008072C7">
        <w:rPr>
          <w:rFonts w:ascii="Arial" w:hAnsi="Arial" w:cs="Arial"/>
          <w:color w:val="000000" w:themeColor="text1"/>
          <w:sz w:val="20"/>
          <w:szCs w:val="20"/>
        </w:rPr>
        <w:t>metabolic</w:t>
      </w:r>
      <w:r w:rsidR="00495BB0" w:rsidRPr="008072C7">
        <w:rPr>
          <w:rFonts w:ascii="Arial" w:hAnsi="Arial" w:cs="Arial"/>
          <w:color w:val="000000" w:themeColor="text1"/>
          <w:sz w:val="20"/>
          <w:szCs w:val="20"/>
        </w:rPr>
        <w:t xml:space="preserve"> stress is generated during BFR-RE, i</w:t>
      </w:r>
      <w:r w:rsidR="00267221" w:rsidRPr="008072C7">
        <w:rPr>
          <w:rFonts w:ascii="Arial" w:hAnsi="Arial" w:cs="Arial"/>
          <w:color w:val="000000" w:themeColor="text1"/>
          <w:sz w:val="20"/>
          <w:szCs w:val="20"/>
        </w:rPr>
        <w:t>ndicated</w:t>
      </w:r>
      <w:r w:rsidR="00495BB0" w:rsidRPr="008072C7">
        <w:rPr>
          <w:rFonts w:ascii="Arial" w:hAnsi="Arial" w:cs="Arial"/>
          <w:color w:val="000000" w:themeColor="text1"/>
          <w:sz w:val="20"/>
          <w:szCs w:val="20"/>
        </w:rPr>
        <w:t xml:space="preserve"> by ischemia, hypoxia, intramuscular accumulation of metabolites and a reduction in tissue pH </w:t>
      </w:r>
      <w:r w:rsidR="00495BB0"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{"citationItems":[{"id":"ITEM-1","itemData":{"DOI":"10.1152/japplphysiol.90368.2008","ISBN":"8750-7587","ISSN":"8750-7587","PMID":"19213931","abstract":"Suga T, Okita K, Morita N, Yokota T, Hirabayashi K, Horiuchi M, Takada S, Takahashi T, Omokawa M, Kinugawa S, Tsutsui H. Intramuscular metabolism during low-intensity resistance exercise with blood flow restriction. J Appl Physiol 106: 1119-1124, 2009. First published February 12, 2009; doi:10.1152/japplphysiol.90368.2008.-Although recent studies have reported that low-intensity resistance training with blood flow restriction could stress the muscle effectively and provide rapid muscle hypertrophy and strength gain equivalent to those of high-intensity resistance training, the exact mechanism and its generality have not yet been clarified. We investigated the intramuscular metabolism during low-intensity resistance exercise with blood flow restriction and compared it with that of high-intensity and low-intensity resistance exercises without blood flow restriction using P-31-magnetic resonance spectroscopy. Twenty-six healthy subjects (22 +/- 4 yr) participated and performed unilateral plantar flexion (30 repetitions/min) for 2 min. Protocols were as follows: low-intensity exercise (L) using a load of 20% of one-repetition maximum (1 RM), L with blood flow restriction (LR), and high-intensity exercise using 65% 1 RM (H). Intramuscular phosphocreatine (PCr) and diprotonated phosphate (H2PO4-) levels and intramuscular pH at rest and during exercise were obtained. We found that the PCr depletion, the H2PO4- increase, and the intramuscular pH decrease during LR were significantly greater than those in L (P &lt; 0.001); however, those in LR were significantly lower than those in H (P &lt; 0.001). The recruitment of fast-twitch fiber evaluated by inorganic phosphate splitting occurred in only 31% of the subjects in LR, compared with 70% in H. In conclusion, the metabolic stress in skeletal muscle during low-intensity resistance exercise was significantly increased by applying blood flow restriction, but did not generally reach that during high-intensity resistance exercise. This new method of resistance training needs to be examined for optimization of the protocol to reach equivalence with high-intensity resistance training","author":[{"dropping-particle":"","family":"Suga","given":"T.","non-dropping-particle":"","parse-names":false,"suffix":""},{"dropping-particle":"","family":"Okita","given":"K.","non-dropping-particle":"","parse-names":false,"suffix":""},{"dropping-particle":"","family":"Morita","given":"N.","non-dropping-particle":"","parse-names":false,"suffix":""},{"dropping-particle":"","family":"Yokota","given":"T.","non-dropping-particle":"","parse-names":false,"suffix":""},{"dropping-particle":"","family":"Hirabayashi","given":"K.","non-dropping-particle":"","parse-names":false,"suffix":""},{"dropping-particle":"","family":"Horiuchi","given":"M.","non-dropping-particle":"","parse-names":false,"suffix":""},{"dropping-particle":"","family":"Takada","given":"S.","non-dropping-particle":"","parse-names":false,"suffix":""},{"dropping-particle":"","family":"Takahashi","given":"T.","non-dropping-particle":"","parse-names":false,"suffix":""},{"dropping-particle":"","family":"Omokawa","given":"M.","non-dropping-particle":"","parse-names":false,"suffix":""},{"dropping-particle":"","family":"Kinugawa","given":"S.","non-dropping-particle":"","parse-names":false,"suffix":""},{"dropping-particle":"","family":"Tsutsui","given":"H.","non-dropping-particle":"","parse-names":false,"suffix":""}],"container-title":"Journal of Applied Physiology","id":"ITEM-1","issue":"4","issued":{"date-parts":[["2009"]]},"page":"1119-1124","title":"Intramuscular metabolism during low-intensity resistance exercise with blood flow restriction","type":"article-journal","volume":"106"},"uris":["http://www.mendeley.com/documents/?uuid=2a72cdef-161b-4565-b77a-173ffcefee89"]}],"mendeley":{"formattedCitation":"(64)","plainTextFormattedCitation":"(64)","previouslyFormattedCitation":"(64)"},"properties":{"noteIndex":0},"schema":"https://github.com/citation-style-language/schema/raw/master/csl-citation.json"}</w:instrText>
      </w:r>
      <w:r w:rsidR="00495BB0"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(64)</w:t>
      </w:r>
      <w:r w:rsidR="00495BB0" w:rsidRPr="008072C7">
        <w:rPr>
          <w:rFonts w:ascii="Arial" w:hAnsi="Arial" w:cs="Arial"/>
          <w:color w:val="000000" w:themeColor="text1"/>
          <w:sz w:val="20"/>
          <w:szCs w:val="20"/>
        </w:rPr>
        <w:fldChar w:fldCharType="end"/>
      </w:r>
      <w:r w:rsidR="00495BB0" w:rsidRPr="008072C7">
        <w:rPr>
          <w:rFonts w:ascii="Arial" w:hAnsi="Arial" w:cs="Arial"/>
          <w:color w:val="000000" w:themeColor="text1"/>
          <w:sz w:val="20"/>
          <w:szCs w:val="20"/>
        </w:rPr>
        <w:t xml:space="preserve">. </w:t>
      </w:r>
      <w:r w:rsidR="00E50109" w:rsidRPr="008072C7">
        <w:rPr>
          <w:rFonts w:ascii="Arial" w:hAnsi="Arial" w:cs="Arial"/>
          <w:color w:val="000000" w:themeColor="text1"/>
          <w:sz w:val="20"/>
          <w:szCs w:val="20"/>
        </w:rPr>
        <w:t xml:space="preserve">This may </w:t>
      </w:r>
      <w:r w:rsidR="00495BB0" w:rsidRPr="008072C7">
        <w:rPr>
          <w:rFonts w:ascii="Arial" w:hAnsi="Arial" w:cs="Arial"/>
          <w:color w:val="000000" w:themeColor="text1"/>
          <w:sz w:val="20"/>
          <w:szCs w:val="20"/>
        </w:rPr>
        <w:t>activate group III and IV afferent fibres</w:t>
      </w:r>
      <w:r w:rsidR="00E50109" w:rsidRPr="008072C7">
        <w:rPr>
          <w:rFonts w:ascii="Arial" w:hAnsi="Arial" w:cs="Arial"/>
          <w:color w:val="000000" w:themeColor="text1"/>
          <w:sz w:val="20"/>
          <w:szCs w:val="20"/>
        </w:rPr>
        <w:t xml:space="preserve"> and is thought to drive</w:t>
      </w:r>
      <w:r w:rsidR="006253D1" w:rsidRPr="008072C7">
        <w:rPr>
          <w:rFonts w:ascii="Arial" w:hAnsi="Arial" w:cs="Arial"/>
          <w:color w:val="000000" w:themeColor="text1"/>
          <w:sz w:val="20"/>
          <w:szCs w:val="20"/>
        </w:rPr>
        <w:t xml:space="preserve"> </w:t>
      </w:r>
      <w:r w:rsidR="00BA18AE" w:rsidRPr="008072C7">
        <w:rPr>
          <w:rFonts w:ascii="Arial" w:hAnsi="Arial" w:cs="Arial"/>
          <w:color w:val="000000" w:themeColor="text1"/>
          <w:sz w:val="20"/>
          <w:szCs w:val="20"/>
        </w:rPr>
        <w:t>the</w:t>
      </w:r>
      <w:r w:rsidR="00E50109" w:rsidRPr="008072C7">
        <w:rPr>
          <w:rFonts w:ascii="Arial" w:hAnsi="Arial" w:cs="Arial"/>
          <w:color w:val="000000" w:themeColor="text1"/>
          <w:sz w:val="20"/>
          <w:szCs w:val="20"/>
        </w:rPr>
        <w:t xml:space="preserve"> greater perception of intensity</w:t>
      </w:r>
      <w:r w:rsidR="00BA18AE" w:rsidRPr="008072C7">
        <w:rPr>
          <w:rFonts w:ascii="Arial" w:hAnsi="Arial" w:cs="Arial"/>
          <w:color w:val="000000" w:themeColor="text1"/>
          <w:sz w:val="20"/>
          <w:szCs w:val="20"/>
        </w:rPr>
        <w:t xml:space="preserve"> and discomfort</w:t>
      </w:r>
      <w:r w:rsidR="006253D1" w:rsidRPr="008072C7">
        <w:rPr>
          <w:rFonts w:ascii="Arial" w:hAnsi="Arial" w:cs="Arial"/>
          <w:color w:val="000000" w:themeColor="text1"/>
          <w:sz w:val="20"/>
          <w:szCs w:val="20"/>
        </w:rPr>
        <w:t xml:space="preserve"> </w:t>
      </w:r>
      <w:r w:rsidR="00E50109" w:rsidRPr="008072C7">
        <w:rPr>
          <w:rFonts w:ascii="Arial" w:hAnsi="Arial" w:cs="Arial"/>
          <w:color w:val="000000" w:themeColor="text1"/>
          <w:sz w:val="20"/>
          <w:szCs w:val="20"/>
        </w:rPr>
        <w:t>associated with BFR-RE.</w:t>
      </w:r>
      <w:r w:rsidR="003D7C1C">
        <w:rPr>
          <w:rFonts w:ascii="Arial" w:hAnsi="Arial" w:cs="Arial"/>
          <w:color w:val="000000" w:themeColor="text1"/>
          <w:sz w:val="20"/>
          <w:szCs w:val="20"/>
        </w:rPr>
        <w:t xml:space="preserve"> </w:t>
      </w:r>
      <w:r w:rsidR="006253D1" w:rsidRPr="008072C7">
        <w:rPr>
          <w:rFonts w:ascii="Arial" w:hAnsi="Arial" w:cs="Arial"/>
          <w:color w:val="000000" w:themeColor="text1"/>
          <w:sz w:val="20"/>
          <w:szCs w:val="20"/>
        </w:rPr>
        <w:t xml:space="preserve">Indeed, in the present study participants reported greater </w:t>
      </w:r>
      <w:r w:rsidR="00BA18AE" w:rsidRPr="008072C7">
        <w:rPr>
          <w:rFonts w:ascii="Arial" w:hAnsi="Arial" w:cs="Arial"/>
          <w:color w:val="000000" w:themeColor="text1"/>
          <w:sz w:val="20"/>
          <w:szCs w:val="20"/>
        </w:rPr>
        <w:t>RPE</w:t>
      </w:r>
      <w:r w:rsidR="006253D1" w:rsidRPr="008072C7">
        <w:rPr>
          <w:rFonts w:ascii="Arial" w:hAnsi="Arial" w:cs="Arial"/>
          <w:color w:val="000000" w:themeColor="text1"/>
          <w:sz w:val="20"/>
          <w:szCs w:val="20"/>
        </w:rPr>
        <w:t xml:space="preserve"> during the BFR-RE conditions</w:t>
      </w:r>
      <w:r w:rsidR="00BA18AE" w:rsidRPr="008072C7">
        <w:rPr>
          <w:rFonts w:ascii="Arial" w:hAnsi="Arial" w:cs="Arial"/>
          <w:color w:val="000000" w:themeColor="text1"/>
          <w:sz w:val="20"/>
          <w:szCs w:val="20"/>
        </w:rPr>
        <w:t xml:space="preserve"> compared to LLRE.</w:t>
      </w:r>
      <w:r w:rsidR="003D7C1C">
        <w:rPr>
          <w:rFonts w:ascii="Arial" w:hAnsi="Arial" w:cs="Arial"/>
          <w:color w:val="000000" w:themeColor="text1"/>
          <w:sz w:val="20"/>
          <w:szCs w:val="20"/>
        </w:rPr>
        <w:t xml:space="preserve"> Increased perception of exercise with BFR exercise is often attributed to stimulation of group III and IV afferent fibres and afferent feedback </w:t>
      </w:r>
      <w:r w:rsidR="003D7C1C">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{"citationItems":[{"id":"ITEM-1","itemData":{"DOI":"10.1519/JSC.0b013e3181c7badf","ISBN":"1533-4287 (Electronic)\\n1064-8011 (Linking)","ISSN":"10648011","PMID":"19935100","abstract":"The purpose of the study was to determine how manipulation of peripheral blood flow during resistance exercise using a light load affected perception and physiological measures compared with moderate load resistance exercise and a control trial. Seven subjects performed a 3 (session) by 2 (biceps curls and calf extensions) within-subjects study that was randomized and counterbalanced across 3 weeks. The 3 sessions included (a) light resistance exercise (3 sets to failure) at 30% of 1 repetition maximum (1RM) with partial occlusion (LRO), (b) moderate resistance at 70% of 1RM with no occlusion (MR), and (c) partial occlusion without exercise (OO). Ratings of perceived exertion (RPE), pain, and heart rate were assessed immediately after each set, whereas blood samples were taken before, immediately after, and 15 minutes after exercise. Results demonstrated that RPE and pain were lower in the OO condition than that in the MR and LRO conditions for biceps curls and calf extensions, Fs(2 ,24) = 22.75, 20.86, ps &lt; 0.0001 and Fs(2,24) = 18.95, 24.52, ps &lt; 0.01; however, no significant differences were noted between MR and LRO conditions. Heart rate was significantly higher for the LRO condition when compared with the MR trial, F(2,18) 20.12, p &lt; 0.001. Results suggest that when partial vascular occlusion with a light load was applied, both pain and effort sense were altered to a similar degree as moderate loads but no occlusion. The practical application of results were that individuals may be better able to tolerate perceptual change at low loads with partial occlusion because joint stress may be minimized while local muscle metabolic demands increase, making resistance training maximally effective and minimally stressful on joints. Perceptual tracking of effort and pain may aid coaches who attempt this protocol.","author":[{"dropping-particle":"","family":"Hollander","given":"Daniel B.","non-dropping-particle":"","parse-names":false,"suffix":""},{"dropping-particle":"V.","family":"Reeves","given":"Gregory","non-dropping-particle":"","parse-names":false,"suffix":""},{"dropping-particle":"","family":"Clavier","given":"Jordan D.","non-dropping-particle":"","parse-names":false,"suffix":""},{"dropping-particle":"","family":"Francois","given":"Michelle R.","non-dropping-particle":"","parse-names":false,"suffix":""},{"dropping-particle":"","family":"Thomas","given":"Craig","non-dropping-particle":"","parse-names":false,"suffix":""},{"dropping-particle":"","family":"Kraemer","given":"Robert R.","non-dropping-particle":"","parse-names":false,"suffix":""}],"container-title":"Journal of Strength and Conditioning Research","id":"ITEM-1","issue":"1","issued":{"date-parts":[["2010"]]},"page":"235-243","title":"Partial occlusion during resistance exercise alters effort sense and pain","type":"article-journal","volume":"24"},"uris":["http://www.mendeley.com/documents/?uuid=752faa32-d677-405b-bb01-c3572ce29b8e"]}],"mendeley":{"formattedCitation":"(23)","plainTextFormattedCitation":"(23)"},"properties":{"noteIndex":0},"schema":"https://github.com/citation-style-language/schema/raw/master/csl-citation.json"}</w:instrText>
      </w:r>
      <w:r w:rsidR="003D7C1C">
        <w:rPr>
          <w:rFonts w:ascii="Arial" w:hAnsi="Arial" w:cs="Arial"/>
          <w:color w:val="000000" w:themeColor="text1"/>
          <w:sz w:val="20"/>
          <w:szCs w:val="20"/>
        </w:rPr>
        <w:fldChar w:fldCharType="separate"/>
      </w:r>
      <w:r w:rsidR="003D7C1C" w:rsidRPr="003D7C1C">
        <w:rPr>
          <w:rFonts w:ascii="Arial" w:hAnsi="Arial" w:cs="Arial"/>
          <w:noProof/>
          <w:color w:val="000000" w:themeColor="text1"/>
          <w:sz w:val="20"/>
          <w:szCs w:val="20"/>
        </w:rPr>
        <w:t>(23)</w:t>
      </w:r>
      <w:r w:rsidR="003D7C1C">
        <w:rPr>
          <w:rFonts w:ascii="Arial" w:hAnsi="Arial" w:cs="Arial"/>
          <w:color w:val="000000" w:themeColor="text1"/>
          <w:sz w:val="20"/>
          <w:szCs w:val="20"/>
        </w:rPr>
        <w:fldChar w:fldCharType="end"/>
      </w:r>
      <w:r w:rsidR="003D7C1C">
        <w:rPr>
          <w:rFonts w:ascii="Arial" w:hAnsi="Arial" w:cs="Arial"/>
          <w:color w:val="000000" w:themeColor="text1"/>
          <w:sz w:val="20"/>
          <w:szCs w:val="20"/>
        </w:rPr>
        <w:t>. However, as</w:t>
      </w:r>
      <w:r w:rsidR="003D7C1C" w:rsidRPr="008072C7">
        <w:rPr>
          <w:rFonts w:ascii="Arial" w:hAnsi="Arial" w:cs="Arial"/>
          <w:color w:val="000000" w:themeColor="text1"/>
          <w:sz w:val="20"/>
          <w:szCs w:val="20"/>
        </w:rPr>
        <w:t xml:space="preserve"> highlighted by Marcora </w:t>
      </w:r>
      <w:r w:rsidR="003D7C1C"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{"citationItems":[{"id":"ITEM-1","itemData":{"DOI":"10.1152/japplphysiol.00367.2009","author":[{"dropping-particle":"","family":"Marcora","given":"Samuele","non-dropping-particle":"","parse-names":false,"suffix":""}],"container-title":"Journal of Applied Physiology","id":"ITEM-1","issue":"6","issued":{"date-parts":[["2009"]]},"page":"2060-2062","title":"Perception of effort during exercise is independent of afferent feedback from skeletal muscles, heart, and lungs","type":"article-journal","volume":"106"},"uris":["http://www.mendeley.com/documents/?uuid=54488b79-1f47-4a46-931f-83298dd5b0cb"]}],"mendeley":{"formattedCitation":"(47)","plainTextFormattedCitation":"(47)","previouslyFormattedCitation":"(47)"},"properties":{"noteIndex":0},"schema":"https://github.com/citation-style-language/schema/raw/master/csl-citation.json"}</w:instrText>
      </w:r>
      <w:r w:rsidR="003D7C1C" w:rsidRPr="008072C7">
        <w:rPr>
          <w:rFonts w:ascii="Arial" w:hAnsi="Arial" w:cs="Arial"/>
          <w:color w:val="000000" w:themeColor="text1"/>
          <w:sz w:val="20"/>
          <w:szCs w:val="20"/>
        </w:rPr>
        <w:fldChar w:fldCharType="separate"/>
      </w:r>
      <w:r w:rsidR="003D7C1C" w:rsidRPr="008072C7">
        <w:rPr>
          <w:rFonts w:ascii="Arial" w:hAnsi="Arial" w:cs="Arial"/>
          <w:noProof/>
          <w:color w:val="000000" w:themeColor="text1"/>
          <w:sz w:val="20"/>
          <w:szCs w:val="20"/>
        </w:rPr>
        <w:t>(47)</w:t>
      </w:r>
      <w:r w:rsidR="003D7C1C" w:rsidRPr="008072C7">
        <w:rPr>
          <w:rFonts w:ascii="Arial" w:hAnsi="Arial" w:cs="Arial"/>
          <w:color w:val="000000" w:themeColor="text1"/>
          <w:sz w:val="20"/>
          <w:szCs w:val="20"/>
        </w:rPr>
        <w:fldChar w:fldCharType="end"/>
      </w:r>
      <w:r w:rsidR="003D7C1C" w:rsidRPr="008072C7">
        <w:rPr>
          <w:rFonts w:ascii="Arial" w:hAnsi="Arial" w:cs="Arial"/>
          <w:color w:val="000000" w:themeColor="text1"/>
          <w:sz w:val="20"/>
          <w:szCs w:val="20"/>
        </w:rPr>
        <w:t>, a significant body of evidence suggests that perception of effort is independent from afferent feedback, and the exact mechanism during BFR exercise has not been objectively examined to date.</w:t>
      </w:r>
      <w:r w:rsidR="003D7C1C">
        <w:rPr>
          <w:rFonts w:ascii="Arial" w:hAnsi="Arial" w:cs="Arial"/>
          <w:color w:val="000000" w:themeColor="text1"/>
          <w:sz w:val="20"/>
          <w:szCs w:val="20"/>
        </w:rPr>
        <w:t xml:space="preserve"> Nevertheless, a</w:t>
      </w:r>
      <w:r w:rsidR="00BA18AE" w:rsidRPr="008072C7">
        <w:rPr>
          <w:rFonts w:ascii="Arial" w:hAnsi="Arial" w:cs="Arial"/>
          <w:color w:val="000000" w:themeColor="text1"/>
          <w:sz w:val="20"/>
          <w:szCs w:val="20"/>
        </w:rPr>
        <w:t xml:space="preserve">longside an increased perception of discomfort in the exercising muscle, </w:t>
      </w:r>
      <w:r w:rsidR="003D7C1C">
        <w:rPr>
          <w:rFonts w:ascii="Arial" w:hAnsi="Arial" w:cs="Arial"/>
          <w:color w:val="000000" w:themeColor="text1"/>
          <w:sz w:val="20"/>
          <w:szCs w:val="20"/>
        </w:rPr>
        <w:t>increased perception of effort</w:t>
      </w:r>
      <w:r w:rsidR="003D7C1C" w:rsidRPr="008072C7">
        <w:rPr>
          <w:rFonts w:ascii="Arial" w:hAnsi="Arial" w:cs="Arial"/>
          <w:color w:val="000000" w:themeColor="text1"/>
          <w:sz w:val="20"/>
          <w:szCs w:val="20"/>
        </w:rPr>
        <w:t xml:space="preserve"> </w:t>
      </w:r>
      <w:r w:rsidR="00BA18AE" w:rsidRPr="008072C7">
        <w:rPr>
          <w:rFonts w:ascii="Arial" w:hAnsi="Arial" w:cs="Arial"/>
          <w:color w:val="000000" w:themeColor="text1"/>
          <w:sz w:val="20"/>
          <w:szCs w:val="20"/>
        </w:rPr>
        <w:t xml:space="preserve">may have contributed to stimulation of </w:t>
      </w:r>
      <w:r w:rsidR="002E5879" w:rsidRPr="008072C7">
        <w:rPr>
          <w:rFonts w:ascii="Arial" w:hAnsi="Arial" w:cs="Arial"/>
          <w:color w:val="000000" w:themeColor="text1"/>
          <w:sz w:val="20"/>
          <w:szCs w:val="20"/>
        </w:rPr>
        <w:t>endogenous</w:t>
      </w:r>
      <w:r w:rsidR="00BA18AE" w:rsidRPr="008072C7">
        <w:rPr>
          <w:rFonts w:ascii="Arial" w:hAnsi="Arial" w:cs="Arial"/>
          <w:color w:val="000000" w:themeColor="text1"/>
          <w:sz w:val="20"/>
          <w:szCs w:val="20"/>
        </w:rPr>
        <w:t xml:space="preserve"> opioid production. The findings of Heyman et al. </w:t>
      </w:r>
      <w:r w:rsidR="00BA18AE"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syneuen.2011.09.017","author":[{"dropping-particle":"","family":"Heyman","given":"E","non-dropping-particle":"","parse-names":false,"suffix":""},{"dropping-particle":"","family":"Gamelin","given":"F","non-dropping-particle":"","parse-names":false,"suffix":""},{"dropping-particle":"","family":"Goekint","given":"M","non-dropping-particle":"","parse-names":false,"suffix":""},{"dropping-particle":"","family":"Piscitelli","given":"F","non-dropping-particle":"","parse-names":false,"suffix":""},{"dropping-particle":"","family":"Roelands","given":"B","non-dropping-particle":"","parse-names":false,"suffix":""},{"dropping-particle":"","family":"Leclair","given":"E","non-dropping-particle":"","parse-names":false,"suffix":""},{"dropping-particle":"","family":"Marzo","given":"V","non-dropping-particle":"Di","parse-names":false,"suffix":""},{"dropping-particle":"","family":"Meeusen","given":"R","non-dropping-particle":"","parse-names":false,"suffix":""}],"container-title":"Psychoneuroendocrinology","id":"ITEM-1","issue":"6","issued":{"date-parts":[["2012"]]},"page":"844-851","publisher":"Elsevier Ltd","title":"Intense exercise increases circulating endocannabinoid and BDNF levels in humans - Possible implications for reward and depression","type":"article-journal","volume":"37"},"uris":["http://www.mendeley.com/documents/?uuid=4fe49c04-944b-48ec-a7c2-eec325841952"]}],"mendeley":{"formattedCitation":"(18)","plainTextFormattedCitation":"(18)","previouslyFormattedCitation":"(18)"},"properties":{"noteIndex":0},"schema":"https://github.com/citation-style-language/schema/raw/master/csl-citation.json"}</w:instrText>
      </w:r>
      <w:r w:rsidR="00BA18AE"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(18)</w:t>
      </w:r>
      <w:r w:rsidR="00BA18AE" w:rsidRPr="008072C7">
        <w:rPr>
          <w:rFonts w:ascii="Arial" w:hAnsi="Arial" w:cs="Arial"/>
          <w:color w:val="000000" w:themeColor="text1"/>
          <w:sz w:val="20"/>
          <w:szCs w:val="20"/>
        </w:rPr>
        <w:fldChar w:fldCharType="end"/>
      </w:r>
      <w:r w:rsidR="00BA18AE" w:rsidRPr="008072C7">
        <w:rPr>
          <w:rFonts w:ascii="Arial" w:hAnsi="Arial" w:cs="Arial"/>
          <w:color w:val="000000" w:themeColor="text1"/>
          <w:sz w:val="20"/>
          <w:szCs w:val="20"/>
        </w:rPr>
        <w:t xml:space="preserve"> would support this notion, as the authors observed a</w:t>
      </w:r>
      <w:r w:rsidR="002D0E3A" w:rsidRPr="008072C7">
        <w:rPr>
          <w:rFonts w:ascii="Arial" w:hAnsi="Arial" w:cs="Arial"/>
          <w:color w:val="000000" w:themeColor="text1"/>
          <w:sz w:val="20"/>
          <w:szCs w:val="20"/>
        </w:rPr>
        <w:t>n</w:t>
      </w:r>
      <w:r w:rsidR="00BA18AE" w:rsidRPr="008072C7">
        <w:rPr>
          <w:rFonts w:ascii="Arial" w:hAnsi="Arial" w:cs="Arial"/>
          <w:color w:val="000000" w:themeColor="text1"/>
          <w:sz w:val="20"/>
          <w:szCs w:val="20"/>
        </w:rPr>
        <w:t xml:space="preserve"> increase in BE concentration only when the exercise intensity was high.</w:t>
      </w:r>
      <w:r w:rsidR="00B36CCF" w:rsidRPr="008072C7">
        <w:rPr>
          <w:rFonts w:ascii="Arial" w:hAnsi="Arial" w:cs="Arial"/>
          <w:color w:val="000000" w:themeColor="text1"/>
          <w:sz w:val="20"/>
          <w:szCs w:val="20"/>
        </w:rPr>
        <w:t xml:space="preserve"> It is important to note that endorphins do not appear to cross the blood-brain barrier therefore cannot be regarded as indicative of central effects, which is a limitation of examining BE in systemic circulation in relation to EIH.</w:t>
      </w:r>
    </w:p>
    <w:p w14:paraId="7F1501BC" w14:textId="707394C0" w:rsidR="005D1456" w:rsidRPr="008072C7" w:rsidRDefault="00E50109"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Contrary to our hypothesis, we did not observe a change in </w:t>
      </w:r>
      <w:r w:rsidR="00EE5585" w:rsidRPr="008072C7">
        <w:rPr>
          <w:rFonts w:ascii="Arial" w:hAnsi="Arial" w:cs="Arial"/>
          <w:color w:val="000000" w:themeColor="text1"/>
          <w:sz w:val="20"/>
          <w:szCs w:val="20"/>
        </w:rPr>
        <w:t xml:space="preserve">peripheral </w:t>
      </w:r>
      <w:r w:rsidRPr="008072C7">
        <w:rPr>
          <w:rFonts w:ascii="Arial" w:hAnsi="Arial" w:cs="Arial"/>
          <w:color w:val="000000" w:themeColor="text1"/>
          <w:sz w:val="20"/>
          <w:szCs w:val="20"/>
        </w:rPr>
        <w:t xml:space="preserve">blood 2-AG concentration </w:t>
      </w:r>
      <w:r w:rsidR="00B36CCF" w:rsidRPr="008072C7">
        <w:rPr>
          <w:rFonts w:ascii="Arial" w:hAnsi="Arial" w:cs="Arial"/>
          <w:color w:val="000000" w:themeColor="text1"/>
          <w:sz w:val="20"/>
          <w:szCs w:val="20"/>
        </w:rPr>
        <w:t>following</w:t>
      </w:r>
      <w:r w:rsidRPr="008072C7">
        <w:rPr>
          <w:rFonts w:ascii="Arial" w:hAnsi="Arial" w:cs="Arial"/>
          <w:color w:val="000000" w:themeColor="text1"/>
          <w:sz w:val="20"/>
          <w:szCs w:val="20"/>
        </w:rPr>
        <w:t xml:space="preserve"> exercise in any of the experimental conditions.</w:t>
      </w:r>
      <w:r w:rsidR="00BA18AE" w:rsidRPr="008072C7">
        <w:rPr>
          <w:rFonts w:ascii="Arial" w:hAnsi="Arial" w:cs="Arial"/>
          <w:color w:val="000000" w:themeColor="text1"/>
          <w:sz w:val="20"/>
          <w:szCs w:val="20"/>
        </w:rPr>
        <w:t xml:space="preserve"> </w:t>
      </w:r>
      <w:r w:rsidR="00203B8D" w:rsidRPr="008072C7">
        <w:rPr>
          <w:rFonts w:ascii="Arial" w:hAnsi="Arial" w:cs="Arial"/>
          <w:color w:val="000000" w:themeColor="text1"/>
          <w:sz w:val="20"/>
          <w:szCs w:val="20"/>
        </w:rPr>
        <w:t xml:space="preserve">Previous research has shown no changes in circulating 2-AG concentration following intense exercise </w:t>
      </w:r>
      <w:r w:rsidR="00203B8D"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syneuen.2011.09.017","author":[{"dropping-particle":"","family":"Heyman","given":"E","non-dropping-particle":"","parse-names":false,"suffix":""},{"dropping-particle":"","family":"Gamelin","given":"F","non-dropping-particle":"","parse-names":false,"suffix":""},{"dropping-particle":"","family":"Goekint","given":"M","non-dropping-particle":"","parse-names":false,"suffix":""},{"dropping-particle":"","family":"Piscitelli","given":"F","non-dropping-particle":"","parse-names":false,"suffix":""},{"dropping-particle":"","family":"Roelands","given":"B","non-dropping-particle":"","parse-names":false,"suffix":""},{"dropping-particle":"","family":"Leclair","given":"E","non-dropping-particle":"","parse-names":false,"suffix":""},{"dropping-particle":"","family":"Marzo","given":"V","non-dropping-particle":"Di","parse-names":false,"suffix":""},{"dropping-particle":"","family":"Meeusen","given":"R","non-dropping-particle":"","parse-names":false,"suffix":""}],"container-title":"Psychoneuroendocrinology","id":"ITEM-1","issue":"6","issued":{"date-parts":[["2012"]]},"page":"844-851","publisher":"Elsevier Ltd","title":"Intense exercise increases circulating endocannabinoid and BDNF levels in humans - Possible implications for reward and depression","type":"article-journal","volume":"37"},"uris":["http://www.mendeley.com/documents/?uuid=4fe49c04-944b-48ec-a7c2-eec325841952"]}],"mendeley":{"formattedCitation":"(18)","plainTextFormattedCitation":"(18)","previouslyFormattedCitation":"(18)"},"properties":{"noteIndex":0},"schema":"https://github.com/citation-style-language/schema/raw/master/csl-citation.json"}</w:instrText>
      </w:r>
      <w:r w:rsidR="00203B8D"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(18)</w:t>
      </w:r>
      <w:r w:rsidR="00203B8D" w:rsidRPr="008072C7">
        <w:rPr>
          <w:rFonts w:ascii="Arial" w:hAnsi="Arial" w:cs="Arial"/>
          <w:color w:val="000000" w:themeColor="text1"/>
          <w:sz w:val="20"/>
          <w:szCs w:val="20"/>
        </w:rPr>
        <w:fldChar w:fldCharType="end"/>
      </w:r>
      <w:r w:rsidR="00203B8D" w:rsidRPr="008072C7">
        <w:rPr>
          <w:rFonts w:ascii="Arial" w:hAnsi="Arial" w:cs="Arial"/>
          <w:color w:val="000000" w:themeColor="text1"/>
          <w:sz w:val="20"/>
          <w:szCs w:val="20"/>
        </w:rPr>
        <w:t xml:space="preserve"> when another endocannabinoid, known </w:t>
      </w:r>
      <w:r w:rsidR="00203B8D" w:rsidRPr="008072C7">
        <w:rPr>
          <w:rFonts w:ascii="Arial" w:hAnsi="Arial" w:cs="Arial"/>
          <w:color w:val="000000" w:themeColor="text1"/>
          <w:sz w:val="20"/>
          <w:szCs w:val="20"/>
        </w:rPr>
        <w:lastRenderedPageBreak/>
        <w:t>as</w:t>
      </w:r>
      <w:r w:rsidR="005D1456" w:rsidRPr="008072C7">
        <w:rPr>
          <w:rFonts w:ascii="Arial" w:hAnsi="Arial" w:cs="Arial"/>
          <w:color w:val="000000" w:themeColor="text1"/>
          <w:sz w:val="20"/>
          <w:szCs w:val="20"/>
        </w:rPr>
        <w:t xml:space="preserve"> anandamide</w:t>
      </w:r>
      <w:r w:rsidR="00203B8D" w:rsidRPr="008072C7">
        <w:rPr>
          <w:rFonts w:ascii="Arial" w:hAnsi="Arial" w:cs="Arial"/>
          <w:color w:val="000000" w:themeColor="text1"/>
          <w:sz w:val="20"/>
          <w:szCs w:val="20"/>
        </w:rPr>
        <w:t xml:space="preserve">, has been found to increase </w:t>
      </w:r>
      <w:r w:rsidR="00203B8D" w:rsidRPr="008072C7">
        <w:rPr>
          <w:rFonts w:ascii="Arial" w:hAnsi="Arial" w:cs="Arial"/>
          <w:color w:val="000000" w:themeColor="text1"/>
          <w:sz w:val="20"/>
          <w:szCs w:val="20"/>
        </w:rPr>
        <w:fldChar w:fldCharType="begin" w:fldLock="1"/>
      </w:r>
      <w:r w:rsidR="00794A33" w:rsidRPr="008072C7">
        <w:rPr>
          <w:rFonts w:ascii="Arial" w:hAnsi="Arial" w:cs="Arial"/>
          <w:color w:val="000000" w:themeColor="text1"/>
          <w:sz w:val="20"/>
          <w:szCs w:val="20"/>
        </w:rPr>
        <w:instrText>ADDIN CSL_CITATION {"citationItems":[{"id":"ITEM-1","itemData":{"DOI":"10.1016/j.psyneuen.2011.09.017","author":[{"dropping-particle":"","family":"Heyman","given":"E","non-dropping-particle":"","parse-names":false,"suffix":""},{"dropping-particle":"","family":"Gamelin","given":"F","non-dropping-particle":"","parse-names":false,"suffix":""},{"dropping-particle":"","family":"Goekint","given":"M","non-dropping-particle":"","parse-names":false,"suffix":""},{"dropping-particle":"","family":"Piscitelli","given":"F","non-dropping-particle":"","parse-names":false,"suffix":""},{"dropping-particle":"","family":"Roelands","given":"B","non-dropping-particle":"","parse-names":false,"suffix":""},{"dropping-particle":"","family":"Leclair","given":"E","non-dropping-particle":"","parse-names":false,"suffix":""},{"dropping-particle":"","family":"Marzo","given":"V","non-dropping-particle":"Di","parse-names":false,"suffix":""},{"dropping-particle":"","family":"Meeusen","given":"R","non-dropping-particle":"","parse-names":false,"suffix":""}],"container-title":"Psychoneuroendocrinology","id":"ITEM-1","issue":"6","issued":{"date-parts":[["2012"]]},"page":"844-851","publisher":"Elsevier Ltd","title":"Intense exercise increases circulating endocannabinoid and BDNF levels in humans - Possible implications for reward and depression","type":"article-journal","volume":"37"},"uris":["http://www.mendeley.com/documents/?uuid=4fe49c04-944b-48ec-a7c2-eec325841952"]}],"mendeley":{"formattedCitation":"(18)","plainTextFormattedCitation":"(18)","previouslyFormattedCitation":"(18)"},"properties":{"noteIndex":0},"schema":"https://github.com/citation-style-language/schema/raw/master/csl-citation.json"}</w:instrText>
      </w:r>
      <w:r w:rsidR="00203B8D" w:rsidRPr="008072C7">
        <w:rPr>
          <w:rFonts w:ascii="Arial" w:hAnsi="Arial" w:cs="Arial"/>
          <w:color w:val="000000" w:themeColor="text1"/>
          <w:sz w:val="20"/>
          <w:szCs w:val="20"/>
        </w:rPr>
        <w:fldChar w:fldCharType="separate"/>
      </w:r>
      <w:r w:rsidR="00D86C06" w:rsidRPr="008072C7">
        <w:rPr>
          <w:rFonts w:ascii="Arial" w:hAnsi="Arial" w:cs="Arial"/>
          <w:noProof/>
          <w:color w:val="000000" w:themeColor="text1"/>
          <w:sz w:val="20"/>
          <w:szCs w:val="20"/>
        </w:rPr>
        <w:t>(18)</w:t>
      </w:r>
      <w:r w:rsidR="00203B8D" w:rsidRPr="008072C7">
        <w:rPr>
          <w:rFonts w:ascii="Arial" w:hAnsi="Arial" w:cs="Arial"/>
          <w:color w:val="000000" w:themeColor="text1"/>
          <w:sz w:val="20"/>
          <w:szCs w:val="20"/>
        </w:rPr>
        <w:fldChar w:fldCharType="end"/>
      </w:r>
      <w:r w:rsidR="00203B8D" w:rsidRPr="008072C7">
        <w:rPr>
          <w:rFonts w:ascii="Arial" w:hAnsi="Arial" w:cs="Arial"/>
          <w:color w:val="000000" w:themeColor="text1"/>
          <w:sz w:val="20"/>
          <w:szCs w:val="20"/>
        </w:rPr>
        <w:t xml:space="preserve">, which may be determined by their </w:t>
      </w:r>
      <w:r w:rsidR="005D1456" w:rsidRPr="008072C7">
        <w:rPr>
          <w:rFonts w:ascii="Arial" w:hAnsi="Arial" w:cs="Arial"/>
          <w:color w:val="000000" w:themeColor="text1"/>
          <w:sz w:val="20"/>
          <w:szCs w:val="20"/>
        </w:rPr>
        <w:t xml:space="preserve">different </w:t>
      </w:r>
      <w:r w:rsidR="00203B8D" w:rsidRPr="008072C7">
        <w:rPr>
          <w:rFonts w:ascii="Arial" w:hAnsi="Arial" w:cs="Arial"/>
          <w:color w:val="000000" w:themeColor="text1"/>
          <w:sz w:val="20"/>
          <w:szCs w:val="20"/>
        </w:rPr>
        <w:t xml:space="preserve">metabolic pathways </w:t>
      </w:r>
      <w:r w:rsidR="00203B8D"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{"citationItems":[{"id":"ITEM-1","itemData":{"DOI":"10.1016/j.cbpa.2009.04.616","ISSN":"13675931","abstract":"The identification of the major psychoactive constituent of Cannabis and marijuana, Δ9-tetrahydrocannabinol, opened the way first to the cloning of the G-protein-coupled cannabinoid CB1 and CB2 receptors, and then to the isolation and characterisation of their endogenous agonists, the endocannabinoids. Considerable progress has been made in the characterisation of pathways and enzymes for the biosynthesis and degradation of anandamide and 2-arachidonoylglycerol, the two best-known endocannabinoids, as well as of endocannabinoid-related molecules, such as the N-acylethanolamines, which, as in the case of N-palmitoylethanolamine and N-oleoylethanolamine, may interact with other receptor types. However, it is still not fully understood how other plant cannabinoids, of which cannabidiol is the most studied representative, exert their pharmacological effects. Together with these issues, this first review article on the endocannabinoids describes the synthetic pharmacological tools that have been designed so far to interact with the proteins of the 'endocannabinoid system' and that can potentially be used as templates for the development of new therapies. © 2009 Elsevier Ltd. All rights reserved.","author":[{"dropping-particle":"","family":"Petrosino","given":"Stefania","non-dropping-particle":"","parse-names":false,"suffix":""},{"dropping-particle":"","family":"Ligresti","given":"Alessia","non-dropping-particle":"","parse-names":false,"suffix":""},{"dropping-particle":"","family":"Marzo","given":"Vincenzo","non-dropping-particle":"Di","parse-names":false,"suffix":""}],"container-title":"Current Opinion in Chemical Biology","id":"ITEM-1","issue":"3","issued":{"date-parts":[["2009"]]},"page":"309-320","title":"Endocannabinoid chemical biology: a tool for the development of novel therapies","type":"article-journal","volume":"13"},"uris":["http://www.mendeley.com/documents/?uuid=fdd2e469-9478-40ce-8175-de2c8d9c3d8a"]}],"mendeley":{"formattedCitation":"(55)","plainTextFormattedCitation":"(55)","previouslyFormattedCitation":"(55)"},"properties":{"noteIndex":0},"schema":"https://github.com/citation-style-language/schema/raw/master/csl-citation.json"}</w:instrText>
      </w:r>
      <w:r w:rsidR="00203B8D"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(55)</w:t>
      </w:r>
      <w:r w:rsidR="00203B8D" w:rsidRPr="008072C7">
        <w:rPr>
          <w:rFonts w:ascii="Arial" w:hAnsi="Arial" w:cs="Arial"/>
          <w:color w:val="000000" w:themeColor="text1"/>
          <w:sz w:val="20"/>
          <w:szCs w:val="20"/>
        </w:rPr>
        <w:fldChar w:fldCharType="end"/>
      </w:r>
      <w:r w:rsidR="00203B8D" w:rsidRPr="008072C7">
        <w:rPr>
          <w:rFonts w:ascii="Arial" w:hAnsi="Arial" w:cs="Arial"/>
          <w:color w:val="000000" w:themeColor="text1"/>
          <w:sz w:val="20"/>
          <w:szCs w:val="20"/>
        </w:rPr>
        <w:t xml:space="preserve">. Furthermore, animal research shows that </w:t>
      </w:r>
      <w:r w:rsidR="006E0082" w:rsidRPr="008072C7">
        <w:rPr>
          <w:rFonts w:ascii="Arial" w:hAnsi="Arial" w:cs="Arial"/>
          <w:color w:val="000000" w:themeColor="text1"/>
          <w:sz w:val="20"/>
          <w:szCs w:val="20"/>
        </w:rPr>
        <w:t>by manipulating the duration and intensity of the exercise stressor</w:t>
      </w:r>
      <w:r w:rsidR="00757517" w:rsidRPr="008072C7">
        <w:rPr>
          <w:rFonts w:ascii="Arial" w:hAnsi="Arial" w:cs="Arial"/>
          <w:color w:val="000000" w:themeColor="text1"/>
          <w:sz w:val="20"/>
          <w:szCs w:val="20"/>
        </w:rPr>
        <w:t xml:space="preserve">, it is possible to elicit either opioid or non-opioid </w:t>
      </w:r>
      <w:r w:rsidR="004E0F5D" w:rsidRPr="008072C7">
        <w:rPr>
          <w:rFonts w:ascii="Arial" w:hAnsi="Arial" w:cs="Arial"/>
          <w:color w:val="000000" w:themeColor="text1"/>
          <w:sz w:val="20"/>
          <w:szCs w:val="20"/>
        </w:rPr>
        <w:t xml:space="preserve">mechanisms of </w:t>
      </w:r>
      <w:r w:rsidR="00757517" w:rsidRPr="008072C7">
        <w:rPr>
          <w:rFonts w:ascii="Arial" w:hAnsi="Arial" w:cs="Arial"/>
          <w:color w:val="000000" w:themeColor="text1"/>
          <w:sz w:val="20"/>
          <w:szCs w:val="20"/>
        </w:rPr>
        <w:t xml:space="preserve">hypoalgesia </w:t>
      </w:r>
      <w:r w:rsidR="004E0F5D"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{"citationItems":[{"id":"ITEM-1","itemData":{"DOI":"10.2165/00007256-200029020-00002","author":[{"dropping-particle":"","family":"Koltyn","given":"Kelli F","non-dropping-particle":"","parse-names":false,"suffix":""}],"container-title":"Sports Medicine","id":"ITEM-1","issue":"2","issued":{"date-parts":[["2000"]]},"page":"85-98","title":"Analgesia following exercise: A review","type":"article-journal","volume":"29"},"uris":["http://www.mendeley.com/documents/?uuid=ae43793e-3183-4d75-b3c3-cd4c2eca99df"]},{"id":"ITEM-2","itemData":{"DOI":"10.1136/bjsm.2004.011718","ISSN":"03063674","abstract":"Exercise induces changes in mental status, particularly analgesia, sedation, anxiolysis, and a sense of wellbeing. The mechanisms underlying these changes remain unknown. Recent findings show that exercise increases serum concentrations of endocannabinoids, suggesting a possible explanation for a number of these changes. This article provides an overview of this emerging field.","author":[{"dropping-particle":"","family":"Dietrich","given":"A.","non-dropping-particle":"","parse-names":false,"suffix":""},{"dropping-particle":"","family":"McDaniel","given":"W. F.","non-dropping-particle":"","parse-names":false,"suffix":""}],"container-title":"British Journal of Sports Medicine","id":"ITEM-2","issue":"5","issued":{"date-parts":[["2004"]]},"page":"536-541","title":"Endocannabinoids and exercise","type":"article-journal","volume":"38"},"uris":["http://www.mendeley.com/documents/?uuid=fba0ceed-8b32-4bcc-9e4a-2bbb11c30b32"]},{"id":"ITEM-3","itemData":{"DOI":"10.1111/j.1748-1716.1990.tb08824.x","ISSN":"00016772","abstract":"In a previous study, prolonged low-frequency muscle stimulation in the hind leg of the fully conscious spontaneously hypertensive rat (SHR) was shown to induce a longlasting reduction of blood pressure. It was also shown that opioid and serotonergic (5-HT) systems were involved. More recently, we have shown that the 5-HT2 receptors are uninvolved in the post-stimulatory decrease in blood pressure. In the present study, the influence of this type of muscle stimulation on the pain threshold was investigated. Pain perception was measured as the squeak threshold to noxious electric pulses. After cessation of the stimulation, an analgesic response was elicited within 60 min and peak analgesia developed after 120 min, being 139 ± 10% (P &lt; 0.01) of the prestimulatory control value. The increased pain threshold lasted for another 2 h. One group of SHR was pretreated with PCPA, a serotonin synthesis blocker, which completely abolished the post-stimulatory analgesia. To analyse further the involvement of different serotonin systems, drugs with selective affinity for 5-HT receptors were used. In one group a prestimulatory dose of metitepine maleate (a 5-HT(1 and 2) receptor antagonist) abolished the post-stimulatory elevation of the pain threshold. The prolonged analgesic response was still present after prestimulatory treatment with ritanserin or ICS 205-930 (5-HT2 and 5-HT3 blocking agents respectively). In another group of experiments, the serotonin receptor antagonists were administered post-stimulation to animals with fully elicited analgesia. None of the antagonists used could revere the elevation of pain threshold towards prestimulatory levels. Thus, intact 5-HT systems were necessary to elicit the analgesia to muscle stimulation and the response was mediated by the 5-HT1 receptor. However, the results indicate that serotonin is not required to maintain the analgesia once it has been elicited.","author":[{"dropping-particle":"","family":"Hoffmann","given":"P.","non-dropping-particle":"","parse-names":false,"suffix":""},{"dropping-particle":"","family":"Skarphedinsson","given":"J. O.","non-dropping-particle":"","parse-names":false,"suffix":""},{"dropping-particle":"","family":"Delle","given":"M.","non-dropping-particle":"","parse-names":false,"suffix":""},{"dropping-particle":"","family":"Thoren","given":"P.","non-dropping-particle":"","parse-names":false,"suffix":""}],"container-title":"Acta Physiologica Scandinavica","id":"ITEM-3","issue":"2","issued":{"date-parts":[["1990"]]},"page":"125-131","title":"Electrical stimulation of the gastrocnemius muscle in the spontaneusly hypertensive rat increases the pain threshold: Role of different serotonergic receptors","type":"article-journal","volume":"138"},"uris":["http://www.mendeley.com/documents/?uuid=de84033c-064e-4125-8dd8-b47e08637213"]},{"id":"ITEM-4","itemData":{"DOI":"10.1016/S0091-3057(96)00157-8","ISSN":"00913057","abstract":"A growing literature documents the important influence of organismic factors such as sex and genotype on pain sensitivity and pain modulation. We recently determined that 3-min forced swims in 15°C water produce non-opioid (i.e., naloxone-insensitive) analgesia in outbred Swiss-Webster mice of both sexes; this form of stress-induced analgesia (SIA) is significantly attenuated by the N-methyl-D-aspartate (NMDA) antagonist, dizocilpine (MK-801) in males, but not females. A pilot study designed to confirm the non-opioid and (in male mice) NMDAergic nature of 15°C swim SIA in the C57BL/6J and DBA/2J inbred strains used widely in gene mapping was conducted, using the hot-plate (54°C) assay of nociception. In female mice of both strains, 15°C swim SIA was insensitive to antagonism by either naloxone (10 mg/kg, IP) or dizocilpine (0.1 mg/kg, IP). In male C57BL/6J mice, the observed SIA was naloxone-insensitive, but was attenuated by dizocilpine. This pattern of results is virtually identical to that obtained using Swiss-Webster mice in this and previous studies. However, male DBA/2J mice displayed SIA that was significantly attenuated by naloxone, but insensitive to dizocilpine antagonism. These findings support the hypothesis that genetic factors and sex, in addition to stressor parameters, can determine the selective recruitment of alternative central mechanisms of pain inhibition.","author":[{"dropping-particle":"","family":"Mogil","given":"Jeffrey S.","non-dropping-particle":"","parse-names":false,"suffix":""},{"dropping-particle":"","family":"Belknap","given":"John K.","non-dropping-particle":"","parse-names":false,"suffix":""}],"container-title":"Pharmacology Biochemistry and Behavior","id":"ITEM-4","issue":"1","issued":{"date-parts":[["1996"]]},"page":"61-66","title":"Sex and genotype determine the selective activation of neurochemically-distinct mechanisms of swim stress-induced analgesia","type":"article-journal","volume":"56"},"uris":["http://www.mendeley.com/documents/?uuid=93cb571d-2609-4e1a-88b5-2a93cbc3c7b8"]}],"mendeley":{"formattedCitation":"(7, 21, 36, 51)","plainTextFormattedCitation":"(7, 21, 36, 51)","previouslyFormattedCitation":"(7, 21, 36, 51)"},"properties":{"noteIndex":0},"schema":"https://github.com/citation-style-language/schema/raw/master/csl-citation.json"}</w:instrText>
      </w:r>
      <w:r w:rsidR="004E0F5D"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(7, 21, 36, 51)</w:t>
      </w:r>
      <w:r w:rsidR="004E0F5D" w:rsidRPr="008072C7">
        <w:rPr>
          <w:rFonts w:ascii="Arial" w:hAnsi="Arial" w:cs="Arial"/>
          <w:color w:val="000000" w:themeColor="text1"/>
          <w:sz w:val="20"/>
          <w:szCs w:val="20"/>
        </w:rPr>
        <w:fldChar w:fldCharType="end"/>
      </w:r>
      <w:r w:rsidR="004E0F5D" w:rsidRPr="008072C7">
        <w:rPr>
          <w:rFonts w:ascii="Arial" w:hAnsi="Arial" w:cs="Arial"/>
          <w:color w:val="000000" w:themeColor="text1"/>
          <w:sz w:val="20"/>
          <w:szCs w:val="20"/>
        </w:rPr>
        <w:t xml:space="preserve">. </w:t>
      </w:r>
      <w:r w:rsidR="00757517" w:rsidRPr="008072C7">
        <w:rPr>
          <w:rFonts w:ascii="Arial" w:hAnsi="Arial" w:cs="Arial"/>
          <w:color w:val="000000" w:themeColor="text1"/>
          <w:sz w:val="20"/>
          <w:szCs w:val="20"/>
        </w:rPr>
        <w:t>Therefore</w:t>
      </w:r>
      <w:r w:rsidR="005D1456" w:rsidRPr="008072C7">
        <w:rPr>
          <w:rFonts w:ascii="Arial" w:hAnsi="Arial" w:cs="Arial"/>
          <w:color w:val="000000" w:themeColor="text1"/>
          <w:sz w:val="20"/>
          <w:szCs w:val="20"/>
        </w:rPr>
        <w:t>,</w:t>
      </w:r>
      <w:r w:rsidR="00757517" w:rsidRPr="008072C7">
        <w:rPr>
          <w:rFonts w:ascii="Arial" w:hAnsi="Arial" w:cs="Arial"/>
          <w:color w:val="000000" w:themeColor="text1"/>
          <w:sz w:val="20"/>
          <w:szCs w:val="20"/>
        </w:rPr>
        <w:t xml:space="preserve"> the properties of the exercise itself may be an </w:t>
      </w:r>
      <w:r w:rsidR="004E0F5D" w:rsidRPr="008072C7">
        <w:rPr>
          <w:rFonts w:ascii="Arial" w:hAnsi="Arial" w:cs="Arial"/>
          <w:color w:val="000000" w:themeColor="text1"/>
          <w:sz w:val="20"/>
          <w:szCs w:val="20"/>
        </w:rPr>
        <w:t xml:space="preserve">important </w:t>
      </w:r>
      <w:r w:rsidR="00757517" w:rsidRPr="008072C7">
        <w:rPr>
          <w:rFonts w:ascii="Arial" w:hAnsi="Arial" w:cs="Arial"/>
          <w:color w:val="000000" w:themeColor="text1"/>
          <w:sz w:val="20"/>
          <w:szCs w:val="20"/>
        </w:rPr>
        <w:t>factor i</w:t>
      </w:r>
      <w:r w:rsidR="004261ED" w:rsidRPr="008072C7">
        <w:rPr>
          <w:rFonts w:ascii="Arial" w:hAnsi="Arial" w:cs="Arial"/>
          <w:color w:val="000000" w:themeColor="text1"/>
          <w:sz w:val="20"/>
          <w:szCs w:val="20"/>
        </w:rPr>
        <w:t>n</w:t>
      </w:r>
      <w:r w:rsidR="00757517" w:rsidRPr="008072C7">
        <w:rPr>
          <w:rFonts w:ascii="Arial" w:hAnsi="Arial" w:cs="Arial"/>
          <w:color w:val="000000" w:themeColor="text1"/>
          <w:sz w:val="20"/>
          <w:szCs w:val="20"/>
        </w:rPr>
        <w:t xml:space="preserve"> determining </w:t>
      </w:r>
      <w:r w:rsidR="005D1456" w:rsidRPr="008072C7">
        <w:rPr>
          <w:rFonts w:ascii="Arial" w:hAnsi="Arial" w:cs="Arial"/>
          <w:color w:val="000000" w:themeColor="text1"/>
          <w:sz w:val="20"/>
          <w:szCs w:val="20"/>
        </w:rPr>
        <w:t>activation of endogenous pain inhibitory mechanisms.</w:t>
      </w:r>
    </w:p>
    <w:p w14:paraId="651A736D" w14:textId="34C86B0E" w:rsidR="00AB7C67" w:rsidRPr="008072C7" w:rsidRDefault="004E0F5D" w:rsidP="00476D7D">
      <w:pPr>
        <w:rPr>
          <w:rFonts w:ascii="Arial" w:hAnsi="Arial" w:cs="Arial"/>
          <w:color w:val="000000" w:themeColor="text1"/>
          <w:sz w:val="20"/>
          <w:szCs w:val="20"/>
        </w:rPr>
      </w:pPr>
      <w:r w:rsidRPr="008072C7">
        <w:rPr>
          <w:rFonts w:ascii="Arial" w:hAnsi="Arial" w:cs="Arial"/>
          <w:color w:val="000000" w:themeColor="text1"/>
          <w:sz w:val="20"/>
          <w:szCs w:val="20"/>
        </w:rPr>
        <w:t xml:space="preserve">It is important to acknowledge some limitations in the present study. Assessment of pressure pain threshold and thus EIH was conducted using a mechanical noxious stimulus, which is one of several possible methods. The results of the </w:t>
      </w:r>
      <w:r w:rsidR="008666A2" w:rsidRPr="008072C7">
        <w:rPr>
          <w:rFonts w:ascii="Arial" w:hAnsi="Arial" w:cs="Arial"/>
          <w:color w:val="000000" w:themeColor="text1"/>
          <w:sz w:val="20"/>
          <w:szCs w:val="20"/>
        </w:rPr>
        <w:t xml:space="preserve">present </w:t>
      </w:r>
      <w:r w:rsidRPr="008072C7">
        <w:rPr>
          <w:rFonts w:ascii="Arial" w:hAnsi="Arial" w:cs="Arial"/>
          <w:color w:val="000000" w:themeColor="text1"/>
          <w:sz w:val="20"/>
          <w:szCs w:val="20"/>
        </w:rPr>
        <w:t xml:space="preserve">study may therefore not be considered generalisable to other measures of EIH; however, </w:t>
      </w:r>
      <w:r w:rsidR="005E084C" w:rsidRPr="008072C7">
        <w:rPr>
          <w:rFonts w:ascii="Arial" w:hAnsi="Arial" w:cs="Arial"/>
          <w:color w:val="000000" w:themeColor="text1"/>
          <w:sz w:val="20"/>
          <w:szCs w:val="20"/>
        </w:rPr>
        <w:t xml:space="preserve">similar EIH responses are observed across different methods of stimulation </w:t>
      </w:r>
      <w:r w:rsidR="005E084C" w:rsidRPr="008072C7">
        <w:rPr>
          <w:rFonts w:ascii="Arial" w:hAnsi="Arial" w:cs="Arial"/>
          <w:color w:val="000000" w:themeColor="text1"/>
          <w:sz w:val="20"/>
          <w:szCs w:val="20"/>
        </w:rPr>
        <w:fldChar w:fldCharType="begin" w:fldLock="1"/>
      </w:r>
      <w:r w:rsidR="003D7C1C">
        <w:rPr>
          <w:rFonts w:ascii="Arial" w:hAnsi="Arial" w:cs="Arial"/>
          <w:color w:val="000000" w:themeColor="text1"/>
          <w:sz w:val="20"/>
          <w:szCs w:val="20"/>
        </w:rPr>
        <w:instrText>ADDIN CSL_CITATION {"citationItems":[{"id":"ITEM-1","itemData":{"DOI":"10.1016/j.jpain.2012.09.006","author":[{"dropping-particle":"","family":"Naugle","given":"Kelly M","non-dropping-particle":"","parse-names":false,"suffix":""},{"dropping-particle":"","family":"Fillingim","given":"Roger B","non-dropping-particle":"","parse-names":false,"suffix":""},{"dropping-particle":"","family":"Riley","given":"Joseph L","non-dropping-particle":"","parse-names":false,"suffix":""}],"container-title":"The Journal of Pain","id":"ITEM-1","issue":"12","issued":{"date-parts":[["2012"]]},"page":"1139-1150","publisher":"Elsevier Ltd","title":"A Meta-Analytic Review of the Hypoalgesic Effects of Exercise","type":"article-journal","volume":"13"},"uris":["http://www.mendeley.com/documents/?uuid=41e6aa37-b2fe-4496-8691-4ccaff877651"]}],"mendeley":{"formattedCitation":"(53)","plainTextFormattedCitation":"(53)","previouslyFormattedCitation":"(53)"},"properties":{"noteIndex":0},"schema":"https://github.com/citation-style-language/schema/raw/master/csl-citation.json"}</w:instrText>
      </w:r>
      <w:r w:rsidR="005E084C" w:rsidRPr="008072C7">
        <w:rPr>
          <w:rFonts w:ascii="Arial" w:hAnsi="Arial" w:cs="Arial"/>
          <w:color w:val="000000" w:themeColor="text1"/>
          <w:sz w:val="20"/>
          <w:szCs w:val="20"/>
        </w:rPr>
        <w:fldChar w:fldCharType="separate"/>
      </w:r>
      <w:r w:rsidR="00D442D5" w:rsidRPr="008072C7">
        <w:rPr>
          <w:rFonts w:ascii="Arial" w:hAnsi="Arial" w:cs="Arial"/>
          <w:noProof/>
          <w:color w:val="000000" w:themeColor="text1"/>
          <w:sz w:val="20"/>
          <w:szCs w:val="20"/>
        </w:rPr>
        <w:t>(53)</w:t>
      </w:r>
      <w:r w:rsidR="005E084C" w:rsidRPr="008072C7">
        <w:rPr>
          <w:rFonts w:ascii="Arial" w:hAnsi="Arial" w:cs="Arial"/>
          <w:color w:val="000000" w:themeColor="text1"/>
          <w:sz w:val="20"/>
          <w:szCs w:val="20"/>
        </w:rPr>
        <w:fldChar w:fldCharType="end"/>
      </w:r>
      <w:r w:rsidR="005E084C" w:rsidRPr="008072C7">
        <w:rPr>
          <w:rFonts w:ascii="Arial" w:hAnsi="Arial" w:cs="Arial"/>
          <w:color w:val="000000" w:themeColor="text1"/>
          <w:sz w:val="20"/>
          <w:szCs w:val="20"/>
        </w:rPr>
        <w:t>. We only examined a single biomarker from the opioid and ECB systems, therefore the effect of BFR-RE on other opioid and ECB substances remains unknown. Finally, the results are generalisable to non-injured and pain-free adults only, and it is unclear whether chronic pain populations would yield similar results.</w:t>
      </w:r>
      <w:r w:rsidR="00A76CC2" w:rsidRPr="008072C7">
        <w:rPr>
          <w:rFonts w:ascii="Arial" w:hAnsi="Arial" w:cs="Arial"/>
          <w:color w:val="000000" w:themeColor="text1"/>
          <w:sz w:val="20"/>
          <w:szCs w:val="20"/>
        </w:rPr>
        <w:t xml:space="preserve"> However, despite these limitations several important implications can be drawn from the present study. </w:t>
      </w:r>
      <w:r w:rsidR="00183033" w:rsidRPr="008072C7">
        <w:rPr>
          <w:rFonts w:ascii="Arial" w:hAnsi="Arial" w:cs="Arial"/>
          <w:color w:val="000000" w:themeColor="text1"/>
          <w:sz w:val="20"/>
          <w:szCs w:val="20"/>
        </w:rPr>
        <w:t>Though EIH is typically greatest with higher intensity and prolonged exercise, our results show that addition of BFR to LLRE can maximise the EIH response achieved during low intensity exercise</w:t>
      </w:r>
      <w:r w:rsidR="00AC0F1B" w:rsidRPr="008072C7">
        <w:rPr>
          <w:rFonts w:ascii="Arial" w:hAnsi="Arial" w:cs="Arial"/>
          <w:color w:val="000000" w:themeColor="text1"/>
          <w:sz w:val="20"/>
          <w:szCs w:val="20"/>
        </w:rPr>
        <w:t xml:space="preserve"> to a similar or greater extent as HLRE</w:t>
      </w:r>
      <w:r w:rsidR="00183033" w:rsidRPr="008072C7">
        <w:rPr>
          <w:rFonts w:ascii="Arial" w:hAnsi="Arial" w:cs="Arial"/>
          <w:color w:val="000000" w:themeColor="text1"/>
          <w:sz w:val="20"/>
          <w:szCs w:val="20"/>
        </w:rPr>
        <w:t xml:space="preserve">. This has important implications for individuals with </w:t>
      </w:r>
      <w:r w:rsidR="00063719" w:rsidRPr="008072C7">
        <w:rPr>
          <w:rFonts w:ascii="Arial" w:hAnsi="Arial" w:cs="Arial"/>
          <w:color w:val="000000" w:themeColor="text1"/>
          <w:sz w:val="20"/>
          <w:szCs w:val="20"/>
        </w:rPr>
        <w:t xml:space="preserve">acute and chronic </w:t>
      </w:r>
      <w:r w:rsidR="00183033" w:rsidRPr="008072C7">
        <w:rPr>
          <w:rFonts w:ascii="Arial" w:hAnsi="Arial" w:cs="Arial"/>
          <w:color w:val="000000" w:themeColor="text1"/>
          <w:sz w:val="20"/>
          <w:szCs w:val="20"/>
        </w:rPr>
        <w:t>pain who may be load compromised, i.e. following surgery or older adults with chronic pain. Our results also provide evidence of systemic hypoalgesia after unilateral exercise</w:t>
      </w:r>
      <w:r w:rsidR="003E2890" w:rsidRPr="008072C7">
        <w:rPr>
          <w:rFonts w:ascii="Arial" w:hAnsi="Arial" w:cs="Arial"/>
          <w:color w:val="000000" w:themeColor="text1"/>
          <w:sz w:val="20"/>
          <w:szCs w:val="20"/>
        </w:rPr>
        <w:t>, which suggests load compromised individuals with acute or chronic pain may gain a pain relief benefit by exercising unaffected or pain-free limbs.</w:t>
      </w:r>
      <w:r w:rsidR="00DE0CBB" w:rsidRPr="008072C7">
        <w:rPr>
          <w:rFonts w:ascii="Arial" w:hAnsi="Arial" w:cs="Arial"/>
          <w:color w:val="000000" w:themeColor="text1"/>
          <w:sz w:val="20"/>
          <w:szCs w:val="20"/>
        </w:rPr>
        <w:t xml:space="preserve"> Finally, our results suggest that BFR-RE may prolong the hypoalgesia effect in the limb to which BFR is applied for up to 24 hours. This could be important for allowing other rehabilitation training to take place and to improve the quality of life of patients in the days between exercise training.</w:t>
      </w:r>
    </w:p>
    <w:p w14:paraId="619F29C7" w14:textId="32DBCFA9" w:rsidR="006E3AA0" w:rsidRPr="008072C7" w:rsidRDefault="00AB7C67" w:rsidP="00476D7D">
      <w:pPr>
        <w:rPr>
          <w:rFonts w:ascii="Arial" w:hAnsi="Arial" w:cs="Arial"/>
          <w:color w:val="000000" w:themeColor="text1"/>
          <w:sz w:val="20"/>
          <w:szCs w:val="20"/>
        </w:rPr>
        <w:sectPr w:rsidR="006E3AA0" w:rsidRPr="008072C7" w:rsidSect="00AA6C48">
          <w:pgSz w:w="11900" w:h="16840"/>
          <w:pgMar w:top="1440" w:right="1440" w:bottom="1440" w:left="1440" w:header="708" w:footer="708" w:gutter="0"/>
          <w:lnNumType w:countBy="1" w:restart="continuous"/>
          <w:cols w:space="708"/>
          <w:docGrid w:linePitch="360"/>
        </w:sectPr>
      </w:pPr>
      <w:r w:rsidRPr="008072C7">
        <w:rPr>
          <w:rFonts w:ascii="Arial" w:hAnsi="Arial" w:cs="Arial"/>
          <w:color w:val="000000" w:themeColor="text1"/>
          <w:sz w:val="20"/>
          <w:szCs w:val="20"/>
        </w:rPr>
        <w:t xml:space="preserve">In conclusion, </w:t>
      </w:r>
      <w:r w:rsidR="006E3AA0" w:rsidRPr="008072C7">
        <w:rPr>
          <w:rFonts w:ascii="Arial" w:hAnsi="Arial" w:cs="Arial"/>
          <w:color w:val="000000" w:themeColor="text1"/>
          <w:sz w:val="20"/>
          <w:szCs w:val="20"/>
        </w:rPr>
        <w:t xml:space="preserve">high pressure BFR-RE caused the greatest EIH response in the exercising limb and a systemic effect was observed to less extent, which was comparable to HLRE with both low and high pressure BFR-RE. </w:t>
      </w:r>
      <w:r w:rsidR="004F0CB0" w:rsidRPr="008072C7">
        <w:rPr>
          <w:rFonts w:ascii="Arial" w:hAnsi="Arial" w:cs="Arial"/>
          <w:color w:val="000000" w:themeColor="text1"/>
          <w:sz w:val="20"/>
          <w:szCs w:val="20"/>
        </w:rPr>
        <w:t xml:space="preserve">BFR-RE </w:t>
      </w:r>
      <w:r w:rsidR="006E3AA0" w:rsidRPr="008072C7">
        <w:rPr>
          <w:rFonts w:ascii="Arial" w:hAnsi="Arial" w:cs="Arial"/>
          <w:color w:val="000000" w:themeColor="text1"/>
          <w:sz w:val="20"/>
          <w:szCs w:val="20"/>
        </w:rPr>
        <w:t xml:space="preserve">with a low and high pressure </w:t>
      </w:r>
      <w:r w:rsidR="004F0CB0" w:rsidRPr="008072C7">
        <w:rPr>
          <w:rFonts w:ascii="Arial" w:hAnsi="Arial" w:cs="Arial"/>
          <w:color w:val="000000" w:themeColor="text1"/>
          <w:sz w:val="20"/>
          <w:szCs w:val="20"/>
        </w:rPr>
        <w:t xml:space="preserve">prolonged the hypoalgesia effect for up to 24 hours in the limb to which BFR was applied. The mechanisms underlying EIH with BFR-RE may be linked to </w:t>
      </w:r>
      <w:r w:rsidR="00CC7367" w:rsidRPr="008072C7">
        <w:rPr>
          <w:rFonts w:ascii="Arial" w:hAnsi="Arial" w:cs="Arial"/>
          <w:color w:val="000000" w:themeColor="text1"/>
          <w:sz w:val="20"/>
          <w:szCs w:val="20"/>
        </w:rPr>
        <w:t xml:space="preserve">the </w:t>
      </w:r>
      <w:r w:rsidR="004F0CB0" w:rsidRPr="008072C7">
        <w:rPr>
          <w:rFonts w:ascii="Arial" w:hAnsi="Arial" w:cs="Arial"/>
          <w:color w:val="000000" w:themeColor="text1"/>
          <w:sz w:val="20"/>
          <w:szCs w:val="20"/>
        </w:rPr>
        <w:t>opioid</w:t>
      </w:r>
      <w:r w:rsidR="00CC7367" w:rsidRPr="008072C7">
        <w:rPr>
          <w:rFonts w:ascii="Arial" w:hAnsi="Arial" w:cs="Arial"/>
          <w:color w:val="000000" w:themeColor="text1"/>
          <w:sz w:val="20"/>
          <w:szCs w:val="20"/>
        </w:rPr>
        <w:t xml:space="preserve"> system</w:t>
      </w:r>
      <w:r w:rsidR="004F0CB0" w:rsidRPr="008072C7">
        <w:rPr>
          <w:rFonts w:ascii="Arial" w:hAnsi="Arial" w:cs="Arial"/>
          <w:color w:val="000000" w:themeColor="text1"/>
          <w:sz w:val="20"/>
          <w:szCs w:val="20"/>
        </w:rPr>
        <w:t xml:space="preserve"> </w:t>
      </w:r>
      <w:r w:rsidR="00CC7367" w:rsidRPr="008072C7">
        <w:rPr>
          <w:rFonts w:ascii="Arial" w:hAnsi="Arial" w:cs="Arial"/>
          <w:color w:val="000000" w:themeColor="text1"/>
          <w:sz w:val="20"/>
          <w:szCs w:val="20"/>
        </w:rPr>
        <w:t xml:space="preserve">and a conditioned pain modulation effect </w:t>
      </w:r>
      <w:r w:rsidR="004F0CB0" w:rsidRPr="008072C7">
        <w:rPr>
          <w:rFonts w:ascii="Arial" w:hAnsi="Arial" w:cs="Arial"/>
          <w:color w:val="000000" w:themeColor="text1"/>
          <w:sz w:val="20"/>
          <w:szCs w:val="20"/>
        </w:rPr>
        <w:t xml:space="preserve">rather than endocannabinoid-mediated mechanisms and </w:t>
      </w:r>
      <w:r w:rsidR="00F06109" w:rsidRPr="008072C7">
        <w:rPr>
          <w:rFonts w:ascii="Arial" w:hAnsi="Arial" w:cs="Arial"/>
          <w:color w:val="000000" w:themeColor="text1"/>
          <w:sz w:val="20"/>
          <w:szCs w:val="20"/>
        </w:rPr>
        <w:t>associated</w:t>
      </w:r>
      <w:r w:rsidR="004F0CB0" w:rsidRPr="008072C7">
        <w:rPr>
          <w:rFonts w:ascii="Arial" w:hAnsi="Arial" w:cs="Arial"/>
          <w:color w:val="000000" w:themeColor="text1"/>
          <w:sz w:val="20"/>
          <w:szCs w:val="20"/>
        </w:rPr>
        <w:t xml:space="preserve"> </w:t>
      </w:r>
      <w:r w:rsidR="00F06109" w:rsidRPr="008072C7">
        <w:rPr>
          <w:rFonts w:ascii="Arial" w:hAnsi="Arial" w:cs="Arial"/>
          <w:color w:val="000000" w:themeColor="text1"/>
          <w:sz w:val="20"/>
          <w:szCs w:val="20"/>
        </w:rPr>
        <w:t>with</w:t>
      </w:r>
      <w:r w:rsidR="004F0CB0" w:rsidRPr="008072C7">
        <w:rPr>
          <w:rFonts w:ascii="Arial" w:hAnsi="Arial" w:cs="Arial"/>
          <w:color w:val="000000" w:themeColor="text1"/>
          <w:sz w:val="20"/>
          <w:szCs w:val="20"/>
        </w:rPr>
        <w:t xml:space="preserve"> the augmented physiological stress of </w:t>
      </w:r>
      <w:r w:rsidR="00684FA4" w:rsidRPr="008072C7">
        <w:rPr>
          <w:rFonts w:ascii="Arial" w:hAnsi="Arial" w:cs="Arial"/>
          <w:color w:val="000000" w:themeColor="text1"/>
          <w:sz w:val="20"/>
          <w:szCs w:val="20"/>
        </w:rPr>
        <w:t>BFR-RE.</w:t>
      </w:r>
      <w:r w:rsidR="004F0CB0" w:rsidRPr="008072C7">
        <w:rPr>
          <w:rFonts w:ascii="Arial" w:hAnsi="Arial" w:cs="Arial"/>
          <w:color w:val="000000" w:themeColor="text1"/>
          <w:sz w:val="20"/>
          <w:szCs w:val="20"/>
        </w:rPr>
        <w:t xml:space="preserve"> Overall, for </w:t>
      </w:r>
      <w:r w:rsidR="004F0CB0" w:rsidRPr="008072C7">
        <w:rPr>
          <w:rFonts w:ascii="Arial" w:hAnsi="Arial" w:cs="Arial"/>
          <w:color w:val="000000" w:themeColor="text1"/>
          <w:sz w:val="20"/>
          <w:szCs w:val="20"/>
        </w:rPr>
        <w:lastRenderedPageBreak/>
        <w:t>the first time this study provides evidence for the mechanisms and hypoalgesic effect of BFR-RE and highlights it</w:t>
      </w:r>
      <w:r w:rsidR="004261ED" w:rsidRPr="008072C7">
        <w:rPr>
          <w:rFonts w:ascii="Arial" w:hAnsi="Arial" w:cs="Arial"/>
          <w:color w:val="000000" w:themeColor="text1"/>
          <w:sz w:val="20"/>
          <w:szCs w:val="20"/>
        </w:rPr>
        <w:t>’s</w:t>
      </w:r>
      <w:r w:rsidR="004F0CB0" w:rsidRPr="008072C7">
        <w:rPr>
          <w:rFonts w:ascii="Arial" w:hAnsi="Arial" w:cs="Arial"/>
          <w:color w:val="000000" w:themeColor="text1"/>
          <w:sz w:val="20"/>
          <w:szCs w:val="20"/>
        </w:rPr>
        <w:t xml:space="preserve"> possible usefulness as an exercise intervention for load compromised, acute and chronic pain populations.</w:t>
      </w:r>
    </w:p>
    <w:p w14:paraId="2A125D38" w14:textId="4E93E2F3" w:rsidR="00F316F5" w:rsidRPr="008072C7" w:rsidRDefault="00F316F5" w:rsidP="00F316F5">
      <w:pPr>
        <w:pStyle w:val="Header"/>
        <w:rPr>
          <w:rFonts w:ascii="Arial" w:hAnsi="Arial" w:cs="Arial"/>
          <w:color w:val="000000" w:themeColor="text1"/>
          <w:sz w:val="20"/>
          <w:szCs w:val="20"/>
        </w:rPr>
      </w:pPr>
      <w:r w:rsidRPr="008072C7">
        <w:rPr>
          <w:rFonts w:ascii="Arial" w:hAnsi="Arial" w:cs="Arial"/>
          <w:color w:val="000000" w:themeColor="text1"/>
          <w:sz w:val="20"/>
          <w:szCs w:val="20"/>
        </w:rPr>
        <w:lastRenderedPageBreak/>
        <w:t>Acknowledgments</w:t>
      </w:r>
    </w:p>
    <w:p w14:paraId="7A901EE3" w14:textId="588CD0A2" w:rsidR="00F316F5" w:rsidRPr="008072C7" w:rsidRDefault="00F316F5" w:rsidP="00F316F5">
      <w:pPr>
        <w:pStyle w:val="Header"/>
        <w:rPr>
          <w:rFonts w:ascii="Arial" w:hAnsi="Arial" w:cs="Arial"/>
          <w:b w:val="0"/>
          <w:bCs/>
          <w:color w:val="000000" w:themeColor="text1"/>
          <w:sz w:val="20"/>
          <w:szCs w:val="20"/>
        </w:rPr>
      </w:pPr>
      <w:r w:rsidRPr="008072C7">
        <w:rPr>
          <w:rFonts w:ascii="Arial" w:hAnsi="Arial" w:cs="Arial"/>
          <w:b w:val="0"/>
          <w:bCs/>
          <w:color w:val="000000" w:themeColor="text1"/>
          <w:sz w:val="20"/>
          <w:szCs w:val="20"/>
        </w:rPr>
        <w:t>The authors would like to thank all participants for their time and commitment to the study.</w:t>
      </w:r>
    </w:p>
    <w:p w14:paraId="2ED5FF7A" w14:textId="61C26B02" w:rsidR="003E19E1" w:rsidRPr="008072C7" w:rsidRDefault="003E19E1" w:rsidP="003E19E1">
      <w:pPr>
        <w:pStyle w:val="Header"/>
        <w:rPr>
          <w:rFonts w:ascii="Arial" w:hAnsi="Arial" w:cs="Arial"/>
          <w:color w:val="000000" w:themeColor="text1"/>
          <w:sz w:val="20"/>
          <w:szCs w:val="20"/>
        </w:rPr>
      </w:pPr>
      <w:r w:rsidRPr="008072C7">
        <w:rPr>
          <w:rFonts w:ascii="Arial" w:hAnsi="Arial" w:cs="Arial"/>
          <w:color w:val="000000" w:themeColor="text1"/>
          <w:sz w:val="20"/>
          <w:szCs w:val="20"/>
        </w:rPr>
        <w:t>Author contributions</w:t>
      </w:r>
    </w:p>
    <w:p w14:paraId="62B6C263" w14:textId="77777777" w:rsidR="003E19E1" w:rsidRPr="008072C7" w:rsidRDefault="003E19E1" w:rsidP="00253DC8">
      <w:pPr>
        <w:rPr>
          <w:rFonts w:ascii="Arial" w:hAnsi="Arial" w:cs="Arial"/>
          <w:color w:val="000000" w:themeColor="text1"/>
          <w:sz w:val="20"/>
          <w:szCs w:val="20"/>
        </w:rPr>
      </w:pPr>
      <w:r w:rsidRPr="008072C7">
        <w:rPr>
          <w:rFonts w:ascii="Arial" w:hAnsi="Arial" w:cs="Arial"/>
          <w:color w:val="000000" w:themeColor="text1"/>
          <w:sz w:val="20"/>
          <w:szCs w:val="20"/>
        </w:rPr>
        <w:t>LH and SDP designed the study. LH recruited and tested participants. Data was analysed by LH and SDP. Both LH and SDP contributed to the manuscript, reviewed it and approved the content of the final version.</w:t>
      </w:r>
    </w:p>
    <w:p w14:paraId="3DC5524A" w14:textId="316A2D35" w:rsidR="00BA63FF" w:rsidRPr="008072C7" w:rsidRDefault="00BA63FF" w:rsidP="003E19E1">
      <w:pPr>
        <w:pStyle w:val="Header"/>
        <w:rPr>
          <w:rFonts w:ascii="Arial" w:hAnsi="Arial" w:cs="Arial"/>
          <w:color w:val="000000" w:themeColor="text1"/>
          <w:sz w:val="20"/>
          <w:szCs w:val="20"/>
        </w:rPr>
      </w:pPr>
      <w:r w:rsidRPr="008072C7">
        <w:rPr>
          <w:rFonts w:ascii="Arial" w:hAnsi="Arial" w:cs="Arial"/>
          <w:color w:val="000000" w:themeColor="text1"/>
          <w:sz w:val="20"/>
          <w:szCs w:val="20"/>
        </w:rPr>
        <w:t>Grants (</w:t>
      </w:r>
      <w:r w:rsidR="00D240C8" w:rsidRPr="008072C7">
        <w:rPr>
          <w:rFonts w:ascii="Arial" w:hAnsi="Arial" w:cs="Arial"/>
          <w:color w:val="000000" w:themeColor="text1"/>
          <w:sz w:val="20"/>
          <w:szCs w:val="20"/>
        </w:rPr>
        <w:t>N</w:t>
      </w:r>
      <w:r w:rsidRPr="008072C7">
        <w:rPr>
          <w:rFonts w:ascii="Arial" w:hAnsi="Arial" w:cs="Arial"/>
          <w:color w:val="000000" w:themeColor="text1"/>
          <w:sz w:val="20"/>
          <w:szCs w:val="20"/>
        </w:rPr>
        <w:t>on-industry funded)</w:t>
      </w:r>
    </w:p>
    <w:p w14:paraId="2C93DDC2" w14:textId="1C9693D3" w:rsidR="003E19E1" w:rsidRPr="008072C7" w:rsidRDefault="003E19E1" w:rsidP="003E19E1">
      <w:pPr>
        <w:rPr>
          <w:rFonts w:ascii="Arial" w:hAnsi="Arial" w:cs="Arial"/>
          <w:color w:val="000000" w:themeColor="text1"/>
          <w:sz w:val="20"/>
          <w:szCs w:val="20"/>
        </w:rPr>
      </w:pPr>
      <w:r w:rsidRPr="008072C7">
        <w:rPr>
          <w:rFonts w:ascii="Arial" w:hAnsi="Arial" w:cs="Arial"/>
          <w:color w:val="000000" w:themeColor="text1"/>
          <w:sz w:val="20"/>
          <w:szCs w:val="20"/>
        </w:rPr>
        <w:t>The ELISA analysis in this study was fund</w:t>
      </w:r>
      <w:r w:rsidR="00581729" w:rsidRPr="008072C7">
        <w:rPr>
          <w:rFonts w:ascii="Arial" w:hAnsi="Arial" w:cs="Arial"/>
          <w:color w:val="000000" w:themeColor="text1"/>
          <w:sz w:val="20"/>
          <w:szCs w:val="20"/>
        </w:rPr>
        <w:t>ed</w:t>
      </w:r>
      <w:r w:rsidRPr="008072C7">
        <w:rPr>
          <w:rFonts w:ascii="Arial" w:hAnsi="Arial" w:cs="Arial"/>
          <w:color w:val="000000" w:themeColor="text1"/>
          <w:sz w:val="20"/>
          <w:szCs w:val="20"/>
        </w:rPr>
        <w:t xml:space="preserve"> by the Faculty of Sport Health and Applied Sciences at St Mary’s University of London.</w:t>
      </w:r>
    </w:p>
    <w:p w14:paraId="14167445" w14:textId="30491AD7" w:rsidR="00581729" w:rsidRPr="008072C7" w:rsidRDefault="00581729" w:rsidP="00581729">
      <w:pPr>
        <w:pStyle w:val="Header"/>
        <w:rPr>
          <w:rFonts w:ascii="Arial" w:hAnsi="Arial" w:cs="Arial"/>
          <w:color w:val="000000" w:themeColor="text1"/>
          <w:sz w:val="20"/>
          <w:szCs w:val="20"/>
        </w:rPr>
      </w:pPr>
      <w:r w:rsidRPr="008072C7">
        <w:rPr>
          <w:rFonts w:ascii="Arial" w:hAnsi="Arial" w:cs="Arial"/>
          <w:color w:val="000000" w:themeColor="text1"/>
          <w:sz w:val="20"/>
          <w:szCs w:val="20"/>
        </w:rPr>
        <w:t>Disclosures and conflicts of interest</w:t>
      </w:r>
    </w:p>
    <w:p w14:paraId="2DBAAFD2" w14:textId="77777777" w:rsidR="00581729" w:rsidRDefault="00581729" w:rsidP="00581729">
      <w:pPr>
        <w:rPr>
          <w:rFonts w:ascii="Arial" w:hAnsi="Arial" w:cs="Arial"/>
          <w:color w:val="000000" w:themeColor="text1"/>
          <w:sz w:val="20"/>
          <w:szCs w:val="20"/>
        </w:rPr>
      </w:pPr>
      <w:r w:rsidRPr="008072C7">
        <w:rPr>
          <w:rFonts w:ascii="Arial" w:hAnsi="Arial" w:cs="Arial"/>
          <w:color w:val="000000" w:themeColor="text1"/>
          <w:sz w:val="20"/>
          <w:szCs w:val="20"/>
        </w:rPr>
        <w:t>Dr Luke Hughes is a post-doctoral research fellow funded by Western Clinical Engineering.</w:t>
      </w:r>
      <w:r w:rsidR="00E36BD8" w:rsidRPr="008072C7">
        <w:rPr>
          <w:rFonts w:ascii="Arial" w:hAnsi="Arial" w:cs="Arial"/>
          <w:color w:val="000000" w:themeColor="text1"/>
          <w:sz w:val="20"/>
          <w:szCs w:val="20"/>
        </w:rPr>
        <w:t xml:space="preserve"> The authors have no conflicts of interest to disclose in relation to this work.</w:t>
      </w:r>
    </w:p>
    <w:p w14:paraId="703572AC" w14:textId="77777777" w:rsidR="000525DE" w:rsidRDefault="000525DE" w:rsidP="00581729">
      <w:pPr>
        <w:rPr>
          <w:rFonts w:ascii="Arial" w:hAnsi="Arial" w:cs="Arial"/>
          <w:color w:val="000000" w:themeColor="text1"/>
          <w:sz w:val="20"/>
          <w:szCs w:val="20"/>
        </w:rPr>
      </w:pPr>
    </w:p>
    <w:p w14:paraId="56F83F4D" w14:textId="77777777" w:rsidR="000525DE" w:rsidRDefault="000525DE" w:rsidP="00581729">
      <w:pPr>
        <w:rPr>
          <w:rFonts w:ascii="Arial" w:hAnsi="Arial" w:cs="Arial"/>
          <w:color w:val="000000" w:themeColor="text1"/>
          <w:sz w:val="20"/>
          <w:szCs w:val="20"/>
        </w:rPr>
      </w:pPr>
    </w:p>
    <w:p w14:paraId="23EF76AC" w14:textId="77777777" w:rsidR="000525DE" w:rsidRDefault="000525DE" w:rsidP="00581729">
      <w:pPr>
        <w:rPr>
          <w:rFonts w:ascii="Arial" w:hAnsi="Arial" w:cs="Arial"/>
          <w:color w:val="000000" w:themeColor="text1"/>
          <w:sz w:val="20"/>
          <w:szCs w:val="20"/>
        </w:rPr>
      </w:pPr>
    </w:p>
    <w:p w14:paraId="5BC43B17" w14:textId="77777777" w:rsidR="000525DE" w:rsidRDefault="000525DE" w:rsidP="00261E70">
      <w:pPr>
        <w:spacing w:line="360" w:lineRule="auto"/>
        <w:rPr>
          <w:rFonts w:ascii="Arial" w:hAnsi="Arial" w:cs="Arial"/>
          <w:color w:val="000000" w:themeColor="text1"/>
          <w:sz w:val="20"/>
          <w:szCs w:val="20"/>
        </w:rPr>
      </w:pPr>
    </w:p>
    <w:p w14:paraId="64A51D93" w14:textId="77777777" w:rsidR="000525DE" w:rsidRDefault="000525DE" w:rsidP="00261E70">
      <w:pPr>
        <w:spacing w:line="360" w:lineRule="auto"/>
        <w:rPr>
          <w:rFonts w:ascii="Arial" w:hAnsi="Arial" w:cs="Arial"/>
          <w:color w:val="000000" w:themeColor="text1"/>
          <w:sz w:val="20"/>
          <w:szCs w:val="20"/>
        </w:rPr>
      </w:pPr>
    </w:p>
    <w:p w14:paraId="1DC9C050" w14:textId="77777777" w:rsidR="000525DE" w:rsidRDefault="000525DE" w:rsidP="00261E70">
      <w:pPr>
        <w:spacing w:line="360" w:lineRule="auto"/>
        <w:rPr>
          <w:rFonts w:ascii="Arial" w:hAnsi="Arial" w:cs="Arial"/>
          <w:color w:val="000000" w:themeColor="text1"/>
          <w:sz w:val="20"/>
          <w:szCs w:val="20"/>
        </w:rPr>
      </w:pPr>
    </w:p>
    <w:p w14:paraId="06CF6F2B" w14:textId="77777777" w:rsidR="000525DE" w:rsidRDefault="000525DE" w:rsidP="00261E70">
      <w:pPr>
        <w:spacing w:line="360" w:lineRule="auto"/>
        <w:rPr>
          <w:rFonts w:ascii="Arial" w:hAnsi="Arial" w:cs="Arial"/>
          <w:color w:val="000000" w:themeColor="text1"/>
          <w:sz w:val="20"/>
          <w:szCs w:val="20"/>
        </w:rPr>
      </w:pPr>
    </w:p>
    <w:p w14:paraId="309B1152" w14:textId="77777777" w:rsidR="000525DE" w:rsidRDefault="000525DE" w:rsidP="00261E70">
      <w:pPr>
        <w:spacing w:line="360" w:lineRule="auto"/>
        <w:rPr>
          <w:rFonts w:ascii="Arial" w:hAnsi="Arial" w:cs="Arial"/>
          <w:color w:val="000000" w:themeColor="text1"/>
          <w:sz w:val="20"/>
          <w:szCs w:val="20"/>
        </w:rPr>
      </w:pPr>
    </w:p>
    <w:p w14:paraId="72707F17" w14:textId="77777777" w:rsidR="000525DE" w:rsidRDefault="000525DE" w:rsidP="00261E70">
      <w:pPr>
        <w:spacing w:line="360" w:lineRule="auto"/>
        <w:rPr>
          <w:rFonts w:ascii="Arial" w:hAnsi="Arial" w:cs="Arial"/>
          <w:color w:val="000000" w:themeColor="text1"/>
          <w:sz w:val="20"/>
          <w:szCs w:val="20"/>
        </w:rPr>
      </w:pPr>
    </w:p>
    <w:p w14:paraId="03D988CD" w14:textId="77777777" w:rsidR="000525DE" w:rsidRDefault="000525DE" w:rsidP="00261E70">
      <w:pPr>
        <w:spacing w:line="360" w:lineRule="auto"/>
        <w:rPr>
          <w:rFonts w:ascii="Arial" w:hAnsi="Arial" w:cs="Arial"/>
          <w:color w:val="000000" w:themeColor="text1"/>
          <w:sz w:val="20"/>
          <w:szCs w:val="20"/>
        </w:rPr>
      </w:pPr>
    </w:p>
    <w:p w14:paraId="5FEB2F57" w14:textId="77777777" w:rsidR="000525DE" w:rsidRDefault="000525DE" w:rsidP="00261E70">
      <w:pPr>
        <w:spacing w:line="360" w:lineRule="auto"/>
        <w:rPr>
          <w:rFonts w:ascii="Arial" w:hAnsi="Arial" w:cs="Arial"/>
          <w:color w:val="000000" w:themeColor="text1"/>
          <w:sz w:val="20"/>
          <w:szCs w:val="20"/>
        </w:rPr>
      </w:pPr>
    </w:p>
    <w:p w14:paraId="09D8CFA0" w14:textId="77777777" w:rsidR="000525DE" w:rsidRDefault="000525DE" w:rsidP="00261E70">
      <w:pPr>
        <w:spacing w:line="360" w:lineRule="auto"/>
        <w:rPr>
          <w:rFonts w:ascii="Arial" w:hAnsi="Arial" w:cs="Arial"/>
          <w:color w:val="000000" w:themeColor="text1"/>
          <w:sz w:val="20"/>
          <w:szCs w:val="20"/>
        </w:rPr>
      </w:pPr>
    </w:p>
    <w:p w14:paraId="4F97926F" w14:textId="19847713" w:rsidR="00BA63FF" w:rsidRPr="008072C7" w:rsidRDefault="00BA63FF" w:rsidP="00261E70">
      <w:pPr>
        <w:spacing w:line="360" w:lineRule="auto"/>
        <w:rPr>
          <w:rFonts w:ascii="Arial" w:hAnsi="Arial" w:cs="Arial"/>
          <w:b/>
          <w:bCs/>
          <w:color w:val="000000" w:themeColor="text1"/>
          <w:sz w:val="20"/>
          <w:szCs w:val="20"/>
        </w:rPr>
      </w:pPr>
      <w:r w:rsidRPr="008072C7">
        <w:rPr>
          <w:rFonts w:ascii="Arial" w:hAnsi="Arial" w:cs="Arial"/>
          <w:b/>
          <w:bCs/>
          <w:color w:val="000000" w:themeColor="text1"/>
          <w:sz w:val="20"/>
          <w:szCs w:val="20"/>
        </w:rPr>
        <w:lastRenderedPageBreak/>
        <w:t>References</w:t>
      </w:r>
    </w:p>
    <w:p w14:paraId="42FC928A" w14:textId="25ADF89B" w:rsidR="003D7C1C" w:rsidRPr="003D7C1C" w:rsidRDefault="00BA63FF" w:rsidP="003D7C1C">
      <w:pPr>
        <w:widowControl w:val="0"/>
        <w:autoSpaceDE w:val="0"/>
        <w:autoSpaceDN w:val="0"/>
        <w:adjustRightInd w:val="0"/>
        <w:spacing w:after="0" w:line="360" w:lineRule="auto"/>
        <w:ind w:left="640" w:hanging="640"/>
        <w:rPr>
          <w:rFonts w:ascii="Arial" w:hAnsi="Arial" w:cs="Arial"/>
          <w:noProof/>
          <w:sz w:val="20"/>
        </w:rPr>
      </w:pPr>
      <w:r w:rsidRPr="008072C7">
        <w:rPr>
          <w:rFonts w:ascii="Arial" w:hAnsi="Arial" w:cs="Arial"/>
          <w:b/>
          <w:bCs/>
          <w:color w:val="000000" w:themeColor="text1"/>
          <w:sz w:val="20"/>
          <w:szCs w:val="20"/>
        </w:rPr>
        <w:fldChar w:fldCharType="begin" w:fldLock="1"/>
      </w:r>
      <w:r w:rsidRPr="008072C7">
        <w:rPr>
          <w:rFonts w:ascii="Arial" w:hAnsi="Arial" w:cs="Arial"/>
          <w:b/>
          <w:bCs/>
          <w:color w:val="000000" w:themeColor="text1"/>
          <w:sz w:val="20"/>
          <w:szCs w:val="20"/>
        </w:rPr>
        <w:instrText xml:space="preserve">ADDIN Mendeley Bibliography CSL_BIBLIOGRAPHY </w:instrText>
      </w:r>
      <w:r w:rsidRPr="008072C7">
        <w:rPr>
          <w:rFonts w:ascii="Arial" w:hAnsi="Arial" w:cs="Arial"/>
          <w:b/>
          <w:bCs/>
          <w:color w:val="000000" w:themeColor="text1"/>
          <w:sz w:val="20"/>
          <w:szCs w:val="20"/>
        </w:rPr>
        <w:fldChar w:fldCharType="separate"/>
      </w:r>
      <w:r w:rsidR="003D7C1C" w:rsidRPr="003D7C1C">
        <w:rPr>
          <w:rFonts w:ascii="Arial" w:hAnsi="Arial" w:cs="Arial"/>
          <w:noProof/>
          <w:sz w:val="20"/>
        </w:rPr>
        <w:t xml:space="preserve">1. </w:t>
      </w:r>
      <w:r w:rsidR="003D7C1C" w:rsidRPr="003D7C1C">
        <w:rPr>
          <w:rFonts w:ascii="Arial" w:hAnsi="Arial" w:cs="Arial"/>
          <w:noProof/>
          <w:sz w:val="20"/>
        </w:rPr>
        <w:tab/>
      </w:r>
      <w:r w:rsidR="003D7C1C" w:rsidRPr="003D7C1C">
        <w:rPr>
          <w:rFonts w:ascii="Arial" w:hAnsi="Arial" w:cs="Arial"/>
          <w:b/>
          <w:bCs/>
          <w:noProof/>
          <w:sz w:val="20"/>
        </w:rPr>
        <w:t>AORN Recommended Practices Committee</w:t>
      </w:r>
      <w:r w:rsidR="003D7C1C" w:rsidRPr="003D7C1C">
        <w:rPr>
          <w:rFonts w:ascii="Arial" w:hAnsi="Arial" w:cs="Arial"/>
          <w:noProof/>
          <w:sz w:val="20"/>
        </w:rPr>
        <w:t xml:space="preserve">. Recommended practices for the use of the pneumatic tourniquet in the perioperative practice setting. </w:t>
      </w:r>
      <w:r w:rsidR="003D7C1C" w:rsidRPr="003D7C1C">
        <w:rPr>
          <w:rFonts w:ascii="Arial" w:hAnsi="Arial" w:cs="Arial"/>
          <w:i/>
          <w:iCs/>
          <w:noProof/>
          <w:sz w:val="20"/>
        </w:rPr>
        <w:t>AORN J</w:t>
      </w:r>
      <w:r w:rsidR="003D7C1C" w:rsidRPr="003D7C1C">
        <w:rPr>
          <w:rFonts w:ascii="Arial" w:hAnsi="Arial" w:cs="Arial"/>
          <w:noProof/>
          <w:sz w:val="20"/>
        </w:rPr>
        <w:t xml:space="preserve"> 86: 640–655, 2007.</w:t>
      </w:r>
    </w:p>
    <w:p w14:paraId="6E8E993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 </w:t>
      </w:r>
      <w:r w:rsidRPr="003D7C1C">
        <w:rPr>
          <w:rFonts w:ascii="Arial" w:hAnsi="Arial" w:cs="Arial"/>
          <w:noProof/>
          <w:sz w:val="20"/>
        </w:rPr>
        <w:tab/>
      </w:r>
      <w:r w:rsidRPr="003D7C1C">
        <w:rPr>
          <w:rFonts w:ascii="Arial" w:hAnsi="Arial" w:cs="Arial"/>
          <w:b/>
          <w:bCs/>
          <w:noProof/>
          <w:sz w:val="20"/>
        </w:rPr>
        <w:t>Baron RM</w:t>
      </w:r>
      <w:r w:rsidRPr="003D7C1C">
        <w:rPr>
          <w:rFonts w:ascii="Arial" w:hAnsi="Arial" w:cs="Arial"/>
          <w:noProof/>
          <w:sz w:val="20"/>
        </w:rPr>
        <w:t xml:space="preserve">, </w:t>
      </w:r>
      <w:r w:rsidRPr="003D7C1C">
        <w:rPr>
          <w:rFonts w:ascii="Arial" w:hAnsi="Arial" w:cs="Arial"/>
          <w:b/>
          <w:bCs/>
          <w:noProof/>
          <w:sz w:val="20"/>
        </w:rPr>
        <w:t>Kenny DA</w:t>
      </w:r>
      <w:r w:rsidRPr="003D7C1C">
        <w:rPr>
          <w:rFonts w:ascii="Arial" w:hAnsi="Arial" w:cs="Arial"/>
          <w:noProof/>
          <w:sz w:val="20"/>
        </w:rPr>
        <w:t xml:space="preserve">. The moderator-mediator variable distinction in social psychological research: Conceptual, strategic and statistical considerations. </w:t>
      </w:r>
      <w:r w:rsidRPr="003D7C1C">
        <w:rPr>
          <w:rFonts w:ascii="Arial" w:hAnsi="Arial" w:cs="Arial"/>
          <w:i/>
          <w:iCs/>
          <w:noProof/>
          <w:sz w:val="20"/>
        </w:rPr>
        <w:t>J Pers Soc Psychol</w:t>
      </w:r>
      <w:r w:rsidRPr="003D7C1C">
        <w:rPr>
          <w:rFonts w:ascii="Arial" w:hAnsi="Arial" w:cs="Arial"/>
          <w:noProof/>
          <w:sz w:val="20"/>
        </w:rPr>
        <w:t xml:space="preserve"> 51: 1173–1182, 1986.</w:t>
      </w:r>
    </w:p>
    <w:p w14:paraId="6F99A29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 </w:t>
      </w:r>
      <w:r w:rsidRPr="003D7C1C">
        <w:rPr>
          <w:rFonts w:ascii="Arial" w:hAnsi="Arial" w:cs="Arial"/>
          <w:noProof/>
          <w:sz w:val="20"/>
        </w:rPr>
        <w:tab/>
      </w:r>
      <w:r w:rsidRPr="003D7C1C">
        <w:rPr>
          <w:rFonts w:ascii="Arial" w:hAnsi="Arial" w:cs="Arial"/>
          <w:b/>
          <w:bCs/>
          <w:noProof/>
          <w:sz w:val="20"/>
        </w:rPr>
        <w:t>Van Beaumont W</w:t>
      </w:r>
      <w:r w:rsidRPr="003D7C1C">
        <w:rPr>
          <w:rFonts w:ascii="Arial" w:hAnsi="Arial" w:cs="Arial"/>
          <w:noProof/>
          <w:sz w:val="20"/>
        </w:rPr>
        <w:t xml:space="preserve">. Evaluation of hemoconcentration from hematocrit measurements. </w:t>
      </w:r>
      <w:r w:rsidRPr="003D7C1C">
        <w:rPr>
          <w:rFonts w:ascii="Arial" w:hAnsi="Arial" w:cs="Arial"/>
          <w:i/>
          <w:iCs/>
          <w:noProof/>
          <w:sz w:val="20"/>
        </w:rPr>
        <w:t>J Appl Physiol</w:t>
      </w:r>
      <w:r w:rsidRPr="003D7C1C">
        <w:rPr>
          <w:rFonts w:ascii="Arial" w:hAnsi="Arial" w:cs="Arial"/>
          <w:noProof/>
          <w:sz w:val="20"/>
        </w:rPr>
        <w:t xml:space="preserve"> 32: 712–3, 1972.</w:t>
      </w:r>
    </w:p>
    <w:p w14:paraId="73FF1DD8"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 </w:t>
      </w:r>
      <w:r w:rsidRPr="003D7C1C">
        <w:rPr>
          <w:rFonts w:ascii="Arial" w:hAnsi="Arial" w:cs="Arial"/>
          <w:noProof/>
          <w:sz w:val="20"/>
        </w:rPr>
        <w:tab/>
      </w:r>
      <w:r w:rsidRPr="003D7C1C">
        <w:rPr>
          <w:rFonts w:ascii="Arial" w:hAnsi="Arial" w:cs="Arial"/>
          <w:b/>
          <w:bCs/>
          <w:noProof/>
          <w:sz w:val="20"/>
        </w:rPr>
        <w:t>Borg G</w:t>
      </w:r>
      <w:r w:rsidRPr="003D7C1C">
        <w:rPr>
          <w:rFonts w:ascii="Arial" w:hAnsi="Arial" w:cs="Arial"/>
          <w:noProof/>
          <w:sz w:val="20"/>
        </w:rPr>
        <w:t>. Borg’s perceived exertion and pain scales. 1998.</w:t>
      </w:r>
    </w:p>
    <w:p w14:paraId="1D28E114"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 </w:t>
      </w:r>
      <w:r w:rsidRPr="003D7C1C">
        <w:rPr>
          <w:rFonts w:ascii="Arial" w:hAnsi="Arial" w:cs="Arial"/>
          <w:noProof/>
          <w:sz w:val="20"/>
        </w:rPr>
        <w:tab/>
      </w:r>
      <w:r w:rsidRPr="003D7C1C">
        <w:rPr>
          <w:rFonts w:ascii="Arial" w:hAnsi="Arial" w:cs="Arial"/>
          <w:b/>
          <w:bCs/>
          <w:noProof/>
          <w:sz w:val="20"/>
        </w:rPr>
        <w:t>Clark BC</w:t>
      </w:r>
      <w:r w:rsidRPr="003D7C1C">
        <w:rPr>
          <w:rFonts w:ascii="Arial" w:hAnsi="Arial" w:cs="Arial"/>
          <w:noProof/>
          <w:sz w:val="20"/>
        </w:rPr>
        <w:t xml:space="preserve">, </w:t>
      </w:r>
      <w:r w:rsidRPr="003D7C1C">
        <w:rPr>
          <w:rFonts w:ascii="Arial" w:hAnsi="Arial" w:cs="Arial"/>
          <w:b/>
          <w:bCs/>
          <w:noProof/>
          <w:sz w:val="20"/>
        </w:rPr>
        <w:t>Manini TM</w:t>
      </w:r>
      <w:r w:rsidRPr="003D7C1C">
        <w:rPr>
          <w:rFonts w:ascii="Arial" w:hAnsi="Arial" w:cs="Arial"/>
          <w:noProof/>
          <w:sz w:val="20"/>
        </w:rPr>
        <w:t xml:space="preserve">, </w:t>
      </w:r>
      <w:r w:rsidRPr="003D7C1C">
        <w:rPr>
          <w:rFonts w:ascii="Arial" w:hAnsi="Arial" w:cs="Arial"/>
          <w:b/>
          <w:bCs/>
          <w:noProof/>
          <w:sz w:val="20"/>
        </w:rPr>
        <w:t>Hoffman RL</w:t>
      </w:r>
      <w:r w:rsidRPr="003D7C1C">
        <w:rPr>
          <w:rFonts w:ascii="Arial" w:hAnsi="Arial" w:cs="Arial"/>
          <w:noProof/>
          <w:sz w:val="20"/>
        </w:rPr>
        <w:t xml:space="preserve">, </w:t>
      </w:r>
      <w:r w:rsidRPr="003D7C1C">
        <w:rPr>
          <w:rFonts w:ascii="Arial" w:hAnsi="Arial" w:cs="Arial"/>
          <w:b/>
          <w:bCs/>
          <w:noProof/>
          <w:sz w:val="20"/>
        </w:rPr>
        <w:t>Williams PS</w:t>
      </w:r>
      <w:r w:rsidRPr="003D7C1C">
        <w:rPr>
          <w:rFonts w:ascii="Arial" w:hAnsi="Arial" w:cs="Arial"/>
          <w:noProof/>
          <w:sz w:val="20"/>
        </w:rPr>
        <w:t xml:space="preserve">, </w:t>
      </w:r>
      <w:r w:rsidRPr="003D7C1C">
        <w:rPr>
          <w:rFonts w:ascii="Arial" w:hAnsi="Arial" w:cs="Arial"/>
          <w:b/>
          <w:bCs/>
          <w:noProof/>
          <w:sz w:val="20"/>
        </w:rPr>
        <w:t>Guiler MK</w:t>
      </w:r>
      <w:r w:rsidRPr="003D7C1C">
        <w:rPr>
          <w:rFonts w:ascii="Arial" w:hAnsi="Arial" w:cs="Arial"/>
          <w:noProof/>
          <w:sz w:val="20"/>
        </w:rPr>
        <w:t xml:space="preserve">, </w:t>
      </w:r>
      <w:r w:rsidRPr="003D7C1C">
        <w:rPr>
          <w:rFonts w:ascii="Arial" w:hAnsi="Arial" w:cs="Arial"/>
          <w:b/>
          <w:bCs/>
          <w:noProof/>
          <w:sz w:val="20"/>
        </w:rPr>
        <w:t>Knutson MJ</w:t>
      </w:r>
      <w:r w:rsidRPr="003D7C1C">
        <w:rPr>
          <w:rFonts w:ascii="Arial" w:hAnsi="Arial" w:cs="Arial"/>
          <w:noProof/>
          <w:sz w:val="20"/>
        </w:rPr>
        <w:t xml:space="preserve">, </w:t>
      </w:r>
      <w:r w:rsidRPr="003D7C1C">
        <w:rPr>
          <w:rFonts w:ascii="Arial" w:hAnsi="Arial" w:cs="Arial"/>
          <w:b/>
          <w:bCs/>
          <w:noProof/>
          <w:sz w:val="20"/>
        </w:rPr>
        <w:t>McGlynn ML</w:t>
      </w:r>
      <w:r w:rsidRPr="003D7C1C">
        <w:rPr>
          <w:rFonts w:ascii="Arial" w:hAnsi="Arial" w:cs="Arial"/>
          <w:noProof/>
          <w:sz w:val="20"/>
        </w:rPr>
        <w:t xml:space="preserve">, </w:t>
      </w:r>
      <w:r w:rsidRPr="003D7C1C">
        <w:rPr>
          <w:rFonts w:ascii="Arial" w:hAnsi="Arial" w:cs="Arial"/>
          <w:b/>
          <w:bCs/>
          <w:noProof/>
          <w:sz w:val="20"/>
        </w:rPr>
        <w:t>Kushnick MR</w:t>
      </w:r>
      <w:r w:rsidRPr="003D7C1C">
        <w:rPr>
          <w:rFonts w:ascii="Arial" w:hAnsi="Arial" w:cs="Arial"/>
          <w:noProof/>
          <w:sz w:val="20"/>
        </w:rPr>
        <w:t xml:space="preserve">. Relative safety of 4 weeks of blood flow-restricted resistance exercise in young, healthy adults. </w:t>
      </w:r>
      <w:r w:rsidRPr="003D7C1C">
        <w:rPr>
          <w:rFonts w:ascii="Arial" w:hAnsi="Arial" w:cs="Arial"/>
          <w:i/>
          <w:iCs/>
          <w:noProof/>
          <w:sz w:val="20"/>
        </w:rPr>
        <w:t>Scand J Med Sci Sports</w:t>
      </w:r>
      <w:r w:rsidRPr="003D7C1C">
        <w:rPr>
          <w:rFonts w:ascii="Arial" w:hAnsi="Arial" w:cs="Arial"/>
          <w:noProof/>
          <w:sz w:val="20"/>
        </w:rPr>
        <w:t xml:space="preserve"> 21: 653–662, 2011.</w:t>
      </w:r>
    </w:p>
    <w:p w14:paraId="444F8E9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 </w:t>
      </w:r>
      <w:r w:rsidRPr="003D7C1C">
        <w:rPr>
          <w:rFonts w:ascii="Arial" w:hAnsi="Arial" w:cs="Arial"/>
          <w:noProof/>
          <w:sz w:val="20"/>
        </w:rPr>
        <w:tab/>
      </w:r>
      <w:r w:rsidRPr="003D7C1C">
        <w:rPr>
          <w:rFonts w:ascii="Arial" w:hAnsi="Arial" w:cs="Arial"/>
          <w:b/>
          <w:bCs/>
          <w:noProof/>
          <w:sz w:val="20"/>
        </w:rPr>
        <w:t>Cuesta-Vargas AI</w:t>
      </w:r>
      <w:r w:rsidRPr="003D7C1C">
        <w:rPr>
          <w:rFonts w:ascii="Arial" w:hAnsi="Arial" w:cs="Arial"/>
          <w:noProof/>
          <w:sz w:val="20"/>
        </w:rPr>
        <w:t xml:space="preserve">, </w:t>
      </w:r>
      <w:r w:rsidRPr="003D7C1C">
        <w:rPr>
          <w:rFonts w:ascii="Arial" w:hAnsi="Arial" w:cs="Arial"/>
          <w:b/>
          <w:bCs/>
          <w:noProof/>
          <w:sz w:val="20"/>
        </w:rPr>
        <w:t>González-Sánchez M</w:t>
      </w:r>
      <w:r w:rsidRPr="003D7C1C">
        <w:rPr>
          <w:rFonts w:ascii="Arial" w:hAnsi="Arial" w:cs="Arial"/>
          <w:noProof/>
          <w:sz w:val="20"/>
        </w:rPr>
        <w:t xml:space="preserve">, </w:t>
      </w:r>
      <w:r w:rsidRPr="003D7C1C">
        <w:rPr>
          <w:rFonts w:ascii="Arial" w:hAnsi="Arial" w:cs="Arial"/>
          <w:b/>
          <w:bCs/>
          <w:noProof/>
          <w:sz w:val="20"/>
        </w:rPr>
        <w:t>Casuso-Holgado MJ</w:t>
      </w:r>
      <w:r w:rsidRPr="003D7C1C">
        <w:rPr>
          <w:rFonts w:ascii="Arial" w:hAnsi="Arial" w:cs="Arial"/>
          <w:noProof/>
          <w:sz w:val="20"/>
        </w:rPr>
        <w:t xml:space="preserve">. Effect on health-related quality of life of a multimodal physiotherapy program in patients with chronic musculoskeletal disorders. </w:t>
      </w:r>
      <w:r w:rsidRPr="003D7C1C">
        <w:rPr>
          <w:rFonts w:ascii="Arial" w:hAnsi="Arial" w:cs="Arial"/>
          <w:i/>
          <w:iCs/>
          <w:noProof/>
          <w:sz w:val="20"/>
        </w:rPr>
        <w:t>Health Qual Life Outcomes</w:t>
      </w:r>
      <w:r w:rsidRPr="003D7C1C">
        <w:rPr>
          <w:rFonts w:ascii="Arial" w:hAnsi="Arial" w:cs="Arial"/>
          <w:noProof/>
          <w:sz w:val="20"/>
        </w:rPr>
        <w:t xml:space="preserve"> 11: 1–8, 2013.</w:t>
      </w:r>
    </w:p>
    <w:p w14:paraId="3B1EE86A"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7. </w:t>
      </w:r>
      <w:r w:rsidRPr="003D7C1C">
        <w:rPr>
          <w:rFonts w:ascii="Arial" w:hAnsi="Arial" w:cs="Arial"/>
          <w:noProof/>
          <w:sz w:val="20"/>
        </w:rPr>
        <w:tab/>
      </w:r>
      <w:r w:rsidRPr="003D7C1C">
        <w:rPr>
          <w:rFonts w:ascii="Arial" w:hAnsi="Arial" w:cs="Arial"/>
          <w:b/>
          <w:bCs/>
          <w:noProof/>
          <w:sz w:val="20"/>
        </w:rPr>
        <w:t>Dietrich A</w:t>
      </w:r>
      <w:r w:rsidRPr="003D7C1C">
        <w:rPr>
          <w:rFonts w:ascii="Arial" w:hAnsi="Arial" w:cs="Arial"/>
          <w:noProof/>
          <w:sz w:val="20"/>
        </w:rPr>
        <w:t xml:space="preserve">, </w:t>
      </w:r>
      <w:r w:rsidRPr="003D7C1C">
        <w:rPr>
          <w:rFonts w:ascii="Arial" w:hAnsi="Arial" w:cs="Arial"/>
          <w:b/>
          <w:bCs/>
          <w:noProof/>
          <w:sz w:val="20"/>
        </w:rPr>
        <w:t>McDaniel WF</w:t>
      </w:r>
      <w:r w:rsidRPr="003D7C1C">
        <w:rPr>
          <w:rFonts w:ascii="Arial" w:hAnsi="Arial" w:cs="Arial"/>
          <w:noProof/>
          <w:sz w:val="20"/>
        </w:rPr>
        <w:t xml:space="preserve">. Endocannabinoids and exercise. </w:t>
      </w:r>
      <w:r w:rsidRPr="003D7C1C">
        <w:rPr>
          <w:rFonts w:ascii="Arial" w:hAnsi="Arial" w:cs="Arial"/>
          <w:i/>
          <w:iCs/>
          <w:noProof/>
          <w:sz w:val="20"/>
        </w:rPr>
        <w:t>Br J Sports Med</w:t>
      </w:r>
      <w:r w:rsidRPr="003D7C1C">
        <w:rPr>
          <w:rFonts w:ascii="Arial" w:hAnsi="Arial" w:cs="Arial"/>
          <w:noProof/>
          <w:sz w:val="20"/>
        </w:rPr>
        <w:t xml:space="preserve"> 38: 536–541, 2004.</w:t>
      </w:r>
    </w:p>
    <w:p w14:paraId="2BC6FA02"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8. </w:t>
      </w:r>
      <w:r w:rsidRPr="003D7C1C">
        <w:rPr>
          <w:rFonts w:ascii="Arial" w:hAnsi="Arial" w:cs="Arial"/>
          <w:noProof/>
          <w:sz w:val="20"/>
        </w:rPr>
        <w:tab/>
      </w:r>
      <w:r w:rsidRPr="003D7C1C">
        <w:rPr>
          <w:rFonts w:ascii="Arial" w:hAnsi="Arial" w:cs="Arial"/>
          <w:b/>
          <w:bCs/>
          <w:noProof/>
          <w:sz w:val="20"/>
        </w:rPr>
        <w:t>Ellingson LD</w:t>
      </w:r>
      <w:r w:rsidRPr="003D7C1C">
        <w:rPr>
          <w:rFonts w:ascii="Arial" w:hAnsi="Arial" w:cs="Arial"/>
          <w:noProof/>
          <w:sz w:val="20"/>
        </w:rPr>
        <w:t xml:space="preserve">, </w:t>
      </w:r>
      <w:r w:rsidRPr="003D7C1C">
        <w:rPr>
          <w:rFonts w:ascii="Arial" w:hAnsi="Arial" w:cs="Arial"/>
          <w:b/>
          <w:bCs/>
          <w:noProof/>
          <w:sz w:val="20"/>
        </w:rPr>
        <w:t>Koltyn KF</w:t>
      </w:r>
      <w:r w:rsidRPr="003D7C1C">
        <w:rPr>
          <w:rFonts w:ascii="Arial" w:hAnsi="Arial" w:cs="Arial"/>
          <w:noProof/>
          <w:sz w:val="20"/>
        </w:rPr>
        <w:t xml:space="preserve">, </w:t>
      </w:r>
      <w:r w:rsidRPr="003D7C1C">
        <w:rPr>
          <w:rFonts w:ascii="Arial" w:hAnsi="Arial" w:cs="Arial"/>
          <w:b/>
          <w:bCs/>
          <w:noProof/>
          <w:sz w:val="20"/>
        </w:rPr>
        <w:t>Kim J</w:t>
      </w:r>
      <w:r w:rsidRPr="003D7C1C">
        <w:rPr>
          <w:rFonts w:ascii="Arial" w:hAnsi="Arial" w:cs="Arial"/>
          <w:noProof/>
          <w:sz w:val="20"/>
        </w:rPr>
        <w:t xml:space="preserve">, </w:t>
      </w:r>
      <w:r w:rsidRPr="003D7C1C">
        <w:rPr>
          <w:rFonts w:ascii="Arial" w:hAnsi="Arial" w:cs="Arial"/>
          <w:b/>
          <w:bCs/>
          <w:noProof/>
          <w:sz w:val="20"/>
        </w:rPr>
        <w:t>Cook DB</w:t>
      </w:r>
      <w:r w:rsidRPr="003D7C1C">
        <w:rPr>
          <w:rFonts w:ascii="Arial" w:hAnsi="Arial" w:cs="Arial"/>
          <w:noProof/>
          <w:sz w:val="20"/>
        </w:rPr>
        <w:t xml:space="preserve">. Does exercise induce hypoalgesia through conditioned pain modulation? </w:t>
      </w:r>
      <w:r w:rsidRPr="003D7C1C">
        <w:rPr>
          <w:rFonts w:ascii="Arial" w:hAnsi="Arial" w:cs="Arial"/>
          <w:i/>
          <w:iCs/>
          <w:noProof/>
          <w:sz w:val="20"/>
        </w:rPr>
        <w:t>Psychophysiology</w:t>
      </w:r>
      <w:r w:rsidRPr="003D7C1C">
        <w:rPr>
          <w:rFonts w:ascii="Arial" w:hAnsi="Arial" w:cs="Arial"/>
          <w:noProof/>
          <w:sz w:val="20"/>
        </w:rPr>
        <w:t xml:space="preserve"> 51: 267–276, 2014.</w:t>
      </w:r>
    </w:p>
    <w:p w14:paraId="0B71EDD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9. </w:t>
      </w:r>
      <w:r w:rsidRPr="003D7C1C">
        <w:rPr>
          <w:rFonts w:ascii="Arial" w:hAnsi="Arial" w:cs="Arial"/>
          <w:noProof/>
          <w:sz w:val="20"/>
        </w:rPr>
        <w:tab/>
      </w:r>
      <w:r w:rsidRPr="003D7C1C">
        <w:rPr>
          <w:rFonts w:ascii="Arial" w:hAnsi="Arial" w:cs="Arial"/>
          <w:b/>
          <w:bCs/>
          <w:noProof/>
          <w:sz w:val="20"/>
        </w:rPr>
        <w:t>Ferraz RB</w:t>
      </w:r>
      <w:r w:rsidRPr="003D7C1C">
        <w:rPr>
          <w:rFonts w:ascii="Arial" w:hAnsi="Arial" w:cs="Arial"/>
          <w:noProof/>
          <w:sz w:val="20"/>
        </w:rPr>
        <w:t xml:space="preserve">, </w:t>
      </w:r>
      <w:r w:rsidRPr="003D7C1C">
        <w:rPr>
          <w:rFonts w:ascii="Arial" w:hAnsi="Arial" w:cs="Arial"/>
          <w:b/>
          <w:bCs/>
          <w:noProof/>
          <w:sz w:val="20"/>
        </w:rPr>
        <w:t>Gualano B</w:t>
      </w:r>
      <w:r w:rsidRPr="003D7C1C">
        <w:rPr>
          <w:rFonts w:ascii="Arial" w:hAnsi="Arial" w:cs="Arial"/>
          <w:noProof/>
          <w:sz w:val="20"/>
        </w:rPr>
        <w:t xml:space="preserve">, </w:t>
      </w:r>
      <w:r w:rsidRPr="003D7C1C">
        <w:rPr>
          <w:rFonts w:ascii="Arial" w:hAnsi="Arial" w:cs="Arial"/>
          <w:b/>
          <w:bCs/>
          <w:noProof/>
          <w:sz w:val="20"/>
        </w:rPr>
        <w:t>Rodrigues R</w:t>
      </w:r>
      <w:r w:rsidRPr="003D7C1C">
        <w:rPr>
          <w:rFonts w:ascii="Arial" w:hAnsi="Arial" w:cs="Arial"/>
          <w:noProof/>
          <w:sz w:val="20"/>
        </w:rPr>
        <w:t xml:space="preserve">, </w:t>
      </w:r>
      <w:r w:rsidRPr="003D7C1C">
        <w:rPr>
          <w:rFonts w:ascii="Arial" w:hAnsi="Arial" w:cs="Arial"/>
          <w:b/>
          <w:bCs/>
          <w:noProof/>
          <w:sz w:val="20"/>
        </w:rPr>
        <w:t>Kurimori CO</w:t>
      </w:r>
      <w:r w:rsidRPr="003D7C1C">
        <w:rPr>
          <w:rFonts w:ascii="Arial" w:hAnsi="Arial" w:cs="Arial"/>
          <w:noProof/>
          <w:sz w:val="20"/>
        </w:rPr>
        <w:t xml:space="preserve">, </w:t>
      </w:r>
      <w:r w:rsidRPr="003D7C1C">
        <w:rPr>
          <w:rFonts w:ascii="Arial" w:hAnsi="Arial" w:cs="Arial"/>
          <w:b/>
          <w:bCs/>
          <w:noProof/>
          <w:sz w:val="20"/>
        </w:rPr>
        <w:t>Fuller R</w:t>
      </w:r>
      <w:r w:rsidRPr="003D7C1C">
        <w:rPr>
          <w:rFonts w:ascii="Arial" w:hAnsi="Arial" w:cs="Arial"/>
          <w:noProof/>
          <w:sz w:val="20"/>
        </w:rPr>
        <w:t xml:space="preserve">, </w:t>
      </w:r>
      <w:r w:rsidRPr="003D7C1C">
        <w:rPr>
          <w:rFonts w:ascii="Arial" w:hAnsi="Arial" w:cs="Arial"/>
          <w:b/>
          <w:bCs/>
          <w:noProof/>
          <w:sz w:val="20"/>
        </w:rPr>
        <w:t>Lima FR</w:t>
      </w:r>
      <w:r w:rsidRPr="003D7C1C">
        <w:rPr>
          <w:rFonts w:ascii="Arial" w:hAnsi="Arial" w:cs="Arial"/>
          <w:noProof/>
          <w:sz w:val="20"/>
        </w:rPr>
        <w:t xml:space="preserve">, </w:t>
      </w:r>
      <w:r w:rsidRPr="003D7C1C">
        <w:rPr>
          <w:rFonts w:ascii="Arial" w:hAnsi="Arial" w:cs="Arial"/>
          <w:b/>
          <w:bCs/>
          <w:noProof/>
          <w:sz w:val="20"/>
        </w:rPr>
        <w:t>De Sá-Pinto AL</w:t>
      </w:r>
      <w:r w:rsidRPr="003D7C1C">
        <w:rPr>
          <w:rFonts w:ascii="Arial" w:hAnsi="Arial" w:cs="Arial"/>
          <w:noProof/>
          <w:sz w:val="20"/>
        </w:rPr>
        <w:t xml:space="preserve">, </w:t>
      </w:r>
      <w:r w:rsidRPr="003D7C1C">
        <w:rPr>
          <w:rFonts w:ascii="Arial" w:hAnsi="Arial" w:cs="Arial"/>
          <w:b/>
          <w:bCs/>
          <w:noProof/>
          <w:sz w:val="20"/>
        </w:rPr>
        <w:t>Roschel H</w:t>
      </w:r>
      <w:r w:rsidRPr="003D7C1C">
        <w:rPr>
          <w:rFonts w:ascii="Arial" w:hAnsi="Arial" w:cs="Arial"/>
          <w:noProof/>
          <w:sz w:val="20"/>
        </w:rPr>
        <w:t>. Benefits of Resistance Training with Blood Flow Restriction in Knee Osteoarthritis. 2017.</w:t>
      </w:r>
    </w:p>
    <w:p w14:paraId="2CBE96D8"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10. </w:t>
      </w:r>
      <w:r w:rsidRPr="003D7C1C">
        <w:rPr>
          <w:rFonts w:ascii="Arial" w:hAnsi="Arial" w:cs="Arial"/>
          <w:noProof/>
          <w:sz w:val="20"/>
        </w:rPr>
        <w:tab/>
      </w:r>
      <w:r w:rsidRPr="003D7C1C">
        <w:rPr>
          <w:rFonts w:ascii="Arial" w:hAnsi="Arial" w:cs="Arial"/>
          <w:b/>
          <w:bCs/>
          <w:noProof/>
          <w:sz w:val="20"/>
        </w:rPr>
        <w:t>Feuerecker M</w:t>
      </w:r>
      <w:r w:rsidRPr="003D7C1C">
        <w:rPr>
          <w:rFonts w:ascii="Arial" w:hAnsi="Arial" w:cs="Arial"/>
          <w:noProof/>
          <w:sz w:val="20"/>
        </w:rPr>
        <w:t xml:space="preserve">, </w:t>
      </w:r>
      <w:r w:rsidRPr="003D7C1C">
        <w:rPr>
          <w:rFonts w:ascii="Arial" w:hAnsi="Arial" w:cs="Arial"/>
          <w:b/>
          <w:bCs/>
          <w:noProof/>
          <w:sz w:val="20"/>
        </w:rPr>
        <w:t>Hauer D</w:t>
      </w:r>
      <w:r w:rsidRPr="003D7C1C">
        <w:rPr>
          <w:rFonts w:ascii="Arial" w:hAnsi="Arial" w:cs="Arial"/>
          <w:noProof/>
          <w:sz w:val="20"/>
        </w:rPr>
        <w:t xml:space="preserve">, </w:t>
      </w:r>
      <w:r w:rsidRPr="003D7C1C">
        <w:rPr>
          <w:rFonts w:ascii="Arial" w:hAnsi="Arial" w:cs="Arial"/>
          <w:b/>
          <w:bCs/>
          <w:noProof/>
          <w:sz w:val="20"/>
        </w:rPr>
        <w:t>Toth R</w:t>
      </w:r>
      <w:r w:rsidRPr="003D7C1C">
        <w:rPr>
          <w:rFonts w:ascii="Arial" w:hAnsi="Arial" w:cs="Arial"/>
          <w:noProof/>
          <w:sz w:val="20"/>
        </w:rPr>
        <w:t xml:space="preserve">, </w:t>
      </w:r>
      <w:r w:rsidRPr="003D7C1C">
        <w:rPr>
          <w:rFonts w:ascii="Arial" w:hAnsi="Arial" w:cs="Arial"/>
          <w:b/>
          <w:bCs/>
          <w:noProof/>
          <w:sz w:val="20"/>
        </w:rPr>
        <w:t>Demetz F</w:t>
      </w:r>
      <w:r w:rsidRPr="003D7C1C">
        <w:rPr>
          <w:rFonts w:ascii="Arial" w:hAnsi="Arial" w:cs="Arial"/>
          <w:noProof/>
          <w:sz w:val="20"/>
        </w:rPr>
        <w:t xml:space="preserve">, </w:t>
      </w:r>
      <w:r w:rsidRPr="003D7C1C">
        <w:rPr>
          <w:rFonts w:ascii="Arial" w:hAnsi="Arial" w:cs="Arial"/>
          <w:b/>
          <w:bCs/>
          <w:noProof/>
          <w:sz w:val="20"/>
        </w:rPr>
        <w:t>Holzl J</w:t>
      </w:r>
      <w:r w:rsidRPr="003D7C1C">
        <w:rPr>
          <w:rFonts w:ascii="Arial" w:hAnsi="Arial" w:cs="Arial"/>
          <w:noProof/>
          <w:sz w:val="20"/>
        </w:rPr>
        <w:t xml:space="preserve">, </w:t>
      </w:r>
      <w:r w:rsidRPr="003D7C1C">
        <w:rPr>
          <w:rFonts w:ascii="Arial" w:hAnsi="Arial" w:cs="Arial"/>
          <w:b/>
          <w:bCs/>
          <w:noProof/>
          <w:sz w:val="20"/>
        </w:rPr>
        <w:t>Thiel M</w:t>
      </w:r>
      <w:r w:rsidRPr="003D7C1C">
        <w:rPr>
          <w:rFonts w:ascii="Arial" w:hAnsi="Arial" w:cs="Arial"/>
          <w:noProof/>
          <w:sz w:val="20"/>
        </w:rPr>
        <w:t xml:space="preserve">, </w:t>
      </w:r>
      <w:r w:rsidRPr="003D7C1C">
        <w:rPr>
          <w:rFonts w:ascii="Arial" w:hAnsi="Arial" w:cs="Arial"/>
          <w:b/>
          <w:bCs/>
          <w:noProof/>
          <w:sz w:val="20"/>
        </w:rPr>
        <w:t>Kaufmann I</w:t>
      </w:r>
      <w:r w:rsidRPr="003D7C1C">
        <w:rPr>
          <w:rFonts w:ascii="Arial" w:hAnsi="Arial" w:cs="Arial"/>
          <w:noProof/>
          <w:sz w:val="20"/>
        </w:rPr>
        <w:t xml:space="preserve">, </w:t>
      </w:r>
      <w:r w:rsidRPr="003D7C1C">
        <w:rPr>
          <w:rFonts w:ascii="Arial" w:hAnsi="Arial" w:cs="Arial"/>
          <w:b/>
          <w:bCs/>
          <w:noProof/>
          <w:sz w:val="20"/>
        </w:rPr>
        <w:t>Schelling G</w:t>
      </w:r>
      <w:r w:rsidRPr="003D7C1C">
        <w:rPr>
          <w:rFonts w:ascii="Arial" w:hAnsi="Arial" w:cs="Arial"/>
          <w:noProof/>
          <w:sz w:val="20"/>
        </w:rPr>
        <w:t xml:space="preserve">, </w:t>
      </w:r>
      <w:r w:rsidRPr="003D7C1C">
        <w:rPr>
          <w:rFonts w:ascii="Arial" w:hAnsi="Arial" w:cs="Arial"/>
          <w:b/>
          <w:bCs/>
          <w:noProof/>
          <w:sz w:val="20"/>
        </w:rPr>
        <w:t>Chouker A</w:t>
      </w:r>
      <w:r w:rsidRPr="003D7C1C">
        <w:rPr>
          <w:rFonts w:ascii="Arial" w:hAnsi="Arial" w:cs="Arial"/>
          <w:noProof/>
          <w:sz w:val="20"/>
        </w:rPr>
        <w:t xml:space="preserve">. Effects of exercise stress on the endocannabinoid system in humans under field conditions. </w:t>
      </w:r>
      <w:r w:rsidRPr="003D7C1C">
        <w:rPr>
          <w:rFonts w:ascii="Arial" w:hAnsi="Arial" w:cs="Arial"/>
          <w:i/>
          <w:iCs/>
          <w:noProof/>
          <w:sz w:val="20"/>
        </w:rPr>
        <w:t>Eur J Appl Physiol</w:t>
      </w:r>
      <w:r w:rsidRPr="003D7C1C">
        <w:rPr>
          <w:rFonts w:ascii="Arial" w:hAnsi="Arial" w:cs="Arial"/>
          <w:noProof/>
          <w:sz w:val="20"/>
        </w:rPr>
        <w:t xml:space="preserve"> 112: 2777–2781, 2012.</w:t>
      </w:r>
    </w:p>
    <w:p w14:paraId="26AD9D5C"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11. </w:t>
      </w:r>
      <w:r w:rsidRPr="003D7C1C">
        <w:rPr>
          <w:rFonts w:ascii="Arial" w:hAnsi="Arial" w:cs="Arial"/>
          <w:noProof/>
          <w:sz w:val="20"/>
        </w:rPr>
        <w:tab/>
      </w:r>
      <w:r w:rsidRPr="003D7C1C">
        <w:rPr>
          <w:rFonts w:ascii="Arial" w:hAnsi="Arial" w:cs="Arial"/>
          <w:b/>
          <w:bCs/>
          <w:noProof/>
          <w:sz w:val="20"/>
        </w:rPr>
        <w:t>Focht BC</w:t>
      </w:r>
      <w:r w:rsidRPr="003D7C1C">
        <w:rPr>
          <w:rFonts w:ascii="Arial" w:hAnsi="Arial" w:cs="Arial"/>
          <w:noProof/>
          <w:sz w:val="20"/>
        </w:rPr>
        <w:t xml:space="preserve">, </w:t>
      </w:r>
      <w:r w:rsidRPr="003D7C1C">
        <w:rPr>
          <w:rFonts w:ascii="Arial" w:hAnsi="Arial" w:cs="Arial"/>
          <w:b/>
          <w:bCs/>
          <w:noProof/>
          <w:sz w:val="20"/>
        </w:rPr>
        <w:t>Koltyn KF</w:t>
      </w:r>
      <w:r w:rsidRPr="003D7C1C">
        <w:rPr>
          <w:rFonts w:ascii="Arial" w:hAnsi="Arial" w:cs="Arial"/>
          <w:noProof/>
          <w:sz w:val="20"/>
        </w:rPr>
        <w:t xml:space="preserve">. Alterations in pain perception after resistance exercise performed in the morning and evening. </w:t>
      </w:r>
      <w:r w:rsidRPr="003D7C1C">
        <w:rPr>
          <w:rFonts w:ascii="Arial" w:hAnsi="Arial" w:cs="Arial"/>
          <w:i/>
          <w:iCs/>
          <w:noProof/>
          <w:sz w:val="20"/>
        </w:rPr>
        <w:t>J Strength Cond Res</w:t>
      </w:r>
      <w:r w:rsidRPr="003D7C1C">
        <w:rPr>
          <w:rFonts w:ascii="Arial" w:hAnsi="Arial" w:cs="Arial"/>
          <w:noProof/>
          <w:sz w:val="20"/>
        </w:rPr>
        <w:t xml:space="preserve"> 23: 891–897, 2009.</w:t>
      </w:r>
    </w:p>
    <w:p w14:paraId="6D7A916F"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12. </w:t>
      </w:r>
      <w:r w:rsidRPr="003D7C1C">
        <w:rPr>
          <w:rFonts w:ascii="Arial" w:hAnsi="Arial" w:cs="Arial"/>
          <w:noProof/>
          <w:sz w:val="20"/>
        </w:rPr>
        <w:tab/>
      </w:r>
      <w:r w:rsidRPr="003D7C1C">
        <w:rPr>
          <w:rFonts w:ascii="Arial" w:hAnsi="Arial" w:cs="Arial"/>
          <w:b/>
          <w:bCs/>
          <w:noProof/>
          <w:sz w:val="20"/>
        </w:rPr>
        <w:t>Fridén C</w:t>
      </w:r>
      <w:r w:rsidRPr="003D7C1C">
        <w:rPr>
          <w:rFonts w:ascii="Arial" w:hAnsi="Arial" w:cs="Arial"/>
          <w:noProof/>
          <w:sz w:val="20"/>
        </w:rPr>
        <w:t xml:space="preserve">, </w:t>
      </w:r>
      <w:r w:rsidRPr="003D7C1C">
        <w:rPr>
          <w:rFonts w:ascii="Arial" w:hAnsi="Arial" w:cs="Arial"/>
          <w:b/>
          <w:bCs/>
          <w:noProof/>
          <w:sz w:val="20"/>
        </w:rPr>
        <w:t>Thoors U</w:t>
      </w:r>
      <w:r w:rsidRPr="003D7C1C">
        <w:rPr>
          <w:rFonts w:ascii="Arial" w:hAnsi="Arial" w:cs="Arial"/>
          <w:noProof/>
          <w:sz w:val="20"/>
        </w:rPr>
        <w:t xml:space="preserve">, </w:t>
      </w:r>
      <w:r w:rsidRPr="003D7C1C">
        <w:rPr>
          <w:rFonts w:ascii="Arial" w:hAnsi="Arial" w:cs="Arial"/>
          <w:b/>
          <w:bCs/>
          <w:noProof/>
          <w:sz w:val="20"/>
        </w:rPr>
        <w:t>Glenmark B</w:t>
      </w:r>
      <w:r w:rsidRPr="003D7C1C">
        <w:rPr>
          <w:rFonts w:ascii="Arial" w:hAnsi="Arial" w:cs="Arial"/>
          <w:noProof/>
          <w:sz w:val="20"/>
        </w:rPr>
        <w:t xml:space="preserve">, </w:t>
      </w:r>
      <w:r w:rsidRPr="003D7C1C">
        <w:rPr>
          <w:rFonts w:ascii="Arial" w:hAnsi="Arial" w:cs="Arial"/>
          <w:b/>
          <w:bCs/>
          <w:noProof/>
          <w:sz w:val="20"/>
        </w:rPr>
        <w:t>Kosek E</w:t>
      </w:r>
      <w:r w:rsidRPr="003D7C1C">
        <w:rPr>
          <w:rFonts w:ascii="Arial" w:hAnsi="Arial" w:cs="Arial"/>
          <w:noProof/>
          <w:sz w:val="20"/>
        </w:rPr>
        <w:t xml:space="preserve">, </w:t>
      </w:r>
      <w:r w:rsidRPr="003D7C1C">
        <w:rPr>
          <w:rFonts w:ascii="Arial" w:hAnsi="Arial" w:cs="Arial"/>
          <w:b/>
          <w:bCs/>
          <w:noProof/>
          <w:sz w:val="20"/>
        </w:rPr>
        <w:t>Nordmark B</w:t>
      </w:r>
      <w:r w:rsidRPr="003D7C1C">
        <w:rPr>
          <w:rFonts w:ascii="Arial" w:hAnsi="Arial" w:cs="Arial"/>
          <w:noProof/>
          <w:sz w:val="20"/>
        </w:rPr>
        <w:t xml:space="preserve">, </w:t>
      </w:r>
      <w:r w:rsidRPr="003D7C1C">
        <w:rPr>
          <w:rFonts w:ascii="Arial" w:hAnsi="Arial" w:cs="Arial"/>
          <w:b/>
          <w:bCs/>
          <w:noProof/>
          <w:sz w:val="20"/>
        </w:rPr>
        <w:t>Lundberg IE</w:t>
      </w:r>
      <w:r w:rsidRPr="003D7C1C">
        <w:rPr>
          <w:rFonts w:ascii="Arial" w:hAnsi="Arial" w:cs="Arial"/>
          <w:noProof/>
          <w:sz w:val="20"/>
        </w:rPr>
        <w:t xml:space="preserve">, </w:t>
      </w:r>
      <w:r w:rsidRPr="003D7C1C">
        <w:rPr>
          <w:rFonts w:ascii="Arial" w:hAnsi="Arial" w:cs="Arial"/>
          <w:b/>
          <w:bCs/>
          <w:noProof/>
          <w:sz w:val="20"/>
        </w:rPr>
        <w:t>Opava CH</w:t>
      </w:r>
      <w:r w:rsidRPr="003D7C1C">
        <w:rPr>
          <w:rFonts w:ascii="Arial" w:hAnsi="Arial" w:cs="Arial"/>
          <w:noProof/>
          <w:sz w:val="20"/>
        </w:rPr>
        <w:t xml:space="preserve">. Higher pain sensitivity and lower muscle strength in postmenonpausal women with early rheumatoid arthritis compared with age-matched healthy women – a pilot study. </w:t>
      </w:r>
      <w:r w:rsidRPr="003D7C1C">
        <w:rPr>
          <w:rFonts w:ascii="Arial" w:hAnsi="Arial" w:cs="Arial"/>
          <w:i/>
          <w:iCs/>
          <w:noProof/>
          <w:sz w:val="20"/>
        </w:rPr>
        <w:t>Disabil Rehabil</w:t>
      </w:r>
      <w:r w:rsidRPr="003D7C1C">
        <w:rPr>
          <w:rFonts w:ascii="Arial" w:hAnsi="Arial" w:cs="Arial"/>
          <w:noProof/>
          <w:sz w:val="20"/>
        </w:rPr>
        <w:t xml:space="preserve"> 35: 1350–1356, 2013.</w:t>
      </w:r>
    </w:p>
    <w:p w14:paraId="122A4650"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13. </w:t>
      </w:r>
      <w:r w:rsidRPr="003D7C1C">
        <w:rPr>
          <w:rFonts w:ascii="Arial" w:hAnsi="Arial" w:cs="Arial"/>
          <w:noProof/>
          <w:sz w:val="20"/>
        </w:rPr>
        <w:tab/>
      </w:r>
      <w:r w:rsidRPr="003D7C1C">
        <w:rPr>
          <w:rFonts w:ascii="Arial" w:hAnsi="Arial" w:cs="Arial"/>
          <w:b/>
          <w:bCs/>
          <w:noProof/>
          <w:sz w:val="20"/>
        </w:rPr>
        <w:t>Fual F</w:t>
      </w:r>
      <w:r w:rsidRPr="003D7C1C">
        <w:rPr>
          <w:rFonts w:ascii="Arial" w:hAnsi="Arial" w:cs="Arial"/>
          <w:noProof/>
          <w:sz w:val="20"/>
        </w:rPr>
        <w:t xml:space="preserve">, </w:t>
      </w:r>
      <w:r w:rsidRPr="003D7C1C">
        <w:rPr>
          <w:rFonts w:ascii="Arial" w:hAnsi="Arial" w:cs="Arial"/>
          <w:b/>
          <w:bCs/>
          <w:noProof/>
          <w:sz w:val="20"/>
        </w:rPr>
        <w:t>Erdfelder E</w:t>
      </w:r>
      <w:r w:rsidRPr="003D7C1C">
        <w:rPr>
          <w:rFonts w:ascii="Arial" w:hAnsi="Arial" w:cs="Arial"/>
          <w:noProof/>
          <w:sz w:val="20"/>
        </w:rPr>
        <w:t xml:space="preserve">, </w:t>
      </w:r>
      <w:r w:rsidRPr="003D7C1C">
        <w:rPr>
          <w:rFonts w:ascii="Arial" w:hAnsi="Arial" w:cs="Arial"/>
          <w:b/>
          <w:bCs/>
          <w:noProof/>
          <w:sz w:val="20"/>
        </w:rPr>
        <w:t>Lang A</w:t>
      </w:r>
      <w:r w:rsidRPr="003D7C1C">
        <w:rPr>
          <w:rFonts w:ascii="Arial" w:hAnsi="Arial" w:cs="Arial"/>
          <w:noProof/>
          <w:sz w:val="20"/>
        </w:rPr>
        <w:t xml:space="preserve">, </w:t>
      </w:r>
      <w:r w:rsidRPr="003D7C1C">
        <w:rPr>
          <w:rFonts w:ascii="Arial" w:hAnsi="Arial" w:cs="Arial"/>
          <w:b/>
          <w:bCs/>
          <w:noProof/>
          <w:sz w:val="20"/>
        </w:rPr>
        <w:t>Buchner A</w:t>
      </w:r>
      <w:r w:rsidRPr="003D7C1C">
        <w:rPr>
          <w:rFonts w:ascii="Arial" w:hAnsi="Arial" w:cs="Arial"/>
          <w:noProof/>
          <w:sz w:val="20"/>
        </w:rPr>
        <w:t xml:space="preserve">. G*Power 3: A flexible statistical power analysis program for the social, behavioral, and biomedical sciences. </w:t>
      </w:r>
      <w:r w:rsidRPr="003D7C1C">
        <w:rPr>
          <w:rFonts w:ascii="Arial" w:hAnsi="Arial" w:cs="Arial"/>
          <w:i/>
          <w:iCs/>
          <w:noProof/>
          <w:sz w:val="20"/>
        </w:rPr>
        <w:t>Behav Res Methods</w:t>
      </w:r>
      <w:r w:rsidRPr="003D7C1C">
        <w:rPr>
          <w:rFonts w:ascii="Arial" w:hAnsi="Arial" w:cs="Arial"/>
          <w:noProof/>
          <w:sz w:val="20"/>
        </w:rPr>
        <w:t xml:space="preserve"> 39: 175–191, 2007.</w:t>
      </w:r>
    </w:p>
    <w:p w14:paraId="7AD82F9E"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14. </w:t>
      </w:r>
      <w:r w:rsidRPr="003D7C1C">
        <w:rPr>
          <w:rFonts w:ascii="Arial" w:hAnsi="Arial" w:cs="Arial"/>
          <w:noProof/>
          <w:sz w:val="20"/>
        </w:rPr>
        <w:tab/>
      </w:r>
      <w:r w:rsidRPr="003D7C1C">
        <w:rPr>
          <w:rFonts w:ascii="Arial" w:hAnsi="Arial" w:cs="Arial"/>
          <w:b/>
          <w:bCs/>
          <w:noProof/>
          <w:sz w:val="20"/>
        </w:rPr>
        <w:t>Garber CE</w:t>
      </w:r>
      <w:r w:rsidRPr="003D7C1C">
        <w:rPr>
          <w:rFonts w:ascii="Arial" w:hAnsi="Arial" w:cs="Arial"/>
          <w:noProof/>
          <w:sz w:val="20"/>
        </w:rPr>
        <w:t xml:space="preserve">, </w:t>
      </w:r>
      <w:r w:rsidRPr="003D7C1C">
        <w:rPr>
          <w:rFonts w:ascii="Arial" w:hAnsi="Arial" w:cs="Arial"/>
          <w:b/>
          <w:bCs/>
          <w:noProof/>
          <w:sz w:val="20"/>
        </w:rPr>
        <w:t>Blissmer B</w:t>
      </w:r>
      <w:r w:rsidRPr="003D7C1C">
        <w:rPr>
          <w:rFonts w:ascii="Arial" w:hAnsi="Arial" w:cs="Arial"/>
          <w:noProof/>
          <w:sz w:val="20"/>
        </w:rPr>
        <w:t xml:space="preserve">, </w:t>
      </w:r>
      <w:r w:rsidRPr="003D7C1C">
        <w:rPr>
          <w:rFonts w:ascii="Arial" w:hAnsi="Arial" w:cs="Arial"/>
          <w:b/>
          <w:bCs/>
          <w:noProof/>
          <w:sz w:val="20"/>
        </w:rPr>
        <w:t>Deschenes MR</w:t>
      </w:r>
      <w:r w:rsidRPr="003D7C1C">
        <w:rPr>
          <w:rFonts w:ascii="Arial" w:hAnsi="Arial" w:cs="Arial"/>
          <w:noProof/>
          <w:sz w:val="20"/>
        </w:rPr>
        <w:t xml:space="preserve">, </w:t>
      </w:r>
      <w:r w:rsidRPr="003D7C1C">
        <w:rPr>
          <w:rFonts w:ascii="Arial" w:hAnsi="Arial" w:cs="Arial"/>
          <w:b/>
          <w:bCs/>
          <w:noProof/>
          <w:sz w:val="20"/>
        </w:rPr>
        <w:t>Franklin BA</w:t>
      </w:r>
      <w:r w:rsidRPr="003D7C1C">
        <w:rPr>
          <w:rFonts w:ascii="Arial" w:hAnsi="Arial" w:cs="Arial"/>
          <w:noProof/>
          <w:sz w:val="20"/>
        </w:rPr>
        <w:t xml:space="preserve">, </w:t>
      </w:r>
      <w:r w:rsidRPr="003D7C1C">
        <w:rPr>
          <w:rFonts w:ascii="Arial" w:hAnsi="Arial" w:cs="Arial"/>
          <w:b/>
          <w:bCs/>
          <w:noProof/>
          <w:sz w:val="20"/>
        </w:rPr>
        <w:t>Lamonte MJ</w:t>
      </w:r>
      <w:r w:rsidRPr="003D7C1C">
        <w:rPr>
          <w:rFonts w:ascii="Arial" w:hAnsi="Arial" w:cs="Arial"/>
          <w:noProof/>
          <w:sz w:val="20"/>
        </w:rPr>
        <w:t xml:space="preserve">, </w:t>
      </w:r>
      <w:r w:rsidRPr="003D7C1C">
        <w:rPr>
          <w:rFonts w:ascii="Arial" w:hAnsi="Arial" w:cs="Arial"/>
          <w:b/>
          <w:bCs/>
          <w:noProof/>
          <w:sz w:val="20"/>
        </w:rPr>
        <w:t>Lee IM</w:t>
      </w:r>
      <w:r w:rsidRPr="003D7C1C">
        <w:rPr>
          <w:rFonts w:ascii="Arial" w:hAnsi="Arial" w:cs="Arial"/>
          <w:noProof/>
          <w:sz w:val="20"/>
        </w:rPr>
        <w:t xml:space="preserve">, </w:t>
      </w:r>
      <w:r w:rsidRPr="003D7C1C">
        <w:rPr>
          <w:rFonts w:ascii="Arial" w:hAnsi="Arial" w:cs="Arial"/>
          <w:b/>
          <w:bCs/>
          <w:noProof/>
          <w:sz w:val="20"/>
        </w:rPr>
        <w:t>Nieman DC</w:t>
      </w:r>
      <w:r w:rsidRPr="003D7C1C">
        <w:rPr>
          <w:rFonts w:ascii="Arial" w:hAnsi="Arial" w:cs="Arial"/>
          <w:noProof/>
          <w:sz w:val="20"/>
        </w:rPr>
        <w:t xml:space="preserve">, </w:t>
      </w:r>
      <w:r w:rsidRPr="003D7C1C">
        <w:rPr>
          <w:rFonts w:ascii="Arial" w:hAnsi="Arial" w:cs="Arial"/>
          <w:b/>
          <w:bCs/>
          <w:noProof/>
          <w:sz w:val="20"/>
        </w:rPr>
        <w:t>Swain DP</w:t>
      </w:r>
      <w:r w:rsidRPr="003D7C1C">
        <w:rPr>
          <w:rFonts w:ascii="Arial" w:hAnsi="Arial" w:cs="Arial"/>
          <w:noProof/>
          <w:sz w:val="20"/>
        </w:rPr>
        <w:t xml:space="preserve">. Quantity and quality of exercise for developing and maintaining cardiorespiratory, musculoskeletal, and neuromotor fitness in apparently healthy adults: Guidance for prescribing exercise. </w:t>
      </w:r>
      <w:r w:rsidRPr="003D7C1C">
        <w:rPr>
          <w:rFonts w:ascii="Arial" w:hAnsi="Arial" w:cs="Arial"/>
          <w:i/>
          <w:iCs/>
          <w:noProof/>
          <w:sz w:val="20"/>
        </w:rPr>
        <w:t>Med Sci Sports Exerc</w:t>
      </w:r>
      <w:r w:rsidRPr="003D7C1C">
        <w:rPr>
          <w:rFonts w:ascii="Arial" w:hAnsi="Arial" w:cs="Arial"/>
          <w:noProof/>
          <w:sz w:val="20"/>
        </w:rPr>
        <w:t xml:space="preserve"> 43: 1334–1359, 2011.</w:t>
      </w:r>
    </w:p>
    <w:p w14:paraId="52A7C851"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15. </w:t>
      </w:r>
      <w:r w:rsidRPr="003D7C1C">
        <w:rPr>
          <w:rFonts w:ascii="Arial" w:hAnsi="Arial" w:cs="Arial"/>
          <w:noProof/>
          <w:sz w:val="20"/>
        </w:rPr>
        <w:tab/>
      </w:r>
      <w:r w:rsidRPr="003D7C1C">
        <w:rPr>
          <w:rFonts w:ascii="Arial" w:hAnsi="Arial" w:cs="Arial"/>
          <w:b/>
          <w:bCs/>
          <w:noProof/>
          <w:sz w:val="20"/>
        </w:rPr>
        <w:t>Giles L</w:t>
      </w:r>
      <w:r w:rsidRPr="003D7C1C">
        <w:rPr>
          <w:rFonts w:ascii="Arial" w:hAnsi="Arial" w:cs="Arial"/>
          <w:noProof/>
          <w:sz w:val="20"/>
        </w:rPr>
        <w:t xml:space="preserve">, </w:t>
      </w:r>
      <w:r w:rsidRPr="003D7C1C">
        <w:rPr>
          <w:rFonts w:ascii="Arial" w:hAnsi="Arial" w:cs="Arial"/>
          <w:b/>
          <w:bCs/>
          <w:noProof/>
          <w:sz w:val="20"/>
        </w:rPr>
        <w:t>Webster KE</w:t>
      </w:r>
      <w:r w:rsidRPr="003D7C1C">
        <w:rPr>
          <w:rFonts w:ascii="Arial" w:hAnsi="Arial" w:cs="Arial"/>
          <w:noProof/>
          <w:sz w:val="20"/>
        </w:rPr>
        <w:t xml:space="preserve">, </w:t>
      </w:r>
      <w:r w:rsidRPr="003D7C1C">
        <w:rPr>
          <w:rFonts w:ascii="Arial" w:hAnsi="Arial" w:cs="Arial"/>
          <w:b/>
          <w:bCs/>
          <w:noProof/>
          <w:sz w:val="20"/>
        </w:rPr>
        <w:t>Mcclelland J</w:t>
      </w:r>
      <w:r w:rsidRPr="003D7C1C">
        <w:rPr>
          <w:rFonts w:ascii="Arial" w:hAnsi="Arial" w:cs="Arial"/>
          <w:noProof/>
          <w:sz w:val="20"/>
        </w:rPr>
        <w:t xml:space="preserve">, </w:t>
      </w:r>
      <w:r w:rsidRPr="003D7C1C">
        <w:rPr>
          <w:rFonts w:ascii="Arial" w:hAnsi="Arial" w:cs="Arial"/>
          <w:b/>
          <w:bCs/>
          <w:noProof/>
          <w:sz w:val="20"/>
        </w:rPr>
        <w:t>Cook JL</w:t>
      </w:r>
      <w:r w:rsidRPr="003D7C1C">
        <w:rPr>
          <w:rFonts w:ascii="Arial" w:hAnsi="Arial" w:cs="Arial"/>
          <w:noProof/>
          <w:sz w:val="20"/>
        </w:rPr>
        <w:t xml:space="preserve">. Quadriceps strengthening with and without blood flow restriction in the treatment of patellofemoral pain: A double-blind randomised trial. </w:t>
      </w:r>
      <w:r w:rsidRPr="003D7C1C">
        <w:rPr>
          <w:rFonts w:ascii="Arial" w:hAnsi="Arial" w:cs="Arial"/>
          <w:i/>
          <w:iCs/>
          <w:noProof/>
          <w:sz w:val="20"/>
        </w:rPr>
        <w:t xml:space="preserve">Br J </w:t>
      </w:r>
      <w:r w:rsidRPr="003D7C1C">
        <w:rPr>
          <w:rFonts w:ascii="Arial" w:hAnsi="Arial" w:cs="Arial"/>
          <w:i/>
          <w:iCs/>
          <w:noProof/>
          <w:sz w:val="20"/>
        </w:rPr>
        <w:lastRenderedPageBreak/>
        <w:t>Sports Med</w:t>
      </w:r>
      <w:r w:rsidRPr="003D7C1C">
        <w:rPr>
          <w:rFonts w:ascii="Arial" w:hAnsi="Arial" w:cs="Arial"/>
          <w:noProof/>
          <w:sz w:val="20"/>
        </w:rPr>
        <w:t xml:space="preserve"> 51: 1688–1694, 2017.</w:t>
      </w:r>
    </w:p>
    <w:p w14:paraId="09BCB873"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16. </w:t>
      </w:r>
      <w:r w:rsidRPr="003D7C1C">
        <w:rPr>
          <w:rFonts w:ascii="Arial" w:hAnsi="Arial" w:cs="Arial"/>
          <w:noProof/>
          <w:sz w:val="20"/>
        </w:rPr>
        <w:tab/>
      </w:r>
      <w:r w:rsidRPr="003D7C1C">
        <w:rPr>
          <w:rFonts w:ascii="Arial" w:hAnsi="Arial" w:cs="Arial"/>
          <w:b/>
          <w:bCs/>
          <w:noProof/>
          <w:sz w:val="20"/>
        </w:rPr>
        <w:t>Haier RJ</w:t>
      </w:r>
      <w:r w:rsidRPr="003D7C1C">
        <w:rPr>
          <w:rFonts w:ascii="Arial" w:hAnsi="Arial" w:cs="Arial"/>
          <w:noProof/>
          <w:sz w:val="20"/>
        </w:rPr>
        <w:t xml:space="preserve">, </w:t>
      </w:r>
      <w:r w:rsidRPr="003D7C1C">
        <w:rPr>
          <w:rFonts w:ascii="Arial" w:hAnsi="Arial" w:cs="Arial"/>
          <w:b/>
          <w:bCs/>
          <w:noProof/>
          <w:sz w:val="20"/>
        </w:rPr>
        <w:t>Quaid K</w:t>
      </w:r>
      <w:r w:rsidRPr="003D7C1C">
        <w:rPr>
          <w:rFonts w:ascii="Arial" w:hAnsi="Arial" w:cs="Arial"/>
          <w:noProof/>
          <w:sz w:val="20"/>
        </w:rPr>
        <w:t xml:space="preserve">, </w:t>
      </w:r>
      <w:r w:rsidRPr="003D7C1C">
        <w:rPr>
          <w:rFonts w:ascii="Arial" w:hAnsi="Arial" w:cs="Arial"/>
          <w:b/>
          <w:bCs/>
          <w:noProof/>
          <w:sz w:val="20"/>
        </w:rPr>
        <w:t>Mills JC</w:t>
      </w:r>
      <w:r w:rsidRPr="003D7C1C">
        <w:rPr>
          <w:rFonts w:ascii="Arial" w:hAnsi="Arial" w:cs="Arial"/>
          <w:noProof/>
          <w:sz w:val="20"/>
        </w:rPr>
        <w:t xml:space="preserve">. Naloxone alters pain perception after jogging. </w:t>
      </w:r>
      <w:r w:rsidRPr="003D7C1C">
        <w:rPr>
          <w:rFonts w:ascii="Arial" w:hAnsi="Arial" w:cs="Arial"/>
          <w:i/>
          <w:iCs/>
          <w:noProof/>
          <w:sz w:val="20"/>
        </w:rPr>
        <w:t>Psychiatry Res</w:t>
      </w:r>
      <w:r w:rsidRPr="003D7C1C">
        <w:rPr>
          <w:rFonts w:ascii="Arial" w:hAnsi="Arial" w:cs="Arial"/>
          <w:noProof/>
          <w:sz w:val="20"/>
        </w:rPr>
        <w:t xml:space="preserve"> 5: 231–232, 1981.</w:t>
      </w:r>
    </w:p>
    <w:p w14:paraId="27FCD24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17. </w:t>
      </w:r>
      <w:r w:rsidRPr="003D7C1C">
        <w:rPr>
          <w:rFonts w:ascii="Arial" w:hAnsi="Arial" w:cs="Arial"/>
          <w:noProof/>
          <w:sz w:val="20"/>
        </w:rPr>
        <w:tab/>
      </w:r>
      <w:r w:rsidRPr="003D7C1C">
        <w:rPr>
          <w:rFonts w:ascii="Arial" w:hAnsi="Arial" w:cs="Arial"/>
          <w:b/>
          <w:bCs/>
          <w:noProof/>
          <w:sz w:val="20"/>
        </w:rPr>
        <w:t>Hayes AF</w:t>
      </w:r>
      <w:r w:rsidRPr="003D7C1C">
        <w:rPr>
          <w:rFonts w:ascii="Arial" w:hAnsi="Arial" w:cs="Arial"/>
          <w:noProof/>
          <w:sz w:val="20"/>
        </w:rPr>
        <w:t xml:space="preserve">. </w:t>
      </w:r>
      <w:r w:rsidRPr="003D7C1C">
        <w:rPr>
          <w:rFonts w:ascii="Arial" w:hAnsi="Arial" w:cs="Arial"/>
          <w:i/>
          <w:iCs/>
          <w:noProof/>
          <w:sz w:val="20"/>
        </w:rPr>
        <w:t>Introduction to Mediation, Moderation, and Conditional Process Analysis: A Regression-Based Approach</w:t>
      </w:r>
      <w:r w:rsidRPr="003D7C1C">
        <w:rPr>
          <w:rFonts w:ascii="Arial" w:hAnsi="Arial" w:cs="Arial"/>
          <w:noProof/>
          <w:sz w:val="20"/>
        </w:rPr>
        <w:t>. New York: Guildford Press, 2013.</w:t>
      </w:r>
    </w:p>
    <w:p w14:paraId="291B6747"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18. </w:t>
      </w:r>
      <w:r w:rsidRPr="003D7C1C">
        <w:rPr>
          <w:rFonts w:ascii="Arial" w:hAnsi="Arial" w:cs="Arial"/>
          <w:noProof/>
          <w:sz w:val="20"/>
        </w:rPr>
        <w:tab/>
      </w:r>
      <w:r w:rsidRPr="003D7C1C">
        <w:rPr>
          <w:rFonts w:ascii="Arial" w:hAnsi="Arial" w:cs="Arial"/>
          <w:b/>
          <w:bCs/>
          <w:noProof/>
          <w:sz w:val="20"/>
        </w:rPr>
        <w:t>Heyman E</w:t>
      </w:r>
      <w:r w:rsidRPr="003D7C1C">
        <w:rPr>
          <w:rFonts w:ascii="Arial" w:hAnsi="Arial" w:cs="Arial"/>
          <w:noProof/>
          <w:sz w:val="20"/>
        </w:rPr>
        <w:t xml:space="preserve">, </w:t>
      </w:r>
      <w:r w:rsidRPr="003D7C1C">
        <w:rPr>
          <w:rFonts w:ascii="Arial" w:hAnsi="Arial" w:cs="Arial"/>
          <w:b/>
          <w:bCs/>
          <w:noProof/>
          <w:sz w:val="20"/>
        </w:rPr>
        <w:t>Gamelin F</w:t>
      </w:r>
      <w:r w:rsidRPr="003D7C1C">
        <w:rPr>
          <w:rFonts w:ascii="Arial" w:hAnsi="Arial" w:cs="Arial"/>
          <w:noProof/>
          <w:sz w:val="20"/>
        </w:rPr>
        <w:t xml:space="preserve">, </w:t>
      </w:r>
      <w:r w:rsidRPr="003D7C1C">
        <w:rPr>
          <w:rFonts w:ascii="Arial" w:hAnsi="Arial" w:cs="Arial"/>
          <w:b/>
          <w:bCs/>
          <w:noProof/>
          <w:sz w:val="20"/>
        </w:rPr>
        <w:t>Goekint M</w:t>
      </w:r>
      <w:r w:rsidRPr="003D7C1C">
        <w:rPr>
          <w:rFonts w:ascii="Arial" w:hAnsi="Arial" w:cs="Arial"/>
          <w:noProof/>
          <w:sz w:val="20"/>
        </w:rPr>
        <w:t xml:space="preserve">, </w:t>
      </w:r>
      <w:r w:rsidRPr="003D7C1C">
        <w:rPr>
          <w:rFonts w:ascii="Arial" w:hAnsi="Arial" w:cs="Arial"/>
          <w:b/>
          <w:bCs/>
          <w:noProof/>
          <w:sz w:val="20"/>
        </w:rPr>
        <w:t>Piscitelli F</w:t>
      </w:r>
      <w:r w:rsidRPr="003D7C1C">
        <w:rPr>
          <w:rFonts w:ascii="Arial" w:hAnsi="Arial" w:cs="Arial"/>
          <w:noProof/>
          <w:sz w:val="20"/>
        </w:rPr>
        <w:t xml:space="preserve">, </w:t>
      </w:r>
      <w:r w:rsidRPr="003D7C1C">
        <w:rPr>
          <w:rFonts w:ascii="Arial" w:hAnsi="Arial" w:cs="Arial"/>
          <w:b/>
          <w:bCs/>
          <w:noProof/>
          <w:sz w:val="20"/>
        </w:rPr>
        <w:t>Roelands B</w:t>
      </w:r>
      <w:r w:rsidRPr="003D7C1C">
        <w:rPr>
          <w:rFonts w:ascii="Arial" w:hAnsi="Arial" w:cs="Arial"/>
          <w:noProof/>
          <w:sz w:val="20"/>
        </w:rPr>
        <w:t xml:space="preserve">, </w:t>
      </w:r>
      <w:r w:rsidRPr="003D7C1C">
        <w:rPr>
          <w:rFonts w:ascii="Arial" w:hAnsi="Arial" w:cs="Arial"/>
          <w:b/>
          <w:bCs/>
          <w:noProof/>
          <w:sz w:val="20"/>
        </w:rPr>
        <w:t>Leclair E</w:t>
      </w:r>
      <w:r w:rsidRPr="003D7C1C">
        <w:rPr>
          <w:rFonts w:ascii="Arial" w:hAnsi="Arial" w:cs="Arial"/>
          <w:noProof/>
          <w:sz w:val="20"/>
        </w:rPr>
        <w:t xml:space="preserve">, </w:t>
      </w:r>
      <w:r w:rsidRPr="003D7C1C">
        <w:rPr>
          <w:rFonts w:ascii="Arial" w:hAnsi="Arial" w:cs="Arial"/>
          <w:b/>
          <w:bCs/>
          <w:noProof/>
          <w:sz w:val="20"/>
        </w:rPr>
        <w:t>Di Marzo V</w:t>
      </w:r>
      <w:r w:rsidRPr="003D7C1C">
        <w:rPr>
          <w:rFonts w:ascii="Arial" w:hAnsi="Arial" w:cs="Arial"/>
          <w:noProof/>
          <w:sz w:val="20"/>
        </w:rPr>
        <w:t xml:space="preserve">, </w:t>
      </w:r>
      <w:r w:rsidRPr="003D7C1C">
        <w:rPr>
          <w:rFonts w:ascii="Arial" w:hAnsi="Arial" w:cs="Arial"/>
          <w:b/>
          <w:bCs/>
          <w:noProof/>
          <w:sz w:val="20"/>
        </w:rPr>
        <w:t>Meeusen R</w:t>
      </w:r>
      <w:r w:rsidRPr="003D7C1C">
        <w:rPr>
          <w:rFonts w:ascii="Arial" w:hAnsi="Arial" w:cs="Arial"/>
          <w:noProof/>
          <w:sz w:val="20"/>
        </w:rPr>
        <w:t xml:space="preserve">. Intense exercise increases circulating endocannabinoid and BDNF levels in humans - Possible implications for reward and depression. </w:t>
      </w:r>
      <w:r w:rsidRPr="003D7C1C">
        <w:rPr>
          <w:rFonts w:ascii="Arial" w:hAnsi="Arial" w:cs="Arial"/>
          <w:i/>
          <w:iCs/>
          <w:noProof/>
          <w:sz w:val="20"/>
        </w:rPr>
        <w:t>Psychoneuroendocrinology</w:t>
      </w:r>
      <w:r w:rsidRPr="003D7C1C">
        <w:rPr>
          <w:rFonts w:ascii="Arial" w:hAnsi="Arial" w:cs="Arial"/>
          <w:noProof/>
          <w:sz w:val="20"/>
        </w:rPr>
        <w:t xml:space="preserve"> 37: 844–851, 2012.</w:t>
      </w:r>
    </w:p>
    <w:p w14:paraId="1B55C9D7"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19. </w:t>
      </w:r>
      <w:r w:rsidRPr="003D7C1C">
        <w:rPr>
          <w:rFonts w:ascii="Arial" w:hAnsi="Arial" w:cs="Arial"/>
          <w:noProof/>
          <w:sz w:val="20"/>
        </w:rPr>
        <w:tab/>
      </w:r>
      <w:r w:rsidRPr="003D7C1C">
        <w:rPr>
          <w:rFonts w:ascii="Arial" w:hAnsi="Arial" w:cs="Arial"/>
          <w:b/>
          <w:bCs/>
          <w:noProof/>
          <w:sz w:val="20"/>
        </w:rPr>
        <w:t>Hoeger-Bement MK</w:t>
      </w:r>
      <w:r w:rsidRPr="003D7C1C">
        <w:rPr>
          <w:rFonts w:ascii="Arial" w:hAnsi="Arial" w:cs="Arial"/>
          <w:noProof/>
          <w:sz w:val="20"/>
        </w:rPr>
        <w:t xml:space="preserve">, </w:t>
      </w:r>
      <w:r w:rsidRPr="003D7C1C">
        <w:rPr>
          <w:rFonts w:ascii="Arial" w:hAnsi="Arial" w:cs="Arial"/>
          <w:b/>
          <w:bCs/>
          <w:noProof/>
          <w:sz w:val="20"/>
        </w:rPr>
        <w:t>Dicapo J</w:t>
      </w:r>
      <w:r w:rsidRPr="003D7C1C">
        <w:rPr>
          <w:rFonts w:ascii="Arial" w:hAnsi="Arial" w:cs="Arial"/>
          <w:noProof/>
          <w:sz w:val="20"/>
        </w:rPr>
        <w:t xml:space="preserve">, </w:t>
      </w:r>
      <w:r w:rsidRPr="003D7C1C">
        <w:rPr>
          <w:rFonts w:ascii="Arial" w:hAnsi="Arial" w:cs="Arial"/>
          <w:b/>
          <w:bCs/>
          <w:noProof/>
          <w:sz w:val="20"/>
        </w:rPr>
        <w:t>Rasiarmos R</w:t>
      </w:r>
      <w:r w:rsidRPr="003D7C1C">
        <w:rPr>
          <w:rFonts w:ascii="Arial" w:hAnsi="Arial" w:cs="Arial"/>
          <w:noProof/>
          <w:sz w:val="20"/>
        </w:rPr>
        <w:t xml:space="preserve">, </w:t>
      </w:r>
      <w:r w:rsidRPr="003D7C1C">
        <w:rPr>
          <w:rFonts w:ascii="Arial" w:hAnsi="Arial" w:cs="Arial"/>
          <w:b/>
          <w:bCs/>
          <w:noProof/>
          <w:sz w:val="20"/>
        </w:rPr>
        <w:t>Hunter SK</w:t>
      </w:r>
      <w:r w:rsidRPr="003D7C1C">
        <w:rPr>
          <w:rFonts w:ascii="Arial" w:hAnsi="Arial" w:cs="Arial"/>
          <w:noProof/>
          <w:sz w:val="20"/>
        </w:rPr>
        <w:t xml:space="preserve">. Dose Response of Isometric Contractions on Pain Perception in Healthy Adults. </w:t>
      </w:r>
      <w:r w:rsidRPr="003D7C1C">
        <w:rPr>
          <w:rFonts w:ascii="Arial" w:hAnsi="Arial" w:cs="Arial"/>
          <w:i/>
          <w:iCs/>
          <w:noProof/>
          <w:sz w:val="20"/>
        </w:rPr>
        <w:t>Med Sci Sport Exerc</w:t>
      </w:r>
      <w:r w:rsidRPr="003D7C1C">
        <w:rPr>
          <w:rFonts w:ascii="Arial" w:hAnsi="Arial" w:cs="Arial"/>
          <w:noProof/>
          <w:sz w:val="20"/>
        </w:rPr>
        <w:t xml:space="preserve"> 40: 1880–1889, 2008.</w:t>
      </w:r>
    </w:p>
    <w:p w14:paraId="452CF5A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20. </w:t>
      </w:r>
      <w:r w:rsidRPr="003D7C1C">
        <w:rPr>
          <w:rFonts w:ascii="Arial" w:hAnsi="Arial" w:cs="Arial"/>
          <w:noProof/>
          <w:sz w:val="20"/>
        </w:rPr>
        <w:tab/>
      </w:r>
      <w:r w:rsidRPr="003D7C1C">
        <w:rPr>
          <w:rFonts w:ascii="Arial" w:hAnsi="Arial" w:cs="Arial"/>
          <w:b/>
          <w:bCs/>
          <w:noProof/>
          <w:sz w:val="20"/>
        </w:rPr>
        <w:t>Hoffman MD</w:t>
      </w:r>
      <w:r w:rsidRPr="003D7C1C">
        <w:rPr>
          <w:rFonts w:ascii="Arial" w:hAnsi="Arial" w:cs="Arial"/>
          <w:noProof/>
          <w:sz w:val="20"/>
        </w:rPr>
        <w:t xml:space="preserve">, </w:t>
      </w:r>
      <w:r w:rsidRPr="003D7C1C">
        <w:rPr>
          <w:rFonts w:ascii="Arial" w:hAnsi="Arial" w:cs="Arial"/>
          <w:b/>
          <w:bCs/>
          <w:noProof/>
          <w:sz w:val="20"/>
        </w:rPr>
        <w:t>Shepanski MA</w:t>
      </w:r>
      <w:r w:rsidRPr="003D7C1C">
        <w:rPr>
          <w:rFonts w:ascii="Arial" w:hAnsi="Arial" w:cs="Arial"/>
          <w:noProof/>
          <w:sz w:val="20"/>
        </w:rPr>
        <w:t xml:space="preserve">, </w:t>
      </w:r>
      <w:r w:rsidRPr="003D7C1C">
        <w:rPr>
          <w:rFonts w:ascii="Arial" w:hAnsi="Arial" w:cs="Arial"/>
          <w:b/>
          <w:bCs/>
          <w:noProof/>
          <w:sz w:val="20"/>
        </w:rPr>
        <w:t>Ruble SB</w:t>
      </w:r>
      <w:r w:rsidRPr="003D7C1C">
        <w:rPr>
          <w:rFonts w:ascii="Arial" w:hAnsi="Arial" w:cs="Arial"/>
          <w:noProof/>
          <w:sz w:val="20"/>
        </w:rPr>
        <w:t xml:space="preserve">, </w:t>
      </w:r>
      <w:r w:rsidRPr="003D7C1C">
        <w:rPr>
          <w:rFonts w:ascii="Arial" w:hAnsi="Arial" w:cs="Arial"/>
          <w:b/>
          <w:bCs/>
          <w:noProof/>
          <w:sz w:val="20"/>
        </w:rPr>
        <w:t>Valic Z</w:t>
      </w:r>
      <w:r w:rsidRPr="003D7C1C">
        <w:rPr>
          <w:rFonts w:ascii="Arial" w:hAnsi="Arial" w:cs="Arial"/>
          <w:noProof/>
          <w:sz w:val="20"/>
        </w:rPr>
        <w:t xml:space="preserve">, </w:t>
      </w:r>
      <w:r w:rsidRPr="003D7C1C">
        <w:rPr>
          <w:rFonts w:ascii="Arial" w:hAnsi="Arial" w:cs="Arial"/>
          <w:b/>
          <w:bCs/>
          <w:noProof/>
          <w:sz w:val="20"/>
        </w:rPr>
        <w:t>Buckwalter JB</w:t>
      </w:r>
      <w:r w:rsidRPr="003D7C1C">
        <w:rPr>
          <w:rFonts w:ascii="Arial" w:hAnsi="Arial" w:cs="Arial"/>
          <w:noProof/>
          <w:sz w:val="20"/>
        </w:rPr>
        <w:t xml:space="preserve">, </w:t>
      </w:r>
      <w:r w:rsidRPr="003D7C1C">
        <w:rPr>
          <w:rFonts w:ascii="Arial" w:hAnsi="Arial" w:cs="Arial"/>
          <w:b/>
          <w:bCs/>
          <w:noProof/>
          <w:sz w:val="20"/>
        </w:rPr>
        <w:t>Clifford PS</w:t>
      </w:r>
      <w:r w:rsidRPr="003D7C1C">
        <w:rPr>
          <w:rFonts w:ascii="Arial" w:hAnsi="Arial" w:cs="Arial"/>
          <w:noProof/>
          <w:sz w:val="20"/>
        </w:rPr>
        <w:t xml:space="preserve">. Intensity and Duration Threshold for Aerobic Exercise–Induced Analgesia to Pressure Pain. </w:t>
      </w:r>
      <w:r w:rsidRPr="003D7C1C">
        <w:rPr>
          <w:rFonts w:ascii="Arial" w:hAnsi="Arial" w:cs="Arial"/>
          <w:i/>
          <w:iCs/>
          <w:noProof/>
          <w:sz w:val="20"/>
        </w:rPr>
        <w:t>Arch Phys Med Rehabil</w:t>
      </w:r>
      <w:r w:rsidRPr="003D7C1C">
        <w:rPr>
          <w:rFonts w:ascii="Arial" w:hAnsi="Arial" w:cs="Arial"/>
          <w:noProof/>
          <w:sz w:val="20"/>
        </w:rPr>
        <w:t xml:space="preserve"> 85: 1183–1187, 2003.</w:t>
      </w:r>
    </w:p>
    <w:p w14:paraId="68D9CD01"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21. </w:t>
      </w:r>
      <w:r w:rsidRPr="003D7C1C">
        <w:rPr>
          <w:rFonts w:ascii="Arial" w:hAnsi="Arial" w:cs="Arial"/>
          <w:noProof/>
          <w:sz w:val="20"/>
        </w:rPr>
        <w:tab/>
      </w:r>
      <w:r w:rsidRPr="003D7C1C">
        <w:rPr>
          <w:rFonts w:ascii="Arial" w:hAnsi="Arial" w:cs="Arial"/>
          <w:b/>
          <w:bCs/>
          <w:noProof/>
          <w:sz w:val="20"/>
        </w:rPr>
        <w:t>Hoffmann P</w:t>
      </w:r>
      <w:r w:rsidRPr="003D7C1C">
        <w:rPr>
          <w:rFonts w:ascii="Arial" w:hAnsi="Arial" w:cs="Arial"/>
          <w:noProof/>
          <w:sz w:val="20"/>
        </w:rPr>
        <w:t xml:space="preserve">, </w:t>
      </w:r>
      <w:r w:rsidRPr="003D7C1C">
        <w:rPr>
          <w:rFonts w:ascii="Arial" w:hAnsi="Arial" w:cs="Arial"/>
          <w:b/>
          <w:bCs/>
          <w:noProof/>
          <w:sz w:val="20"/>
        </w:rPr>
        <w:t>Skarphedinsson JO</w:t>
      </w:r>
      <w:r w:rsidRPr="003D7C1C">
        <w:rPr>
          <w:rFonts w:ascii="Arial" w:hAnsi="Arial" w:cs="Arial"/>
          <w:noProof/>
          <w:sz w:val="20"/>
        </w:rPr>
        <w:t xml:space="preserve">, </w:t>
      </w:r>
      <w:r w:rsidRPr="003D7C1C">
        <w:rPr>
          <w:rFonts w:ascii="Arial" w:hAnsi="Arial" w:cs="Arial"/>
          <w:b/>
          <w:bCs/>
          <w:noProof/>
          <w:sz w:val="20"/>
        </w:rPr>
        <w:t>Delle M</w:t>
      </w:r>
      <w:r w:rsidRPr="003D7C1C">
        <w:rPr>
          <w:rFonts w:ascii="Arial" w:hAnsi="Arial" w:cs="Arial"/>
          <w:noProof/>
          <w:sz w:val="20"/>
        </w:rPr>
        <w:t xml:space="preserve">, </w:t>
      </w:r>
      <w:r w:rsidRPr="003D7C1C">
        <w:rPr>
          <w:rFonts w:ascii="Arial" w:hAnsi="Arial" w:cs="Arial"/>
          <w:b/>
          <w:bCs/>
          <w:noProof/>
          <w:sz w:val="20"/>
        </w:rPr>
        <w:t>Thoren P</w:t>
      </w:r>
      <w:r w:rsidRPr="003D7C1C">
        <w:rPr>
          <w:rFonts w:ascii="Arial" w:hAnsi="Arial" w:cs="Arial"/>
          <w:noProof/>
          <w:sz w:val="20"/>
        </w:rPr>
        <w:t xml:space="preserve">. Electrical stimulation of the gastrocnemius muscle in the spontaneusly hypertensive rat increases the pain threshold: Role of different serotonergic receptors. </w:t>
      </w:r>
      <w:r w:rsidRPr="003D7C1C">
        <w:rPr>
          <w:rFonts w:ascii="Arial" w:hAnsi="Arial" w:cs="Arial"/>
          <w:i/>
          <w:iCs/>
          <w:noProof/>
          <w:sz w:val="20"/>
        </w:rPr>
        <w:t>Acta Physiol Scand</w:t>
      </w:r>
      <w:r w:rsidRPr="003D7C1C">
        <w:rPr>
          <w:rFonts w:ascii="Arial" w:hAnsi="Arial" w:cs="Arial"/>
          <w:noProof/>
          <w:sz w:val="20"/>
        </w:rPr>
        <w:t xml:space="preserve"> 138: 125–131, 1990.</w:t>
      </w:r>
    </w:p>
    <w:p w14:paraId="069A936E"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22. </w:t>
      </w:r>
      <w:r w:rsidRPr="003D7C1C">
        <w:rPr>
          <w:rFonts w:ascii="Arial" w:hAnsi="Arial" w:cs="Arial"/>
          <w:noProof/>
          <w:sz w:val="20"/>
        </w:rPr>
        <w:tab/>
      </w:r>
      <w:r w:rsidRPr="003D7C1C">
        <w:rPr>
          <w:rFonts w:ascii="Arial" w:hAnsi="Arial" w:cs="Arial"/>
          <w:b/>
          <w:bCs/>
          <w:noProof/>
          <w:sz w:val="20"/>
        </w:rPr>
        <w:t>Hohmann AG</w:t>
      </w:r>
      <w:r w:rsidRPr="003D7C1C">
        <w:rPr>
          <w:rFonts w:ascii="Arial" w:hAnsi="Arial" w:cs="Arial"/>
          <w:noProof/>
          <w:sz w:val="20"/>
        </w:rPr>
        <w:t xml:space="preserve">, </w:t>
      </w:r>
      <w:r w:rsidRPr="003D7C1C">
        <w:rPr>
          <w:rFonts w:ascii="Arial" w:hAnsi="Arial" w:cs="Arial"/>
          <w:b/>
          <w:bCs/>
          <w:noProof/>
          <w:sz w:val="20"/>
        </w:rPr>
        <w:t>Herkenham M</w:t>
      </w:r>
      <w:r w:rsidRPr="003D7C1C">
        <w:rPr>
          <w:rFonts w:ascii="Arial" w:hAnsi="Arial" w:cs="Arial"/>
          <w:noProof/>
          <w:sz w:val="20"/>
        </w:rPr>
        <w:t xml:space="preserve">. Localization of central cannabinoid CB1 receptor messenger RNA in neuronal subpopulations of rat dorsal root ganglia: A double-label in situ hybridization study. </w:t>
      </w:r>
      <w:r w:rsidRPr="003D7C1C">
        <w:rPr>
          <w:rFonts w:ascii="Arial" w:hAnsi="Arial" w:cs="Arial"/>
          <w:i/>
          <w:iCs/>
          <w:noProof/>
          <w:sz w:val="20"/>
        </w:rPr>
        <w:t>Neuroscience</w:t>
      </w:r>
      <w:r w:rsidRPr="003D7C1C">
        <w:rPr>
          <w:rFonts w:ascii="Arial" w:hAnsi="Arial" w:cs="Arial"/>
          <w:noProof/>
          <w:sz w:val="20"/>
        </w:rPr>
        <w:t xml:space="preserve"> 90: 923–931, 1999.</w:t>
      </w:r>
    </w:p>
    <w:p w14:paraId="7316A44C"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23. </w:t>
      </w:r>
      <w:r w:rsidRPr="003D7C1C">
        <w:rPr>
          <w:rFonts w:ascii="Arial" w:hAnsi="Arial" w:cs="Arial"/>
          <w:noProof/>
          <w:sz w:val="20"/>
        </w:rPr>
        <w:tab/>
      </w:r>
      <w:r w:rsidRPr="003D7C1C">
        <w:rPr>
          <w:rFonts w:ascii="Arial" w:hAnsi="Arial" w:cs="Arial"/>
          <w:b/>
          <w:bCs/>
          <w:noProof/>
          <w:sz w:val="20"/>
        </w:rPr>
        <w:t>Hollander DB</w:t>
      </w:r>
      <w:r w:rsidRPr="003D7C1C">
        <w:rPr>
          <w:rFonts w:ascii="Arial" w:hAnsi="Arial" w:cs="Arial"/>
          <w:noProof/>
          <w:sz w:val="20"/>
        </w:rPr>
        <w:t xml:space="preserve">, </w:t>
      </w:r>
      <w:r w:rsidRPr="003D7C1C">
        <w:rPr>
          <w:rFonts w:ascii="Arial" w:hAnsi="Arial" w:cs="Arial"/>
          <w:b/>
          <w:bCs/>
          <w:noProof/>
          <w:sz w:val="20"/>
        </w:rPr>
        <w:t>Reeves G V.</w:t>
      </w:r>
      <w:r w:rsidRPr="003D7C1C">
        <w:rPr>
          <w:rFonts w:ascii="Arial" w:hAnsi="Arial" w:cs="Arial"/>
          <w:noProof/>
          <w:sz w:val="20"/>
        </w:rPr>
        <w:t xml:space="preserve">, </w:t>
      </w:r>
      <w:r w:rsidRPr="003D7C1C">
        <w:rPr>
          <w:rFonts w:ascii="Arial" w:hAnsi="Arial" w:cs="Arial"/>
          <w:b/>
          <w:bCs/>
          <w:noProof/>
          <w:sz w:val="20"/>
        </w:rPr>
        <w:t>Clavier JD</w:t>
      </w:r>
      <w:r w:rsidRPr="003D7C1C">
        <w:rPr>
          <w:rFonts w:ascii="Arial" w:hAnsi="Arial" w:cs="Arial"/>
          <w:noProof/>
          <w:sz w:val="20"/>
        </w:rPr>
        <w:t xml:space="preserve">, </w:t>
      </w:r>
      <w:r w:rsidRPr="003D7C1C">
        <w:rPr>
          <w:rFonts w:ascii="Arial" w:hAnsi="Arial" w:cs="Arial"/>
          <w:b/>
          <w:bCs/>
          <w:noProof/>
          <w:sz w:val="20"/>
        </w:rPr>
        <w:t>Francois MR</w:t>
      </w:r>
      <w:r w:rsidRPr="003D7C1C">
        <w:rPr>
          <w:rFonts w:ascii="Arial" w:hAnsi="Arial" w:cs="Arial"/>
          <w:noProof/>
          <w:sz w:val="20"/>
        </w:rPr>
        <w:t xml:space="preserve">, </w:t>
      </w:r>
      <w:r w:rsidRPr="003D7C1C">
        <w:rPr>
          <w:rFonts w:ascii="Arial" w:hAnsi="Arial" w:cs="Arial"/>
          <w:b/>
          <w:bCs/>
          <w:noProof/>
          <w:sz w:val="20"/>
        </w:rPr>
        <w:t>Thomas C</w:t>
      </w:r>
      <w:r w:rsidRPr="003D7C1C">
        <w:rPr>
          <w:rFonts w:ascii="Arial" w:hAnsi="Arial" w:cs="Arial"/>
          <w:noProof/>
          <w:sz w:val="20"/>
        </w:rPr>
        <w:t xml:space="preserve">, </w:t>
      </w:r>
      <w:r w:rsidRPr="003D7C1C">
        <w:rPr>
          <w:rFonts w:ascii="Arial" w:hAnsi="Arial" w:cs="Arial"/>
          <w:b/>
          <w:bCs/>
          <w:noProof/>
          <w:sz w:val="20"/>
        </w:rPr>
        <w:t>Kraemer RR</w:t>
      </w:r>
      <w:r w:rsidRPr="003D7C1C">
        <w:rPr>
          <w:rFonts w:ascii="Arial" w:hAnsi="Arial" w:cs="Arial"/>
          <w:noProof/>
          <w:sz w:val="20"/>
        </w:rPr>
        <w:t xml:space="preserve">. Partial occlusion during resistance exercise alters effort sense and pain. </w:t>
      </w:r>
      <w:r w:rsidRPr="003D7C1C">
        <w:rPr>
          <w:rFonts w:ascii="Arial" w:hAnsi="Arial" w:cs="Arial"/>
          <w:i/>
          <w:iCs/>
          <w:noProof/>
          <w:sz w:val="20"/>
        </w:rPr>
        <w:t>J Strength Cond Res</w:t>
      </w:r>
      <w:r w:rsidRPr="003D7C1C">
        <w:rPr>
          <w:rFonts w:ascii="Arial" w:hAnsi="Arial" w:cs="Arial"/>
          <w:noProof/>
          <w:sz w:val="20"/>
        </w:rPr>
        <w:t xml:space="preserve"> 24: 235–243, 2010.</w:t>
      </w:r>
    </w:p>
    <w:p w14:paraId="46A9E06F"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24.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Jeffries O</w:t>
      </w:r>
      <w:r w:rsidRPr="003D7C1C">
        <w:rPr>
          <w:rFonts w:ascii="Arial" w:hAnsi="Arial" w:cs="Arial"/>
          <w:noProof/>
          <w:sz w:val="20"/>
        </w:rPr>
        <w:t xml:space="preserve">, </w:t>
      </w:r>
      <w:r w:rsidRPr="003D7C1C">
        <w:rPr>
          <w:rFonts w:ascii="Arial" w:hAnsi="Arial" w:cs="Arial"/>
          <w:b/>
          <w:bCs/>
          <w:noProof/>
          <w:sz w:val="20"/>
        </w:rPr>
        <w:t>Waldron M</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Influence and reliability of lower-limb arterial occlusion pressure at different body positions. </w:t>
      </w:r>
      <w:r w:rsidRPr="003D7C1C">
        <w:rPr>
          <w:rFonts w:ascii="Arial" w:hAnsi="Arial" w:cs="Arial"/>
          <w:i/>
          <w:iCs/>
          <w:noProof/>
          <w:sz w:val="20"/>
        </w:rPr>
        <w:t>PeerJ</w:t>
      </w:r>
      <w:r w:rsidRPr="003D7C1C">
        <w:rPr>
          <w:rFonts w:ascii="Arial" w:hAnsi="Arial" w:cs="Arial"/>
          <w:noProof/>
          <w:sz w:val="20"/>
        </w:rPr>
        <w:t xml:space="preserve"> 6: e4697, 2018.</w:t>
      </w:r>
    </w:p>
    <w:p w14:paraId="7E13E0A8"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25.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w:t>
      </w:r>
      <w:r w:rsidRPr="003D7C1C">
        <w:rPr>
          <w:rFonts w:ascii="Arial" w:hAnsi="Arial" w:cs="Arial"/>
          <w:b/>
          <w:bCs/>
          <w:noProof/>
          <w:sz w:val="20"/>
        </w:rPr>
        <w:t>Haddad F</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Comparison of the acute perceptual and blood pressure response to heavy load and light load blood flow restriction resistance exercise in anterior cruciate ligament reconstruction patients and non-injured populations. </w:t>
      </w:r>
      <w:r w:rsidRPr="003D7C1C">
        <w:rPr>
          <w:rFonts w:ascii="Arial" w:hAnsi="Arial" w:cs="Arial"/>
          <w:i/>
          <w:iCs/>
          <w:noProof/>
          <w:sz w:val="20"/>
        </w:rPr>
        <w:t>Phys Ther Sport</w:t>
      </w:r>
      <w:r w:rsidRPr="003D7C1C">
        <w:rPr>
          <w:rFonts w:ascii="Arial" w:hAnsi="Arial" w:cs="Arial"/>
          <w:noProof/>
          <w:sz w:val="20"/>
        </w:rPr>
        <w:t xml:space="preserve"> 33: 54–61, 2018.</w:t>
      </w:r>
    </w:p>
    <w:p w14:paraId="5B9E812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26.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Blood flow restriction training in clinical musculoskeletal rehabilitation: A systematic review and meta-analysis. </w:t>
      </w:r>
      <w:r w:rsidRPr="003D7C1C">
        <w:rPr>
          <w:rFonts w:ascii="Arial" w:hAnsi="Arial" w:cs="Arial"/>
          <w:i/>
          <w:iCs/>
          <w:noProof/>
          <w:sz w:val="20"/>
        </w:rPr>
        <w:t>Br J Sports Med</w:t>
      </w:r>
      <w:r w:rsidRPr="003D7C1C">
        <w:rPr>
          <w:rFonts w:ascii="Arial" w:hAnsi="Arial" w:cs="Arial"/>
          <w:noProof/>
          <w:sz w:val="20"/>
        </w:rPr>
        <w:t xml:space="preserve"> 51: 1003–1011, 2017.</w:t>
      </w:r>
    </w:p>
    <w:p w14:paraId="6ACE3D70"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27.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Low intensity blood flow restriction exercise: Rationale for a hypoalgesia effect. </w:t>
      </w:r>
      <w:r w:rsidRPr="003D7C1C">
        <w:rPr>
          <w:rFonts w:ascii="Arial" w:hAnsi="Arial" w:cs="Arial"/>
          <w:i/>
          <w:iCs/>
          <w:noProof/>
          <w:sz w:val="20"/>
        </w:rPr>
        <w:t>Med Hypotheses</w:t>
      </w:r>
      <w:r w:rsidRPr="003D7C1C">
        <w:rPr>
          <w:rFonts w:ascii="Arial" w:hAnsi="Arial" w:cs="Arial"/>
          <w:noProof/>
          <w:sz w:val="20"/>
        </w:rPr>
        <w:t xml:space="preserve"> 132: 109370, 2019.</w:t>
      </w:r>
    </w:p>
    <w:p w14:paraId="0517E45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28.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w:t>
      </w:r>
      <w:r w:rsidRPr="003D7C1C">
        <w:rPr>
          <w:rFonts w:ascii="Arial" w:hAnsi="Arial" w:cs="Arial"/>
          <w:b/>
          <w:bCs/>
          <w:noProof/>
          <w:sz w:val="20"/>
        </w:rPr>
        <w:t>Haddad F</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McCarthy D</w:t>
      </w:r>
      <w:r w:rsidRPr="003D7C1C">
        <w:rPr>
          <w:rFonts w:ascii="Arial" w:hAnsi="Arial" w:cs="Arial"/>
          <w:noProof/>
          <w:sz w:val="20"/>
        </w:rPr>
        <w:t xml:space="preserve">, </w:t>
      </w:r>
      <w:r w:rsidRPr="003D7C1C">
        <w:rPr>
          <w:rFonts w:ascii="Arial" w:hAnsi="Arial" w:cs="Arial"/>
          <w:b/>
          <w:bCs/>
          <w:noProof/>
          <w:sz w:val="20"/>
        </w:rPr>
        <w:t>Clarke T</w:t>
      </w:r>
      <w:r w:rsidRPr="003D7C1C">
        <w:rPr>
          <w:rFonts w:ascii="Arial" w:hAnsi="Arial" w:cs="Arial"/>
          <w:noProof/>
          <w:sz w:val="20"/>
        </w:rPr>
        <w:t xml:space="preserve">, </w:t>
      </w:r>
      <w:r w:rsidRPr="003D7C1C">
        <w:rPr>
          <w:rFonts w:ascii="Arial" w:hAnsi="Arial" w:cs="Arial"/>
          <w:b/>
          <w:bCs/>
          <w:noProof/>
          <w:sz w:val="20"/>
        </w:rPr>
        <w:t>Ferris G</w:t>
      </w:r>
      <w:r w:rsidRPr="003D7C1C">
        <w:rPr>
          <w:rFonts w:ascii="Arial" w:hAnsi="Arial" w:cs="Arial"/>
          <w:noProof/>
          <w:sz w:val="20"/>
        </w:rPr>
        <w:t xml:space="preserve">, </w:t>
      </w:r>
      <w:r w:rsidRPr="003D7C1C">
        <w:rPr>
          <w:rFonts w:ascii="Arial" w:hAnsi="Arial" w:cs="Arial"/>
          <w:b/>
          <w:bCs/>
          <w:noProof/>
          <w:sz w:val="20"/>
        </w:rPr>
        <w:t>Dawes J</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Examination of the comfort and pain experienced with blood flow restriction training during post-surgery rehabilitation of anterior cruciate ligament reconstruction patients: A UK National Health Service trial. </w:t>
      </w:r>
      <w:r w:rsidRPr="003D7C1C">
        <w:rPr>
          <w:rFonts w:ascii="Arial" w:hAnsi="Arial" w:cs="Arial"/>
          <w:i/>
          <w:iCs/>
          <w:noProof/>
          <w:sz w:val="20"/>
        </w:rPr>
        <w:t>Phys Ther Sport</w:t>
      </w:r>
      <w:r w:rsidRPr="003D7C1C">
        <w:rPr>
          <w:rFonts w:ascii="Arial" w:hAnsi="Arial" w:cs="Arial"/>
          <w:noProof/>
          <w:sz w:val="20"/>
        </w:rPr>
        <w:t xml:space="preserve"> 39: 90–98, 2019.</w:t>
      </w:r>
    </w:p>
    <w:p w14:paraId="009F4110"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29.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w:t>
      </w:r>
      <w:r w:rsidRPr="003D7C1C">
        <w:rPr>
          <w:rFonts w:ascii="Arial" w:hAnsi="Arial" w:cs="Arial"/>
          <w:b/>
          <w:bCs/>
          <w:noProof/>
          <w:sz w:val="20"/>
        </w:rPr>
        <w:t>Haddad F</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McCarthy D</w:t>
      </w:r>
      <w:r w:rsidRPr="003D7C1C">
        <w:rPr>
          <w:rFonts w:ascii="Arial" w:hAnsi="Arial" w:cs="Arial"/>
          <w:noProof/>
          <w:sz w:val="20"/>
        </w:rPr>
        <w:t xml:space="preserve">, </w:t>
      </w:r>
      <w:r w:rsidRPr="003D7C1C">
        <w:rPr>
          <w:rFonts w:ascii="Arial" w:hAnsi="Arial" w:cs="Arial"/>
          <w:b/>
          <w:bCs/>
          <w:noProof/>
          <w:sz w:val="20"/>
        </w:rPr>
        <w:t>Clarke T</w:t>
      </w:r>
      <w:r w:rsidRPr="003D7C1C">
        <w:rPr>
          <w:rFonts w:ascii="Arial" w:hAnsi="Arial" w:cs="Arial"/>
          <w:noProof/>
          <w:sz w:val="20"/>
        </w:rPr>
        <w:t xml:space="preserve">, </w:t>
      </w:r>
      <w:r w:rsidRPr="003D7C1C">
        <w:rPr>
          <w:rFonts w:ascii="Arial" w:hAnsi="Arial" w:cs="Arial"/>
          <w:b/>
          <w:bCs/>
          <w:noProof/>
          <w:sz w:val="20"/>
        </w:rPr>
        <w:t xml:space="preserve">Ferris </w:t>
      </w:r>
      <w:r w:rsidRPr="003D7C1C">
        <w:rPr>
          <w:rFonts w:ascii="Arial" w:hAnsi="Arial" w:cs="Arial"/>
          <w:b/>
          <w:bCs/>
          <w:noProof/>
          <w:sz w:val="20"/>
        </w:rPr>
        <w:lastRenderedPageBreak/>
        <w:t>G</w:t>
      </w:r>
      <w:r w:rsidRPr="003D7C1C">
        <w:rPr>
          <w:rFonts w:ascii="Arial" w:hAnsi="Arial" w:cs="Arial"/>
          <w:noProof/>
          <w:sz w:val="20"/>
        </w:rPr>
        <w:t xml:space="preserve">, </w:t>
      </w:r>
      <w:r w:rsidRPr="003D7C1C">
        <w:rPr>
          <w:rFonts w:ascii="Arial" w:hAnsi="Arial" w:cs="Arial"/>
          <w:b/>
          <w:bCs/>
          <w:noProof/>
          <w:sz w:val="20"/>
        </w:rPr>
        <w:t>Dawes J</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Examination of the comfort and pain experienced with blood flow restriction training during post-surgery rehabilitation of anterior cruciate ligament reconstruction patients: A UK National Health Service trial. </w:t>
      </w:r>
      <w:r w:rsidRPr="003D7C1C">
        <w:rPr>
          <w:rFonts w:ascii="Arial" w:hAnsi="Arial" w:cs="Arial"/>
          <w:i/>
          <w:iCs/>
          <w:noProof/>
          <w:sz w:val="20"/>
        </w:rPr>
        <w:t>Phys Ther Sport</w:t>
      </w:r>
      <w:r w:rsidRPr="003D7C1C">
        <w:rPr>
          <w:rFonts w:ascii="Arial" w:hAnsi="Arial" w:cs="Arial"/>
          <w:noProof/>
          <w:sz w:val="20"/>
        </w:rPr>
        <w:t xml:space="preserve"> 39: 90–98, 2019.</w:t>
      </w:r>
    </w:p>
    <w:p w14:paraId="788FAE6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30.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Interface pressure, perceptual and mean arterial pressure responses to different blood flow restriction systems. </w:t>
      </w:r>
      <w:r w:rsidRPr="003D7C1C">
        <w:rPr>
          <w:rFonts w:ascii="Arial" w:hAnsi="Arial" w:cs="Arial"/>
          <w:i/>
          <w:iCs/>
          <w:noProof/>
          <w:sz w:val="20"/>
        </w:rPr>
        <w:t>Scand J Med Sci Sports</w:t>
      </w:r>
      <w:r w:rsidRPr="003D7C1C">
        <w:rPr>
          <w:rFonts w:ascii="Arial" w:hAnsi="Arial" w:cs="Arial"/>
          <w:noProof/>
          <w:sz w:val="20"/>
        </w:rPr>
        <w:t xml:space="preserve"> 28: 1757–1765, 2018.</w:t>
      </w:r>
    </w:p>
    <w:p w14:paraId="3B233423"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31. </w:t>
      </w:r>
      <w:r w:rsidRPr="003D7C1C">
        <w:rPr>
          <w:rFonts w:ascii="Arial" w:hAnsi="Arial" w:cs="Arial"/>
          <w:noProof/>
          <w:sz w:val="20"/>
        </w:rPr>
        <w:tab/>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Rosenblatt B</w:t>
      </w:r>
      <w:r w:rsidRPr="003D7C1C">
        <w:rPr>
          <w:rFonts w:ascii="Arial" w:hAnsi="Arial" w:cs="Arial"/>
          <w:noProof/>
          <w:sz w:val="20"/>
        </w:rPr>
        <w:t xml:space="preserve">, </w:t>
      </w:r>
      <w:r w:rsidRPr="003D7C1C">
        <w:rPr>
          <w:rFonts w:ascii="Arial" w:hAnsi="Arial" w:cs="Arial"/>
          <w:b/>
          <w:bCs/>
          <w:noProof/>
          <w:sz w:val="20"/>
        </w:rPr>
        <w:t>Haddad F</w:t>
      </w:r>
      <w:r w:rsidRPr="003D7C1C">
        <w:rPr>
          <w:rFonts w:ascii="Arial" w:hAnsi="Arial" w:cs="Arial"/>
          <w:noProof/>
          <w:sz w:val="20"/>
        </w:rPr>
        <w:t xml:space="preserve">, </w:t>
      </w:r>
      <w:r w:rsidRPr="003D7C1C">
        <w:rPr>
          <w:rFonts w:ascii="Arial" w:hAnsi="Arial" w:cs="Arial"/>
          <w:b/>
          <w:bCs/>
          <w:noProof/>
          <w:sz w:val="20"/>
        </w:rPr>
        <w:t>Gissane C</w:t>
      </w:r>
      <w:r w:rsidRPr="003D7C1C">
        <w:rPr>
          <w:rFonts w:ascii="Arial" w:hAnsi="Arial" w:cs="Arial"/>
          <w:noProof/>
          <w:sz w:val="20"/>
        </w:rPr>
        <w:t xml:space="preserve">, </w:t>
      </w:r>
      <w:r w:rsidRPr="003D7C1C">
        <w:rPr>
          <w:rFonts w:ascii="Arial" w:hAnsi="Arial" w:cs="Arial"/>
          <w:b/>
          <w:bCs/>
          <w:noProof/>
          <w:sz w:val="20"/>
        </w:rPr>
        <w:t>McCarthy D</w:t>
      </w:r>
      <w:r w:rsidRPr="003D7C1C">
        <w:rPr>
          <w:rFonts w:ascii="Arial" w:hAnsi="Arial" w:cs="Arial"/>
          <w:noProof/>
          <w:sz w:val="20"/>
        </w:rPr>
        <w:t xml:space="preserve">, </w:t>
      </w:r>
      <w:r w:rsidRPr="003D7C1C">
        <w:rPr>
          <w:rFonts w:ascii="Arial" w:hAnsi="Arial" w:cs="Arial"/>
          <w:b/>
          <w:bCs/>
          <w:noProof/>
          <w:sz w:val="20"/>
        </w:rPr>
        <w:t>Clarke T</w:t>
      </w:r>
      <w:r w:rsidRPr="003D7C1C">
        <w:rPr>
          <w:rFonts w:ascii="Arial" w:hAnsi="Arial" w:cs="Arial"/>
          <w:noProof/>
          <w:sz w:val="20"/>
        </w:rPr>
        <w:t xml:space="preserve">, </w:t>
      </w:r>
      <w:r w:rsidRPr="003D7C1C">
        <w:rPr>
          <w:rFonts w:ascii="Arial" w:hAnsi="Arial" w:cs="Arial"/>
          <w:b/>
          <w:bCs/>
          <w:noProof/>
          <w:sz w:val="20"/>
        </w:rPr>
        <w:t>Ferris G</w:t>
      </w:r>
      <w:r w:rsidRPr="003D7C1C">
        <w:rPr>
          <w:rFonts w:ascii="Arial" w:hAnsi="Arial" w:cs="Arial"/>
          <w:noProof/>
          <w:sz w:val="20"/>
        </w:rPr>
        <w:t xml:space="preserve">, </w:t>
      </w:r>
      <w:r w:rsidRPr="003D7C1C">
        <w:rPr>
          <w:rFonts w:ascii="Arial" w:hAnsi="Arial" w:cs="Arial"/>
          <w:b/>
          <w:bCs/>
          <w:noProof/>
          <w:sz w:val="20"/>
        </w:rPr>
        <w:t>Dawes J</w:t>
      </w:r>
      <w:r w:rsidRPr="003D7C1C">
        <w:rPr>
          <w:rFonts w:ascii="Arial" w:hAnsi="Arial" w:cs="Arial"/>
          <w:noProof/>
          <w:sz w:val="20"/>
        </w:rPr>
        <w:t xml:space="preserve">, </w:t>
      </w:r>
      <w:r w:rsidRPr="003D7C1C">
        <w:rPr>
          <w:rFonts w:ascii="Arial" w:hAnsi="Arial" w:cs="Arial"/>
          <w:b/>
          <w:bCs/>
          <w:noProof/>
          <w:sz w:val="20"/>
        </w:rPr>
        <w:t>Paton B</w:t>
      </w:r>
      <w:r w:rsidRPr="003D7C1C">
        <w:rPr>
          <w:rFonts w:ascii="Arial" w:hAnsi="Arial" w:cs="Arial"/>
          <w:noProof/>
          <w:sz w:val="20"/>
        </w:rPr>
        <w:t xml:space="preserve">, </w:t>
      </w:r>
      <w:r w:rsidRPr="003D7C1C">
        <w:rPr>
          <w:rFonts w:ascii="Arial" w:hAnsi="Arial" w:cs="Arial"/>
          <w:b/>
          <w:bCs/>
          <w:noProof/>
          <w:sz w:val="20"/>
        </w:rPr>
        <w:t>Patterson SD</w:t>
      </w:r>
      <w:r w:rsidRPr="003D7C1C">
        <w:rPr>
          <w:rFonts w:ascii="Arial" w:hAnsi="Arial" w:cs="Arial"/>
          <w:noProof/>
          <w:sz w:val="20"/>
        </w:rPr>
        <w:t xml:space="preserve">. Comparing the Effectiveness of Blood Flow Restriction and Traditional Heavy Load Resistance Training in the Post-Surgery Rehabilitation of Anterior Cruciate Ligament Reconstruction Patients: A UK National Health Service Randomised Controlled Trial. </w:t>
      </w:r>
      <w:r w:rsidRPr="003D7C1C">
        <w:rPr>
          <w:rFonts w:ascii="Arial" w:hAnsi="Arial" w:cs="Arial"/>
          <w:i/>
          <w:iCs/>
          <w:noProof/>
          <w:sz w:val="20"/>
        </w:rPr>
        <w:t>Sport Med</w:t>
      </w:r>
      <w:r w:rsidRPr="003D7C1C">
        <w:rPr>
          <w:rFonts w:ascii="Arial" w:hAnsi="Arial" w:cs="Arial"/>
          <w:noProof/>
          <w:sz w:val="20"/>
        </w:rPr>
        <w:t xml:space="preserve"> 49: 1787–1805, 2019.</w:t>
      </w:r>
    </w:p>
    <w:p w14:paraId="5093EC12"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32. </w:t>
      </w:r>
      <w:r w:rsidRPr="003D7C1C">
        <w:rPr>
          <w:rFonts w:ascii="Arial" w:hAnsi="Arial" w:cs="Arial"/>
          <w:noProof/>
          <w:sz w:val="20"/>
        </w:rPr>
        <w:tab/>
      </w:r>
      <w:r w:rsidRPr="003D7C1C">
        <w:rPr>
          <w:rFonts w:ascii="Arial" w:hAnsi="Arial" w:cs="Arial"/>
          <w:b/>
          <w:bCs/>
          <w:noProof/>
          <w:sz w:val="20"/>
        </w:rPr>
        <w:t>Ilett MJ</w:t>
      </w:r>
      <w:r w:rsidRPr="003D7C1C">
        <w:rPr>
          <w:rFonts w:ascii="Arial" w:hAnsi="Arial" w:cs="Arial"/>
          <w:noProof/>
          <w:sz w:val="20"/>
        </w:rPr>
        <w:t xml:space="preserve">, </w:t>
      </w:r>
      <w:r w:rsidRPr="003D7C1C">
        <w:rPr>
          <w:rFonts w:ascii="Arial" w:hAnsi="Arial" w:cs="Arial"/>
          <w:b/>
          <w:bCs/>
          <w:noProof/>
          <w:sz w:val="20"/>
        </w:rPr>
        <w:t>Rantalainen T</w:t>
      </w:r>
      <w:r w:rsidRPr="003D7C1C">
        <w:rPr>
          <w:rFonts w:ascii="Arial" w:hAnsi="Arial" w:cs="Arial"/>
          <w:noProof/>
          <w:sz w:val="20"/>
        </w:rPr>
        <w:t xml:space="preserve">, </w:t>
      </w:r>
      <w:r w:rsidRPr="003D7C1C">
        <w:rPr>
          <w:rFonts w:ascii="Arial" w:hAnsi="Arial" w:cs="Arial"/>
          <w:b/>
          <w:bCs/>
          <w:noProof/>
          <w:sz w:val="20"/>
        </w:rPr>
        <w:t>Keske MA</w:t>
      </w:r>
      <w:r w:rsidRPr="003D7C1C">
        <w:rPr>
          <w:rFonts w:ascii="Arial" w:hAnsi="Arial" w:cs="Arial"/>
          <w:noProof/>
          <w:sz w:val="20"/>
        </w:rPr>
        <w:t xml:space="preserve">, </w:t>
      </w:r>
      <w:r w:rsidRPr="003D7C1C">
        <w:rPr>
          <w:rFonts w:ascii="Arial" w:hAnsi="Arial" w:cs="Arial"/>
          <w:b/>
          <w:bCs/>
          <w:noProof/>
          <w:sz w:val="20"/>
        </w:rPr>
        <w:t>May AK</w:t>
      </w:r>
      <w:r w:rsidRPr="003D7C1C">
        <w:rPr>
          <w:rFonts w:ascii="Arial" w:hAnsi="Arial" w:cs="Arial"/>
          <w:noProof/>
          <w:sz w:val="20"/>
        </w:rPr>
        <w:t xml:space="preserve">, </w:t>
      </w:r>
      <w:r w:rsidRPr="003D7C1C">
        <w:rPr>
          <w:rFonts w:ascii="Arial" w:hAnsi="Arial" w:cs="Arial"/>
          <w:b/>
          <w:bCs/>
          <w:noProof/>
          <w:sz w:val="20"/>
        </w:rPr>
        <w:t>Warmington SA</w:t>
      </w:r>
      <w:r w:rsidRPr="003D7C1C">
        <w:rPr>
          <w:rFonts w:ascii="Arial" w:hAnsi="Arial" w:cs="Arial"/>
          <w:noProof/>
          <w:sz w:val="20"/>
        </w:rPr>
        <w:t xml:space="preserve">. The Effects of Restriction Pressures on the Acute Responses to Blood Flow Restriction Exercise. </w:t>
      </w:r>
      <w:r w:rsidRPr="003D7C1C">
        <w:rPr>
          <w:rFonts w:ascii="Arial" w:hAnsi="Arial" w:cs="Arial"/>
          <w:i/>
          <w:iCs/>
          <w:noProof/>
          <w:sz w:val="20"/>
        </w:rPr>
        <w:t>Front Physiol</w:t>
      </w:r>
      <w:r w:rsidRPr="003D7C1C">
        <w:rPr>
          <w:rFonts w:ascii="Arial" w:hAnsi="Arial" w:cs="Arial"/>
          <w:noProof/>
          <w:sz w:val="20"/>
        </w:rPr>
        <w:t xml:space="preserve"> 10: 1–11, 2019.</w:t>
      </w:r>
    </w:p>
    <w:p w14:paraId="55D441B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33. </w:t>
      </w:r>
      <w:r w:rsidRPr="003D7C1C">
        <w:rPr>
          <w:rFonts w:ascii="Arial" w:hAnsi="Arial" w:cs="Arial"/>
          <w:noProof/>
          <w:sz w:val="20"/>
        </w:rPr>
        <w:tab/>
      </w:r>
      <w:r w:rsidRPr="003D7C1C">
        <w:rPr>
          <w:rFonts w:ascii="Arial" w:hAnsi="Arial" w:cs="Arial"/>
          <w:b/>
          <w:bCs/>
          <w:noProof/>
          <w:sz w:val="20"/>
        </w:rPr>
        <w:t>Jansen MJ</w:t>
      </w:r>
      <w:r w:rsidRPr="003D7C1C">
        <w:rPr>
          <w:rFonts w:ascii="Arial" w:hAnsi="Arial" w:cs="Arial"/>
          <w:noProof/>
          <w:sz w:val="20"/>
        </w:rPr>
        <w:t xml:space="preserve">, </w:t>
      </w:r>
      <w:r w:rsidRPr="003D7C1C">
        <w:rPr>
          <w:rFonts w:ascii="Arial" w:hAnsi="Arial" w:cs="Arial"/>
          <w:b/>
          <w:bCs/>
          <w:noProof/>
          <w:sz w:val="20"/>
        </w:rPr>
        <w:t>Viechtbauer W</w:t>
      </w:r>
      <w:r w:rsidRPr="003D7C1C">
        <w:rPr>
          <w:rFonts w:ascii="Arial" w:hAnsi="Arial" w:cs="Arial"/>
          <w:noProof/>
          <w:sz w:val="20"/>
        </w:rPr>
        <w:t xml:space="preserve">, </w:t>
      </w:r>
      <w:r w:rsidRPr="003D7C1C">
        <w:rPr>
          <w:rFonts w:ascii="Arial" w:hAnsi="Arial" w:cs="Arial"/>
          <w:b/>
          <w:bCs/>
          <w:noProof/>
          <w:sz w:val="20"/>
        </w:rPr>
        <w:t>Lenssen AF</w:t>
      </w:r>
      <w:r w:rsidRPr="003D7C1C">
        <w:rPr>
          <w:rFonts w:ascii="Arial" w:hAnsi="Arial" w:cs="Arial"/>
          <w:noProof/>
          <w:sz w:val="20"/>
        </w:rPr>
        <w:t xml:space="preserve">, </w:t>
      </w:r>
      <w:r w:rsidRPr="003D7C1C">
        <w:rPr>
          <w:rFonts w:ascii="Arial" w:hAnsi="Arial" w:cs="Arial"/>
          <w:b/>
          <w:bCs/>
          <w:noProof/>
          <w:sz w:val="20"/>
        </w:rPr>
        <w:t>Hendriks EJM</w:t>
      </w:r>
      <w:r w:rsidRPr="003D7C1C">
        <w:rPr>
          <w:rFonts w:ascii="Arial" w:hAnsi="Arial" w:cs="Arial"/>
          <w:noProof/>
          <w:sz w:val="20"/>
        </w:rPr>
        <w:t xml:space="preserve">, </w:t>
      </w:r>
      <w:r w:rsidRPr="003D7C1C">
        <w:rPr>
          <w:rFonts w:ascii="Arial" w:hAnsi="Arial" w:cs="Arial"/>
          <w:b/>
          <w:bCs/>
          <w:noProof/>
          <w:sz w:val="20"/>
        </w:rPr>
        <w:t>de Bie Rob A</w:t>
      </w:r>
      <w:r w:rsidRPr="003D7C1C">
        <w:rPr>
          <w:rFonts w:ascii="Arial" w:hAnsi="Arial" w:cs="Arial"/>
          <w:noProof/>
          <w:sz w:val="20"/>
        </w:rPr>
        <w:t xml:space="preserve">. Strength training alone, exercise therapy alone, and exercise therapy with passive manual mobilisation each reduce pain and disability in people with knee osteoarthritis: A systematic review. </w:t>
      </w:r>
      <w:r w:rsidRPr="003D7C1C">
        <w:rPr>
          <w:rFonts w:ascii="Arial" w:hAnsi="Arial" w:cs="Arial"/>
          <w:i/>
          <w:iCs/>
          <w:noProof/>
          <w:sz w:val="20"/>
        </w:rPr>
        <w:t>J Physiother</w:t>
      </w:r>
      <w:r w:rsidRPr="003D7C1C">
        <w:rPr>
          <w:rFonts w:ascii="Arial" w:hAnsi="Arial" w:cs="Arial"/>
          <w:noProof/>
          <w:sz w:val="20"/>
        </w:rPr>
        <w:t xml:space="preserve"> 57: 11–20, 2011.</w:t>
      </w:r>
    </w:p>
    <w:p w14:paraId="4AE9AE6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34. </w:t>
      </w:r>
      <w:r w:rsidRPr="003D7C1C">
        <w:rPr>
          <w:rFonts w:ascii="Arial" w:hAnsi="Arial" w:cs="Arial"/>
          <w:noProof/>
          <w:sz w:val="20"/>
        </w:rPr>
        <w:tab/>
      </w:r>
      <w:r w:rsidRPr="003D7C1C">
        <w:rPr>
          <w:rFonts w:ascii="Arial" w:hAnsi="Arial" w:cs="Arial"/>
          <w:b/>
          <w:bCs/>
          <w:noProof/>
          <w:sz w:val="20"/>
        </w:rPr>
        <w:t>Kinser AM</w:t>
      </w:r>
      <w:r w:rsidRPr="003D7C1C">
        <w:rPr>
          <w:rFonts w:ascii="Arial" w:hAnsi="Arial" w:cs="Arial"/>
          <w:noProof/>
          <w:sz w:val="20"/>
        </w:rPr>
        <w:t xml:space="preserve">, </w:t>
      </w:r>
      <w:r w:rsidRPr="003D7C1C">
        <w:rPr>
          <w:rFonts w:ascii="Arial" w:hAnsi="Arial" w:cs="Arial"/>
          <w:b/>
          <w:bCs/>
          <w:noProof/>
          <w:sz w:val="20"/>
        </w:rPr>
        <w:t>Sands WA</w:t>
      </w:r>
      <w:r w:rsidRPr="003D7C1C">
        <w:rPr>
          <w:rFonts w:ascii="Arial" w:hAnsi="Arial" w:cs="Arial"/>
          <w:noProof/>
          <w:sz w:val="20"/>
        </w:rPr>
        <w:t xml:space="preserve">, </w:t>
      </w:r>
      <w:r w:rsidRPr="003D7C1C">
        <w:rPr>
          <w:rFonts w:ascii="Arial" w:hAnsi="Arial" w:cs="Arial"/>
          <w:b/>
          <w:bCs/>
          <w:noProof/>
          <w:sz w:val="20"/>
        </w:rPr>
        <w:t>Stone MH</w:t>
      </w:r>
      <w:r w:rsidRPr="003D7C1C">
        <w:rPr>
          <w:rFonts w:ascii="Arial" w:hAnsi="Arial" w:cs="Arial"/>
          <w:noProof/>
          <w:sz w:val="20"/>
        </w:rPr>
        <w:t xml:space="preserve">. Reliability and validity of a pressure algometer. </w:t>
      </w:r>
      <w:r w:rsidRPr="003D7C1C">
        <w:rPr>
          <w:rFonts w:ascii="Arial" w:hAnsi="Arial" w:cs="Arial"/>
          <w:i/>
          <w:iCs/>
          <w:noProof/>
          <w:sz w:val="20"/>
        </w:rPr>
        <w:t>J Strength Cond Res</w:t>
      </w:r>
      <w:r w:rsidRPr="003D7C1C">
        <w:rPr>
          <w:rFonts w:ascii="Arial" w:hAnsi="Arial" w:cs="Arial"/>
          <w:noProof/>
          <w:sz w:val="20"/>
        </w:rPr>
        <w:t xml:space="preserve"> 23: 312–314, 2009.</w:t>
      </w:r>
    </w:p>
    <w:p w14:paraId="01D52DC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35. </w:t>
      </w:r>
      <w:r w:rsidRPr="003D7C1C">
        <w:rPr>
          <w:rFonts w:ascii="Arial" w:hAnsi="Arial" w:cs="Arial"/>
          <w:noProof/>
          <w:sz w:val="20"/>
        </w:rPr>
        <w:tab/>
      </w:r>
      <w:r w:rsidRPr="003D7C1C">
        <w:rPr>
          <w:rFonts w:ascii="Arial" w:hAnsi="Arial" w:cs="Arial"/>
          <w:b/>
          <w:bCs/>
          <w:noProof/>
          <w:sz w:val="20"/>
        </w:rPr>
        <w:t>Kjaer M</w:t>
      </w:r>
      <w:r w:rsidRPr="003D7C1C">
        <w:rPr>
          <w:rFonts w:ascii="Arial" w:hAnsi="Arial" w:cs="Arial"/>
          <w:noProof/>
          <w:sz w:val="20"/>
        </w:rPr>
        <w:t xml:space="preserve">, </w:t>
      </w:r>
      <w:r w:rsidRPr="003D7C1C">
        <w:rPr>
          <w:rFonts w:ascii="Arial" w:hAnsi="Arial" w:cs="Arial"/>
          <w:b/>
          <w:bCs/>
          <w:noProof/>
          <w:sz w:val="20"/>
        </w:rPr>
        <w:t>Secher NH</w:t>
      </w:r>
      <w:r w:rsidRPr="003D7C1C">
        <w:rPr>
          <w:rFonts w:ascii="Arial" w:hAnsi="Arial" w:cs="Arial"/>
          <w:noProof/>
          <w:sz w:val="20"/>
        </w:rPr>
        <w:t xml:space="preserve">, </w:t>
      </w:r>
      <w:r w:rsidRPr="003D7C1C">
        <w:rPr>
          <w:rFonts w:ascii="Arial" w:hAnsi="Arial" w:cs="Arial"/>
          <w:b/>
          <w:bCs/>
          <w:noProof/>
          <w:sz w:val="20"/>
        </w:rPr>
        <w:t>Bach FW</w:t>
      </w:r>
      <w:r w:rsidRPr="003D7C1C">
        <w:rPr>
          <w:rFonts w:ascii="Arial" w:hAnsi="Arial" w:cs="Arial"/>
          <w:noProof/>
          <w:sz w:val="20"/>
        </w:rPr>
        <w:t xml:space="preserve">, </w:t>
      </w:r>
      <w:r w:rsidRPr="003D7C1C">
        <w:rPr>
          <w:rFonts w:ascii="Arial" w:hAnsi="Arial" w:cs="Arial"/>
          <w:b/>
          <w:bCs/>
          <w:noProof/>
          <w:sz w:val="20"/>
        </w:rPr>
        <w:t>Galbo H</w:t>
      </w:r>
      <w:r w:rsidRPr="003D7C1C">
        <w:rPr>
          <w:rFonts w:ascii="Arial" w:hAnsi="Arial" w:cs="Arial"/>
          <w:noProof/>
          <w:sz w:val="20"/>
        </w:rPr>
        <w:t xml:space="preserve">, </w:t>
      </w:r>
      <w:r w:rsidRPr="003D7C1C">
        <w:rPr>
          <w:rFonts w:ascii="Arial" w:hAnsi="Arial" w:cs="Arial"/>
          <w:b/>
          <w:bCs/>
          <w:noProof/>
          <w:sz w:val="20"/>
        </w:rPr>
        <w:t>Reeves DR</w:t>
      </w:r>
      <w:r w:rsidRPr="003D7C1C">
        <w:rPr>
          <w:rFonts w:ascii="Arial" w:hAnsi="Arial" w:cs="Arial"/>
          <w:noProof/>
          <w:sz w:val="20"/>
        </w:rPr>
        <w:t xml:space="preserve">, </w:t>
      </w:r>
      <w:r w:rsidRPr="003D7C1C">
        <w:rPr>
          <w:rFonts w:ascii="Arial" w:hAnsi="Arial" w:cs="Arial"/>
          <w:b/>
          <w:bCs/>
          <w:noProof/>
          <w:sz w:val="20"/>
        </w:rPr>
        <w:t>Mitchell JH</w:t>
      </w:r>
      <w:r w:rsidRPr="003D7C1C">
        <w:rPr>
          <w:rFonts w:ascii="Arial" w:hAnsi="Arial" w:cs="Arial"/>
          <w:noProof/>
          <w:sz w:val="20"/>
        </w:rPr>
        <w:t xml:space="preserve">. Hormonal, metabolic, and cardiovascular exercise in humans: influence of epidural responses to static anesthesia. </w:t>
      </w:r>
      <w:r w:rsidRPr="003D7C1C">
        <w:rPr>
          <w:rFonts w:ascii="Arial" w:hAnsi="Arial" w:cs="Arial"/>
          <w:i/>
          <w:iCs/>
          <w:noProof/>
          <w:sz w:val="20"/>
        </w:rPr>
        <w:t>Am Physiol Soc</w:t>
      </w:r>
      <w:r w:rsidRPr="003D7C1C">
        <w:rPr>
          <w:rFonts w:ascii="Arial" w:hAnsi="Arial" w:cs="Arial"/>
          <w:noProof/>
          <w:sz w:val="20"/>
        </w:rPr>
        <w:t xml:space="preserve"> 261: E214-20., 1991.</w:t>
      </w:r>
    </w:p>
    <w:p w14:paraId="6A498B72"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36. </w:t>
      </w:r>
      <w:r w:rsidRPr="003D7C1C">
        <w:rPr>
          <w:rFonts w:ascii="Arial" w:hAnsi="Arial" w:cs="Arial"/>
          <w:noProof/>
          <w:sz w:val="20"/>
        </w:rPr>
        <w:tab/>
      </w:r>
      <w:r w:rsidRPr="003D7C1C">
        <w:rPr>
          <w:rFonts w:ascii="Arial" w:hAnsi="Arial" w:cs="Arial"/>
          <w:b/>
          <w:bCs/>
          <w:noProof/>
          <w:sz w:val="20"/>
        </w:rPr>
        <w:t>Koltyn KF</w:t>
      </w:r>
      <w:r w:rsidRPr="003D7C1C">
        <w:rPr>
          <w:rFonts w:ascii="Arial" w:hAnsi="Arial" w:cs="Arial"/>
          <w:noProof/>
          <w:sz w:val="20"/>
        </w:rPr>
        <w:t xml:space="preserve">. Analgesia following exercise: A review. </w:t>
      </w:r>
      <w:r w:rsidRPr="003D7C1C">
        <w:rPr>
          <w:rFonts w:ascii="Arial" w:hAnsi="Arial" w:cs="Arial"/>
          <w:i/>
          <w:iCs/>
          <w:noProof/>
          <w:sz w:val="20"/>
        </w:rPr>
        <w:t>Sport Med</w:t>
      </w:r>
      <w:r w:rsidRPr="003D7C1C">
        <w:rPr>
          <w:rFonts w:ascii="Arial" w:hAnsi="Arial" w:cs="Arial"/>
          <w:noProof/>
          <w:sz w:val="20"/>
        </w:rPr>
        <w:t xml:space="preserve"> 29: 85–98, 2000.</w:t>
      </w:r>
    </w:p>
    <w:p w14:paraId="22778D0E"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37. </w:t>
      </w:r>
      <w:r w:rsidRPr="003D7C1C">
        <w:rPr>
          <w:rFonts w:ascii="Arial" w:hAnsi="Arial" w:cs="Arial"/>
          <w:noProof/>
          <w:sz w:val="20"/>
        </w:rPr>
        <w:tab/>
      </w:r>
      <w:r w:rsidRPr="003D7C1C">
        <w:rPr>
          <w:rFonts w:ascii="Arial" w:hAnsi="Arial" w:cs="Arial"/>
          <w:b/>
          <w:bCs/>
          <w:noProof/>
          <w:sz w:val="20"/>
        </w:rPr>
        <w:t>Koltyn KF</w:t>
      </w:r>
      <w:r w:rsidRPr="003D7C1C">
        <w:rPr>
          <w:rFonts w:ascii="Arial" w:hAnsi="Arial" w:cs="Arial"/>
          <w:noProof/>
          <w:sz w:val="20"/>
        </w:rPr>
        <w:t xml:space="preserve">. Exercise-Induced Hypoalgesia and Intensity of Exercise. </w:t>
      </w:r>
      <w:r w:rsidRPr="003D7C1C">
        <w:rPr>
          <w:rFonts w:ascii="Arial" w:hAnsi="Arial" w:cs="Arial"/>
          <w:i/>
          <w:iCs/>
          <w:noProof/>
          <w:sz w:val="20"/>
        </w:rPr>
        <w:t>Sport Med</w:t>
      </w:r>
      <w:r w:rsidRPr="003D7C1C">
        <w:rPr>
          <w:rFonts w:ascii="Arial" w:hAnsi="Arial" w:cs="Arial"/>
          <w:noProof/>
          <w:sz w:val="20"/>
        </w:rPr>
        <w:t xml:space="preserve"> 32: 477–487, 2002.</w:t>
      </w:r>
    </w:p>
    <w:p w14:paraId="5F6B0722"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38. </w:t>
      </w:r>
      <w:r w:rsidRPr="003D7C1C">
        <w:rPr>
          <w:rFonts w:ascii="Arial" w:hAnsi="Arial" w:cs="Arial"/>
          <w:noProof/>
          <w:sz w:val="20"/>
        </w:rPr>
        <w:tab/>
      </w:r>
      <w:r w:rsidRPr="003D7C1C">
        <w:rPr>
          <w:rFonts w:ascii="Arial" w:hAnsi="Arial" w:cs="Arial"/>
          <w:b/>
          <w:bCs/>
          <w:noProof/>
          <w:sz w:val="20"/>
        </w:rPr>
        <w:t>Koltyn KF</w:t>
      </w:r>
      <w:r w:rsidRPr="003D7C1C">
        <w:rPr>
          <w:rFonts w:ascii="Arial" w:hAnsi="Arial" w:cs="Arial"/>
          <w:noProof/>
          <w:sz w:val="20"/>
        </w:rPr>
        <w:t xml:space="preserve">, </w:t>
      </w:r>
      <w:r w:rsidRPr="003D7C1C">
        <w:rPr>
          <w:rFonts w:ascii="Arial" w:hAnsi="Arial" w:cs="Arial"/>
          <w:b/>
          <w:bCs/>
          <w:noProof/>
          <w:sz w:val="20"/>
        </w:rPr>
        <w:t>Arbogast RW</w:t>
      </w:r>
      <w:r w:rsidRPr="003D7C1C">
        <w:rPr>
          <w:rFonts w:ascii="Arial" w:hAnsi="Arial" w:cs="Arial"/>
          <w:noProof/>
          <w:sz w:val="20"/>
        </w:rPr>
        <w:t xml:space="preserve">. Perception of pain after resistance exercise. </w:t>
      </w:r>
      <w:r w:rsidRPr="003D7C1C">
        <w:rPr>
          <w:rFonts w:ascii="Arial" w:hAnsi="Arial" w:cs="Arial"/>
          <w:i/>
          <w:iCs/>
          <w:noProof/>
          <w:sz w:val="20"/>
        </w:rPr>
        <w:t>Br J Sports Med</w:t>
      </w:r>
      <w:r w:rsidRPr="003D7C1C">
        <w:rPr>
          <w:rFonts w:ascii="Arial" w:hAnsi="Arial" w:cs="Arial"/>
          <w:noProof/>
          <w:sz w:val="20"/>
        </w:rPr>
        <w:t xml:space="preserve"> 32: 20–24, 1998.</w:t>
      </w:r>
    </w:p>
    <w:p w14:paraId="27FD944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39. </w:t>
      </w:r>
      <w:r w:rsidRPr="003D7C1C">
        <w:rPr>
          <w:rFonts w:ascii="Arial" w:hAnsi="Arial" w:cs="Arial"/>
          <w:noProof/>
          <w:sz w:val="20"/>
        </w:rPr>
        <w:tab/>
      </w:r>
      <w:r w:rsidRPr="003D7C1C">
        <w:rPr>
          <w:rFonts w:ascii="Arial" w:hAnsi="Arial" w:cs="Arial"/>
          <w:b/>
          <w:bCs/>
          <w:noProof/>
          <w:sz w:val="20"/>
        </w:rPr>
        <w:t>Koltyn KF</w:t>
      </w:r>
      <w:r w:rsidRPr="003D7C1C">
        <w:rPr>
          <w:rFonts w:ascii="Arial" w:hAnsi="Arial" w:cs="Arial"/>
          <w:noProof/>
          <w:sz w:val="20"/>
        </w:rPr>
        <w:t xml:space="preserve">, </w:t>
      </w:r>
      <w:r w:rsidRPr="003D7C1C">
        <w:rPr>
          <w:rFonts w:ascii="Arial" w:hAnsi="Arial" w:cs="Arial"/>
          <w:b/>
          <w:bCs/>
          <w:noProof/>
          <w:sz w:val="20"/>
        </w:rPr>
        <w:t>Brellenthin AG</w:t>
      </w:r>
      <w:r w:rsidRPr="003D7C1C">
        <w:rPr>
          <w:rFonts w:ascii="Arial" w:hAnsi="Arial" w:cs="Arial"/>
          <w:noProof/>
          <w:sz w:val="20"/>
        </w:rPr>
        <w:t xml:space="preserve">, </w:t>
      </w:r>
      <w:r w:rsidRPr="003D7C1C">
        <w:rPr>
          <w:rFonts w:ascii="Arial" w:hAnsi="Arial" w:cs="Arial"/>
          <w:b/>
          <w:bCs/>
          <w:noProof/>
          <w:sz w:val="20"/>
        </w:rPr>
        <w:t>Cook DB</w:t>
      </w:r>
      <w:r w:rsidRPr="003D7C1C">
        <w:rPr>
          <w:rFonts w:ascii="Arial" w:hAnsi="Arial" w:cs="Arial"/>
          <w:noProof/>
          <w:sz w:val="20"/>
        </w:rPr>
        <w:t xml:space="preserve">, </w:t>
      </w:r>
      <w:r w:rsidRPr="003D7C1C">
        <w:rPr>
          <w:rFonts w:ascii="Arial" w:hAnsi="Arial" w:cs="Arial"/>
          <w:b/>
          <w:bCs/>
          <w:noProof/>
          <w:sz w:val="20"/>
        </w:rPr>
        <w:t>Sehgal N</w:t>
      </w:r>
      <w:r w:rsidRPr="003D7C1C">
        <w:rPr>
          <w:rFonts w:ascii="Arial" w:hAnsi="Arial" w:cs="Arial"/>
          <w:noProof/>
          <w:sz w:val="20"/>
        </w:rPr>
        <w:t xml:space="preserve">, </w:t>
      </w:r>
      <w:r w:rsidRPr="003D7C1C">
        <w:rPr>
          <w:rFonts w:ascii="Arial" w:hAnsi="Arial" w:cs="Arial"/>
          <w:b/>
          <w:bCs/>
          <w:noProof/>
          <w:sz w:val="20"/>
        </w:rPr>
        <w:t>Hillard C</w:t>
      </w:r>
      <w:r w:rsidRPr="003D7C1C">
        <w:rPr>
          <w:rFonts w:ascii="Arial" w:hAnsi="Arial" w:cs="Arial"/>
          <w:noProof/>
          <w:sz w:val="20"/>
        </w:rPr>
        <w:t xml:space="preserve">. Mechanisms of Exercise-Induced Hypoalgesia. </w:t>
      </w:r>
      <w:r w:rsidRPr="003D7C1C">
        <w:rPr>
          <w:rFonts w:ascii="Arial" w:hAnsi="Arial" w:cs="Arial"/>
          <w:i/>
          <w:iCs/>
          <w:noProof/>
          <w:sz w:val="20"/>
        </w:rPr>
        <w:t>J Pain</w:t>
      </w:r>
      <w:r w:rsidRPr="003D7C1C">
        <w:rPr>
          <w:rFonts w:ascii="Arial" w:hAnsi="Arial" w:cs="Arial"/>
          <w:noProof/>
          <w:sz w:val="20"/>
        </w:rPr>
        <w:t xml:space="preserve"> 15: 1294–1304, 2014.</w:t>
      </w:r>
    </w:p>
    <w:p w14:paraId="462DEAA4"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40. </w:t>
      </w:r>
      <w:r w:rsidRPr="003D7C1C">
        <w:rPr>
          <w:rFonts w:ascii="Arial" w:hAnsi="Arial" w:cs="Arial"/>
          <w:noProof/>
          <w:sz w:val="20"/>
        </w:rPr>
        <w:tab/>
      </w:r>
      <w:r w:rsidRPr="003D7C1C">
        <w:rPr>
          <w:rFonts w:ascii="Arial" w:hAnsi="Arial" w:cs="Arial"/>
          <w:b/>
          <w:bCs/>
          <w:noProof/>
          <w:sz w:val="20"/>
        </w:rPr>
        <w:t>Koltyn KF</w:t>
      </w:r>
      <w:r w:rsidRPr="003D7C1C">
        <w:rPr>
          <w:rFonts w:ascii="Arial" w:hAnsi="Arial" w:cs="Arial"/>
          <w:noProof/>
          <w:sz w:val="20"/>
        </w:rPr>
        <w:t xml:space="preserve">, </w:t>
      </w:r>
      <w:r w:rsidRPr="003D7C1C">
        <w:rPr>
          <w:rFonts w:ascii="Arial" w:hAnsi="Arial" w:cs="Arial"/>
          <w:b/>
          <w:bCs/>
          <w:noProof/>
          <w:sz w:val="20"/>
        </w:rPr>
        <w:t>Umeda M</w:t>
      </w:r>
      <w:r w:rsidRPr="003D7C1C">
        <w:rPr>
          <w:rFonts w:ascii="Arial" w:hAnsi="Arial" w:cs="Arial"/>
          <w:noProof/>
          <w:sz w:val="20"/>
        </w:rPr>
        <w:t xml:space="preserve">. Exercise, Hypoalgesia and Blood Pressure. </w:t>
      </w:r>
      <w:r w:rsidRPr="003D7C1C">
        <w:rPr>
          <w:rFonts w:ascii="Arial" w:hAnsi="Arial" w:cs="Arial"/>
          <w:i/>
          <w:iCs/>
          <w:noProof/>
          <w:sz w:val="20"/>
        </w:rPr>
        <w:t>Sport Med</w:t>
      </w:r>
      <w:r w:rsidRPr="003D7C1C">
        <w:rPr>
          <w:rFonts w:ascii="Arial" w:hAnsi="Arial" w:cs="Arial"/>
          <w:noProof/>
          <w:sz w:val="20"/>
        </w:rPr>
        <w:t xml:space="preserve"> 36: 207–214, 2006.</w:t>
      </w:r>
    </w:p>
    <w:p w14:paraId="6A8F6BA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41. </w:t>
      </w:r>
      <w:r w:rsidRPr="003D7C1C">
        <w:rPr>
          <w:rFonts w:ascii="Arial" w:hAnsi="Arial" w:cs="Arial"/>
          <w:noProof/>
          <w:sz w:val="20"/>
        </w:rPr>
        <w:tab/>
      </w:r>
      <w:r w:rsidRPr="003D7C1C">
        <w:rPr>
          <w:rFonts w:ascii="Arial" w:hAnsi="Arial" w:cs="Arial"/>
          <w:b/>
          <w:bCs/>
          <w:noProof/>
          <w:sz w:val="20"/>
        </w:rPr>
        <w:t>Korakakis V</w:t>
      </w:r>
      <w:r w:rsidRPr="003D7C1C">
        <w:rPr>
          <w:rFonts w:ascii="Arial" w:hAnsi="Arial" w:cs="Arial"/>
          <w:noProof/>
          <w:sz w:val="20"/>
        </w:rPr>
        <w:t xml:space="preserve">, </w:t>
      </w:r>
      <w:r w:rsidRPr="003D7C1C">
        <w:rPr>
          <w:rFonts w:ascii="Arial" w:hAnsi="Arial" w:cs="Arial"/>
          <w:b/>
          <w:bCs/>
          <w:noProof/>
          <w:sz w:val="20"/>
        </w:rPr>
        <w:t>Whiteley R</w:t>
      </w:r>
      <w:r w:rsidRPr="003D7C1C">
        <w:rPr>
          <w:rFonts w:ascii="Arial" w:hAnsi="Arial" w:cs="Arial"/>
          <w:noProof/>
          <w:sz w:val="20"/>
        </w:rPr>
        <w:t xml:space="preserve">, </w:t>
      </w:r>
      <w:r w:rsidRPr="003D7C1C">
        <w:rPr>
          <w:rFonts w:ascii="Arial" w:hAnsi="Arial" w:cs="Arial"/>
          <w:b/>
          <w:bCs/>
          <w:noProof/>
          <w:sz w:val="20"/>
        </w:rPr>
        <w:t>Epameinontidis K</w:t>
      </w:r>
      <w:r w:rsidRPr="003D7C1C">
        <w:rPr>
          <w:rFonts w:ascii="Arial" w:hAnsi="Arial" w:cs="Arial"/>
          <w:noProof/>
          <w:sz w:val="20"/>
        </w:rPr>
        <w:t xml:space="preserve">. Blood Flow Restriction induces hypoalgesia in recreationally active adult male anterior knee pain patients allowing therapeutic exercise loading. </w:t>
      </w:r>
      <w:r w:rsidRPr="003D7C1C">
        <w:rPr>
          <w:rFonts w:ascii="Arial" w:hAnsi="Arial" w:cs="Arial"/>
          <w:i/>
          <w:iCs/>
          <w:noProof/>
          <w:sz w:val="20"/>
        </w:rPr>
        <w:t>Phys Ther Sport</w:t>
      </w:r>
      <w:r w:rsidRPr="003D7C1C">
        <w:rPr>
          <w:rFonts w:ascii="Arial" w:hAnsi="Arial" w:cs="Arial"/>
          <w:noProof/>
          <w:sz w:val="20"/>
        </w:rPr>
        <w:t xml:space="preserve"> 32: 235–243, 2018.</w:t>
      </w:r>
    </w:p>
    <w:p w14:paraId="1B227403"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42. </w:t>
      </w:r>
      <w:r w:rsidRPr="003D7C1C">
        <w:rPr>
          <w:rFonts w:ascii="Arial" w:hAnsi="Arial" w:cs="Arial"/>
          <w:noProof/>
          <w:sz w:val="20"/>
        </w:rPr>
        <w:tab/>
      </w:r>
      <w:r w:rsidRPr="003D7C1C">
        <w:rPr>
          <w:rFonts w:ascii="Arial" w:hAnsi="Arial" w:cs="Arial"/>
          <w:b/>
          <w:bCs/>
          <w:noProof/>
          <w:sz w:val="20"/>
        </w:rPr>
        <w:t>Korakakis V</w:t>
      </w:r>
      <w:r w:rsidRPr="003D7C1C">
        <w:rPr>
          <w:rFonts w:ascii="Arial" w:hAnsi="Arial" w:cs="Arial"/>
          <w:noProof/>
          <w:sz w:val="20"/>
        </w:rPr>
        <w:t xml:space="preserve">, </w:t>
      </w:r>
      <w:r w:rsidRPr="003D7C1C">
        <w:rPr>
          <w:rFonts w:ascii="Arial" w:hAnsi="Arial" w:cs="Arial"/>
          <w:b/>
          <w:bCs/>
          <w:noProof/>
          <w:sz w:val="20"/>
        </w:rPr>
        <w:t>Whiteley R</w:t>
      </w:r>
      <w:r w:rsidRPr="003D7C1C">
        <w:rPr>
          <w:rFonts w:ascii="Arial" w:hAnsi="Arial" w:cs="Arial"/>
          <w:noProof/>
          <w:sz w:val="20"/>
        </w:rPr>
        <w:t xml:space="preserve">, </w:t>
      </w:r>
      <w:r w:rsidRPr="003D7C1C">
        <w:rPr>
          <w:rFonts w:ascii="Arial" w:hAnsi="Arial" w:cs="Arial"/>
          <w:b/>
          <w:bCs/>
          <w:noProof/>
          <w:sz w:val="20"/>
        </w:rPr>
        <w:t>Giakas G</w:t>
      </w:r>
      <w:r w:rsidRPr="003D7C1C">
        <w:rPr>
          <w:rFonts w:ascii="Arial" w:hAnsi="Arial" w:cs="Arial"/>
          <w:noProof/>
          <w:sz w:val="20"/>
        </w:rPr>
        <w:t xml:space="preserve">. Low load resistance training with blood flow restriction decreases anterior knee pain more than resistance training alone. A pilot randomised controlled trial. </w:t>
      </w:r>
      <w:r w:rsidRPr="003D7C1C">
        <w:rPr>
          <w:rFonts w:ascii="Arial" w:hAnsi="Arial" w:cs="Arial"/>
          <w:i/>
          <w:iCs/>
          <w:noProof/>
          <w:sz w:val="20"/>
        </w:rPr>
        <w:t>Phys Ther Sport</w:t>
      </w:r>
      <w:r w:rsidRPr="003D7C1C">
        <w:rPr>
          <w:rFonts w:ascii="Arial" w:hAnsi="Arial" w:cs="Arial"/>
          <w:noProof/>
          <w:sz w:val="20"/>
        </w:rPr>
        <w:t xml:space="preserve"> 34: 121–128, 2018.</w:t>
      </w:r>
    </w:p>
    <w:p w14:paraId="13C9585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43. </w:t>
      </w:r>
      <w:r w:rsidRPr="003D7C1C">
        <w:rPr>
          <w:rFonts w:ascii="Arial" w:hAnsi="Arial" w:cs="Arial"/>
          <w:noProof/>
          <w:sz w:val="20"/>
        </w:rPr>
        <w:tab/>
      </w:r>
      <w:r w:rsidRPr="003D7C1C">
        <w:rPr>
          <w:rFonts w:ascii="Arial" w:hAnsi="Arial" w:cs="Arial"/>
          <w:b/>
          <w:bCs/>
          <w:noProof/>
          <w:sz w:val="20"/>
        </w:rPr>
        <w:t>Kosek E</w:t>
      </w:r>
      <w:r w:rsidRPr="003D7C1C">
        <w:rPr>
          <w:rFonts w:ascii="Arial" w:hAnsi="Arial" w:cs="Arial"/>
          <w:noProof/>
          <w:sz w:val="20"/>
        </w:rPr>
        <w:t xml:space="preserve">, </w:t>
      </w:r>
      <w:r w:rsidRPr="003D7C1C">
        <w:rPr>
          <w:rFonts w:ascii="Arial" w:hAnsi="Arial" w:cs="Arial"/>
          <w:b/>
          <w:bCs/>
          <w:noProof/>
          <w:sz w:val="20"/>
        </w:rPr>
        <w:t>Lundberg L</w:t>
      </w:r>
      <w:r w:rsidRPr="003D7C1C">
        <w:rPr>
          <w:rFonts w:ascii="Arial" w:hAnsi="Arial" w:cs="Arial"/>
          <w:noProof/>
          <w:sz w:val="20"/>
        </w:rPr>
        <w:t xml:space="preserve">. Segmental and plurisegmental modulation of pressure pain thresholds during static muscle contractions in healthy individuals. </w:t>
      </w:r>
      <w:r w:rsidRPr="003D7C1C">
        <w:rPr>
          <w:rFonts w:ascii="Arial" w:hAnsi="Arial" w:cs="Arial"/>
          <w:i/>
          <w:iCs/>
          <w:noProof/>
          <w:sz w:val="20"/>
        </w:rPr>
        <w:t>Eur J Pain</w:t>
      </w:r>
      <w:r w:rsidRPr="003D7C1C">
        <w:rPr>
          <w:rFonts w:ascii="Arial" w:hAnsi="Arial" w:cs="Arial"/>
          <w:noProof/>
          <w:sz w:val="20"/>
        </w:rPr>
        <w:t xml:space="preserve"> 7: 251–258, 2003.</w:t>
      </w:r>
    </w:p>
    <w:p w14:paraId="2E4F568E"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lastRenderedPageBreak/>
        <w:t xml:space="preserve">44. </w:t>
      </w:r>
      <w:r w:rsidRPr="003D7C1C">
        <w:rPr>
          <w:rFonts w:ascii="Arial" w:hAnsi="Arial" w:cs="Arial"/>
          <w:noProof/>
          <w:sz w:val="20"/>
        </w:rPr>
        <w:tab/>
      </w:r>
      <w:r w:rsidRPr="003D7C1C">
        <w:rPr>
          <w:rFonts w:ascii="Arial" w:hAnsi="Arial" w:cs="Arial"/>
          <w:b/>
          <w:bCs/>
          <w:noProof/>
          <w:sz w:val="20"/>
        </w:rPr>
        <w:t>Loenneke JP</w:t>
      </w:r>
      <w:r w:rsidRPr="003D7C1C">
        <w:rPr>
          <w:rFonts w:ascii="Arial" w:hAnsi="Arial" w:cs="Arial"/>
          <w:noProof/>
          <w:sz w:val="20"/>
        </w:rPr>
        <w:t xml:space="preserve">, </w:t>
      </w:r>
      <w:r w:rsidRPr="003D7C1C">
        <w:rPr>
          <w:rFonts w:ascii="Arial" w:hAnsi="Arial" w:cs="Arial"/>
          <w:b/>
          <w:bCs/>
          <w:noProof/>
          <w:sz w:val="20"/>
        </w:rPr>
        <w:t>Balapur A</w:t>
      </w:r>
      <w:r w:rsidRPr="003D7C1C">
        <w:rPr>
          <w:rFonts w:ascii="Arial" w:hAnsi="Arial" w:cs="Arial"/>
          <w:noProof/>
          <w:sz w:val="20"/>
        </w:rPr>
        <w:t xml:space="preserve">, </w:t>
      </w:r>
      <w:r w:rsidRPr="003D7C1C">
        <w:rPr>
          <w:rFonts w:ascii="Arial" w:hAnsi="Arial" w:cs="Arial"/>
          <w:b/>
          <w:bCs/>
          <w:noProof/>
          <w:sz w:val="20"/>
        </w:rPr>
        <w:t>Thrower AD</w:t>
      </w:r>
      <w:r w:rsidRPr="003D7C1C">
        <w:rPr>
          <w:rFonts w:ascii="Arial" w:hAnsi="Arial" w:cs="Arial"/>
          <w:noProof/>
          <w:sz w:val="20"/>
        </w:rPr>
        <w:t xml:space="preserve">, </w:t>
      </w:r>
      <w:r w:rsidRPr="003D7C1C">
        <w:rPr>
          <w:rFonts w:ascii="Arial" w:hAnsi="Arial" w:cs="Arial"/>
          <w:b/>
          <w:bCs/>
          <w:noProof/>
          <w:sz w:val="20"/>
        </w:rPr>
        <w:t>Barnes JT</w:t>
      </w:r>
      <w:r w:rsidRPr="003D7C1C">
        <w:rPr>
          <w:rFonts w:ascii="Arial" w:hAnsi="Arial" w:cs="Arial"/>
          <w:noProof/>
          <w:sz w:val="20"/>
        </w:rPr>
        <w:t xml:space="preserve">, </w:t>
      </w:r>
      <w:r w:rsidRPr="003D7C1C">
        <w:rPr>
          <w:rFonts w:ascii="Arial" w:hAnsi="Arial" w:cs="Arial"/>
          <w:b/>
          <w:bCs/>
          <w:noProof/>
          <w:sz w:val="20"/>
        </w:rPr>
        <w:t>Pujol TJ</w:t>
      </w:r>
      <w:r w:rsidRPr="003D7C1C">
        <w:rPr>
          <w:rFonts w:ascii="Arial" w:hAnsi="Arial" w:cs="Arial"/>
          <w:noProof/>
          <w:sz w:val="20"/>
        </w:rPr>
        <w:t xml:space="preserve">. The perceptual responses to occluded exercise. </w:t>
      </w:r>
      <w:r w:rsidRPr="003D7C1C">
        <w:rPr>
          <w:rFonts w:ascii="Arial" w:hAnsi="Arial" w:cs="Arial"/>
          <w:i/>
          <w:iCs/>
          <w:noProof/>
          <w:sz w:val="20"/>
        </w:rPr>
        <w:t>Int J Sports Med</w:t>
      </w:r>
      <w:r w:rsidRPr="003D7C1C">
        <w:rPr>
          <w:rFonts w:ascii="Arial" w:hAnsi="Arial" w:cs="Arial"/>
          <w:noProof/>
          <w:sz w:val="20"/>
        </w:rPr>
        <w:t xml:space="preserve"> 32: 181–184, 2011.</w:t>
      </w:r>
    </w:p>
    <w:p w14:paraId="34B8419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45. </w:t>
      </w:r>
      <w:r w:rsidRPr="003D7C1C">
        <w:rPr>
          <w:rFonts w:ascii="Arial" w:hAnsi="Arial" w:cs="Arial"/>
          <w:noProof/>
          <w:sz w:val="20"/>
        </w:rPr>
        <w:tab/>
      </w:r>
      <w:r w:rsidRPr="003D7C1C">
        <w:rPr>
          <w:rFonts w:ascii="Arial" w:hAnsi="Arial" w:cs="Arial"/>
          <w:b/>
          <w:bCs/>
          <w:noProof/>
          <w:sz w:val="20"/>
        </w:rPr>
        <w:t>Loenneke JP</w:t>
      </w:r>
      <w:r w:rsidRPr="003D7C1C">
        <w:rPr>
          <w:rFonts w:ascii="Arial" w:hAnsi="Arial" w:cs="Arial"/>
          <w:noProof/>
          <w:sz w:val="20"/>
        </w:rPr>
        <w:t xml:space="preserve">, </w:t>
      </w:r>
      <w:r w:rsidRPr="003D7C1C">
        <w:rPr>
          <w:rFonts w:ascii="Arial" w:hAnsi="Arial" w:cs="Arial"/>
          <w:b/>
          <w:bCs/>
          <w:noProof/>
          <w:sz w:val="20"/>
        </w:rPr>
        <w:t>Wilson JM</w:t>
      </w:r>
      <w:r w:rsidRPr="003D7C1C">
        <w:rPr>
          <w:rFonts w:ascii="Arial" w:hAnsi="Arial" w:cs="Arial"/>
          <w:noProof/>
          <w:sz w:val="20"/>
        </w:rPr>
        <w:t xml:space="preserve">, </w:t>
      </w:r>
      <w:r w:rsidRPr="003D7C1C">
        <w:rPr>
          <w:rFonts w:ascii="Arial" w:hAnsi="Arial" w:cs="Arial"/>
          <w:b/>
          <w:bCs/>
          <w:noProof/>
          <w:sz w:val="20"/>
        </w:rPr>
        <w:t>Marín PJ</w:t>
      </w:r>
      <w:r w:rsidRPr="003D7C1C">
        <w:rPr>
          <w:rFonts w:ascii="Arial" w:hAnsi="Arial" w:cs="Arial"/>
          <w:noProof/>
          <w:sz w:val="20"/>
        </w:rPr>
        <w:t xml:space="preserve">, </w:t>
      </w:r>
      <w:r w:rsidRPr="003D7C1C">
        <w:rPr>
          <w:rFonts w:ascii="Arial" w:hAnsi="Arial" w:cs="Arial"/>
          <w:b/>
          <w:bCs/>
          <w:noProof/>
          <w:sz w:val="20"/>
        </w:rPr>
        <w:t>Zourdos MC</w:t>
      </w:r>
      <w:r w:rsidRPr="003D7C1C">
        <w:rPr>
          <w:rFonts w:ascii="Arial" w:hAnsi="Arial" w:cs="Arial"/>
          <w:noProof/>
          <w:sz w:val="20"/>
        </w:rPr>
        <w:t xml:space="preserve">, </w:t>
      </w:r>
      <w:r w:rsidRPr="003D7C1C">
        <w:rPr>
          <w:rFonts w:ascii="Arial" w:hAnsi="Arial" w:cs="Arial"/>
          <w:b/>
          <w:bCs/>
          <w:noProof/>
          <w:sz w:val="20"/>
        </w:rPr>
        <w:t>Bemben MG</w:t>
      </w:r>
      <w:r w:rsidRPr="003D7C1C">
        <w:rPr>
          <w:rFonts w:ascii="Arial" w:hAnsi="Arial" w:cs="Arial"/>
          <w:noProof/>
          <w:sz w:val="20"/>
        </w:rPr>
        <w:t xml:space="preserve">. Low intensity blood flow restriction training: A meta-analysis. </w:t>
      </w:r>
      <w:r w:rsidRPr="003D7C1C">
        <w:rPr>
          <w:rFonts w:ascii="Arial" w:hAnsi="Arial" w:cs="Arial"/>
          <w:i/>
          <w:iCs/>
          <w:noProof/>
          <w:sz w:val="20"/>
        </w:rPr>
        <w:t>Eur J Appl Physiol</w:t>
      </w:r>
      <w:r w:rsidRPr="003D7C1C">
        <w:rPr>
          <w:rFonts w:ascii="Arial" w:hAnsi="Arial" w:cs="Arial"/>
          <w:noProof/>
          <w:sz w:val="20"/>
        </w:rPr>
        <w:t xml:space="preserve"> 112: 1849–1859, 2012.</w:t>
      </w:r>
    </w:p>
    <w:p w14:paraId="1BB99DBE"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46. </w:t>
      </w:r>
      <w:r w:rsidRPr="003D7C1C">
        <w:rPr>
          <w:rFonts w:ascii="Arial" w:hAnsi="Arial" w:cs="Arial"/>
          <w:noProof/>
          <w:sz w:val="20"/>
        </w:rPr>
        <w:tab/>
      </w:r>
      <w:r w:rsidRPr="003D7C1C">
        <w:rPr>
          <w:rFonts w:ascii="Arial" w:hAnsi="Arial" w:cs="Arial"/>
          <w:b/>
          <w:bCs/>
          <w:noProof/>
          <w:sz w:val="20"/>
        </w:rPr>
        <w:t>Lundborg G</w:t>
      </w:r>
      <w:r w:rsidRPr="003D7C1C">
        <w:rPr>
          <w:rFonts w:ascii="Arial" w:hAnsi="Arial" w:cs="Arial"/>
          <w:noProof/>
          <w:sz w:val="20"/>
        </w:rPr>
        <w:t xml:space="preserve">. </w:t>
      </w:r>
      <w:r w:rsidRPr="003D7C1C">
        <w:rPr>
          <w:rFonts w:ascii="Arial" w:hAnsi="Arial" w:cs="Arial"/>
          <w:i/>
          <w:iCs/>
          <w:noProof/>
          <w:sz w:val="20"/>
        </w:rPr>
        <w:t>Nerve injury and repair</w:t>
      </w:r>
      <w:r w:rsidRPr="003D7C1C">
        <w:rPr>
          <w:rFonts w:ascii="Arial" w:hAnsi="Arial" w:cs="Arial"/>
          <w:noProof/>
          <w:sz w:val="20"/>
        </w:rPr>
        <w:t>. Edinburgh: Churchill Linvingstone, 1988.</w:t>
      </w:r>
    </w:p>
    <w:p w14:paraId="3AE551F9"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47. </w:t>
      </w:r>
      <w:r w:rsidRPr="003D7C1C">
        <w:rPr>
          <w:rFonts w:ascii="Arial" w:hAnsi="Arial" w:cs="Arial"/>
          <w:noProof/>
          <w:sz w:val="20"/>
        </w:rPr>
        <w:tab/>
      </w:r>
      <w:r w:rsidRPr="003D7C1C">
        <w:rPr>
          <w:rFonts w:ascii="Arial" w:hAnsi="Arial" w:cs="Arial"/>
          <w:b/>
          <w:bCs/>
          <w:noProof/>
          <w:sz w:val="20"/>
        </w:rPr>
        <w:t>Marcora S</w:t>
      </w:r>
      <w:r w:rsidRPr="003D7C1C">
        <w:rPr>
          <w:rFonts w:ascii="Arial" w:hAnsi="Arial" w:cs="Arial"/>
          <w:noProof/>
          <w:sz w:val="20"/>
        </w:rPr>
        <w:t xml:space="preserve">. Perception of effort during exercise is independent of afferent feedback from skeletal muscles, heart, and lungs. </w:t>
      </w:r>
      <w:r w:rsidRPr="003D7C1C">
        <w:rPr>
          <w:rFonts w:ascii="Arial" w:hAnsi="Arial" w:cs="Arial"/>
          <w:i/>
          <w:iCs/>
          <w:noProof/>
          <w:sz w:val="20"/>
        </w:rPr>
        <w:t>J Appl Physiol</w:t>
      </w:r>
      <w:r w:rsidRPr="003D7C1C">
        <w:rPr>
          <w:rFonts w:ascii="Arial" w:hAnsi="Arial" w:cs="Arial"/>
          <w:noProof/>
          <w:sz w:val="20"/>
        </w:rPr>
        <w:t xml:space="preserve"> 106: 2060–2062, 2009.</w:t>
      </w:r>
    </w:p>
    <w:p w14:paraId="0A869008"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48. </w:t>
      </w:r>
      <w:r w:rsidRPr="003D7C1C">
        <w:rPr>
          <w:rFonts w:ascii="Arial" w:hAnsi="Arial" w:cs="Arial"/>
          <w:noProof/>
          <w:sz w:val="20"/>
        </w:rPr>
        <w:tab/>
      </w:r>
      <w:r w:rsidRPr="003D7C1C">
        <w:rPr>
          <w:rFonts w:ascii="Arial" w:hAnsi="Arial" w:cs="Arial"/>
          <w:b/>
          <w:bCs/>
          <w:noProof/>
          <w:sz w:val="20"/>
        </w:rPr>
        <w:t>Martín-Hernández J</w:t>
      </w:r>
      <w:r w:rsidRPr="003D7C1C">
        <w:rPr>
          <w:rFonts w:ascii="Arial" w:hAnsi="Arial" w:cs="Arial"/>
          <w:noProof/>
          <w:sz w:val="20"/>
        </w:rPr>
        <w:t xml:space="preserve">, </w:t>
      </w:r>
      <w:r w:rsidRPr="003D7C1C">
        <w:rPr>
          <w:rFonts w:ascii="Arial" w:hAnsi="Arial" w:cs="Arial"/>
          <w:b/>
          <w:bCs/>
          <w:noProof/>
          <w:sz w:val="20"/>
        </w:rPr>
        <w:t>Ruiz-Aguado J</w:t>
      </w:r>
      <w:r w:rsidRPr="003D7C1C">
        <w:rPr>
          <w:rFonts w:ascii="Arial" w:hAnsi="Arial" w:cs="Arial"/>
          <w:noProof/>
          <w:sz w:val="20"/>
        </w:rPr>
        <w:t xml:space="preserve">, </w:t>
      </w:r>
      <w:r w:rsidRPr="003D7C1C">
        <w:rPr>
          <w:rFonts w:ascii="Arial" w:hAnsi="Arial" w:cs="Arial"/>
          <w:b/>
          <w:bCs/>
          <w:noProof/>
          <w:sz w:val="20"/>
        </w:rPr>
        <w:t>Herrero AJ</w:t>
      </w:r>
      <w:r w:rsidRPr="003D7C1C">
        <w:rPr>
          <w:rFonts w:ascii="Arial" w:hAnsi="Arial" w:cs="Arial"/>
          <w:noProof/>
          <w:sz w:val="20"/>
        </w:rPr>
        <w:t xml:space="preserve">, </w:t>
      </w:r>
      <w:r w:rsidRPr="003D7C1C">
        <w:rPr>
          <w:rFonts w:ascii="Arial" w:hAnsi="Arial" w:cs="Arial"/>
          <w:b/>
          <w:bCs/>
          <w:noProof/>
          <w:sz w:val="20"/>
        </w:rPr>
        <w:t>Loenneke JP</w:t>
      </w:r>
      <w:r w:rsidRPr="003D7C1C">
        <w:rPr>
          <w:rFonts w:ascii="Arial" w:hAnsi="Arial" w:cs="Arial"/>
          <w:noProof/>
          <w:sz w:val="20"/>
        </w:rPr>
        <w:t xml:space="preserve">, </w:t>
      </w:r>
      <w:r w:rsidRPr="003D7C1C">
        <w:rPr>
          <w:rFonts w:ascii="Arial" w:hAnsi="Arial" w:cs="Arial"/>
          <w:b/>
          <w:bCs/>
          <w:noProof/>
          <w:sz w:val="20"/>
        </w:rPr>
        <w:t>Aagaard P</w:t>
      </w:r>
      <w:r w:rsidRPr="003D7C1C">
        <w:rPr>
          <w:rFonts w:ascii="Arial" w:hAnsi="Arial" w:cs="Arial"/>
          <w:noProof/>
          <w:sz w:val="20"/>
        </w:rPr>
        <w:t xml:space="preserve">, </w:t>
      </w:r>
      <w:r w:rsidRPr="003D7C1C">
        <w:rPr>
          <w:rFonts w:ascii="Arial" w:hAnsi="Arial" w:cs="Arial"/>
          <w:b/>
          <w:bCs/>
          <w:noProof/>
          <w:sz w:val="20"/>
        </w:rPr>
        <w:t>Cristi-Montero C</w:t>
      </w:r>
      <w:r w:rsidRPr="003D7C1C">
        <w:rPr>
          <w:rFonts w:ascii="Arial" w:hAnsi="Arial" w:cs="Arial"/>
          <w:noProof/>
          <w:sz w:val="20"/>
        </w:rPr>
        <w:t xml:space="preserve">, </w:t>
      </w:r>
      <w:r w:rsidRPr="003D7C1C">
        <w:rPr>
          <w:rFonts w:ascii="Arial" w:hAnsi="Arial" w:cs="Arial"/>
          <w:b/>
          <w:bCs/>
          <w:noProof/>
          <w:sz w:val="20"/>
        </w:rPr>
        <w:t>Menéndez H</w:t>
      </w:r>
      <w:r w:rsidRPr="003D7C1C">
        <w:rPr>
          <w:rFonts w:ascii="Arial" w:hAnsi="Arial" w:cs="Arial"/>
          <w:noProof/>
          <w:sz w:val="20"/>
        </w:rPr>
        <w:t xml:space="preserve">, </w:t>
      </w:r>
      <w:r w:rsidRPr="003D7C1C">
        <w:rPr>
          <w:rFonts w:ascii="Arial" w:hAnsi="Arial" w:cs="Arial"/>
          <w:b/>
          <w:bCs/>
          <w:noProof/>
          <w:sz w:val="20"/>
        </w:rPr>
        <w:t>Marín PJ</w:t>
      </w:r>
      <w:r w:rsidRPr="003D7C1C">
        <w:rPr>
          <w:rFonts w:ascii="Arial" w:hAnsi="Arial" w:cs="Arial"/>
          <w:noProof/>
          <w:sz w:val="20"/>
        </w:rPr>
        <w:t xml:space="preserve">. Adaptation of perceptual responses to low-load blood flow restriction training. </w:t>
      </w:r>
      <w:r w:rsidRPr="003D7C1C">
        <w:rPr>
          <w:rFonts w:ascii="Arial" w:hAnsi="Arial" w:cs="Arial"/>
          <w:i/>
          <w:iCs/>
          <w:noProof/>
          <w:sz w:val="20"/>
        </w:rPr>
        <w:t>J Strength Cond Res</w:t>
      </w:r>
      <w:r w:rsidRPr="003D7C1C">
        <w:rPr>
          <w:rFonts w:ascii="Arial" w:hAnsi="Arial" w:cs="Arial"/>
          <w:noProof/>
          <w:sz w:val="20"/>
        </w:rPr>
        <w:t xml:space="preserve"> 31: 765–772, 2016.</w:t>
      </w:r>
    </w:p>
    <w:p w14:paraId="67503CD3"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49. </w:t>
      </w:r>
      <w:r w:rsidRPr="003D7C1C">
        <w:rPr>
          <w:rFonts w:ascii="Arial" w:hAnsi="Arial" w:cs="Arial"/>
          <w:noProof/>
          <w:sz w:val="20"/>
        </w:rPr>
        <w:tab/>
      </w:r>
      <w:r w:rsidRPr="003D7C1C">
        <w:rPr>
          <w:rFonts w:ascii="Arial" w:hAnsi="Arial" w:cs="Arial"/>
          <w:b/>
          <w:bCs/>
          <w:noProof/>
          <w:sz w:val="20"/>
        </w:rPr>
        <w:t>McEwen JA</w:t>
      </w:r>
      <w:r w:rsidRPr="003D7C1C">
        <w:rPr>
          <w:rFonts w:ascii="Arial" w:hAnsi="Arial" w:cs="Arial"/>
          <w:noProof/>
          <w:sz w:val="20"/>
        </w:rPr>
        <w:t xml:space="preserve">, </w:t>
      </w:r>
      <w:r w:rsidRPr="003D7C1C">
        <w:rPr>
          <w:rFonts w:ascii="Arial" w:hAnsi="Arial" w:cs="Arial"/>
          <w:b/>
          <w:bCs/>
          <w:noProof/>
          <w:sz w:val="20"/>
        </w:rPr>
        <w:t>Masri BA</w:t>
      </w:r>
      <w:r w:rsidRPr="003D7C1C">
        <w:rPr>
          <w:rFonts w:ascii="Arial" w:hAnsi="Arial" w:cs="Arial"/>
          <w:noProof/>
          <w:sz w:val="20"/>
        </w:rPr>
        <w:t xml:space="preserve">, </w:t>
      </w:r>
      <w:r w:rsidRPr="003D7C1C">
        <w:rPr>
          <w:rFonts w:ascii="Arial" w:hAnsi="Arial" w:cs="Arial"/>
          <w:b/>
          <w:bCs/>
          <w:noProof/>
          <w:sz w:val="20"/>
        </w:rPr>
        <w:t>Day B</w:t>
      </w:r>
      <w:r w:rsidRPr="003D7C1C">
        <w:rPr>
          <w:rFonts w:ascii="Arial" w:hAnsi="Arial" w:cs="Arial"/>
          <w:noProof/>
          <w:sz w:val="20"/>
        </w:rPr>
        <w:t xml:space="preserve">, </w:t>
      </w:r>
      <w:r w:rsidRPr="003D7C1C">
        <w:rPr>
          <w:rFonts w:ascii="Arial" w:hAnsi="Arial" w:cs="Arial"/>
          <w:b/>
          <w:bCs/>
          <w:noProof/>
          <w:sz w:val="20"/>
        </w:rPr>
        <w:t>Younger AS</w:t>
      </w:r>
      <w:r w:rsidRPr="003D7C1C">
        <w:rPr>
          <w:rFonts w:ascii="Arial" w:hAnsi="Arial" w:cs="Arial"/>
          <w:noProof/>
          <w:sz w:val="20"/>
        </w:rPr>
        <w:t xml:space="preserve">, </w:t>
      </w:r>
      <w:r w:rsidRPr="003D7C1C">
        <w:rPr>
          <w:rFonts w:ascii="Arial" w:hAnsi="Arial" w:cs="Arial"/>
          <w:b/>
          <w:bCs/>
          <w:noProof/>
          <w:sz w:val="20"/>
        </w:rPr>
        <w:t>Jaffray DA</w:t>
      </w:r>
      <w:r w:rsidRPr="003D7C1C">
        <w:rPr>
          <w:rFonts w:ascii="Arial" w:hAnsi="Arial" w:cs="Arial"/>
          <w:noProof/>
          <w:sz w:val="20"/>
        </w:rPr>
        <w:t xml:space="preserve">, </w:t>
      </w:r>
      <w:r w:rsidRPr="003D7C1C">
        <w:rPr>
          <w:rFonts w:ascii="Arial" w:hAnsi="Arial" w:cs="Arial"/>
          <w:b/>
          <w:bCs/>
          <w:noProof/>
          <w:sz w:val="20"/>
        </w:rPr>
        <w:t>McEwen JA</w:t>
      </w:r>
      <w:r w:rsidRPr="003D7C1C">
        <w:rPr>
          <w:rFonts w:ascii="Arial" w:hAnsi="Arial" w:cs="Arial"/>
          <w:noProof/>
          <w:sz w:val="20"/>
        </w:rPr>
        <w:t xml:space="preserve">, </w:t>
      </w:r>
      <w:r w:rsidRPr="003D7C1C">
        <w:rPr>
          <w:rFonts w:ascii="Arial" w:hAnsi="Arial" w:cs="Arial"/>
          <w:b/>
          <w:bCs/>
          <w:noProof/>
          <w:sz w:val="20"/>
        </w:rPr>
        <w:t>Masri BA</w:t>
      </w:r>
      <w:r w:rsidRPr="003D7C1C">
        <w:rPr>
          <w:rFonts w:ascii="Arial" w:hAnsi="Arial" w:cs="Arial"/>
          <w:noProof/>
          <w:sz w:val="20"/>
        </w:rPr>
        <w:t xml:space="preserve">, </w:t>
      </w:r>
      <w:r w:rsidRPr="003D7C1C">
        <w:rPr>
          <w:rFonts w:ascii="Arial" w:hAnsi="Arial" w:cs="Arial"/>
          <w:b/>
          <w:bCs/>
          <w:noProof/>
          <w:sz w:val="20"/>
        </w:rPr>
        <w:t>Day B</w:t>
      </w:r>
      <w:r w:rsidRPr="003D7C1C">
        <w:rPr>
          <w:rFonts w:ascii="Arial" w:hAnsi="Arial" w:cs="Arial"/>
          <w:noProof/>
          <w:sz w:val="20"/>
        </w:rPr>
        <w:t xml:space="preserve">, </w:t>
      </w:r>
      <w:r w:rsidRPr="003D7C1C">
        <w:rPr>
          <w:rFonts w:ascii="Arial" w:hAnsi="Arial" w:cs="Arial"/>
          <w:b/>
          <w:bCs/>
          <w:noProof/>
          <w:sz w:val="20"/>
        </w:rPr>
        <w:t>Younger AS</w:t>
      </w:r>
      <w:r w:rsidRPr="003D7C1C">
        <w:rPr>
          <w:rFonts w:ascii="Arial" w:hAnsi="Arial" w:cs="Arial"/>
          <w:noProof/>
          <w:sz w:val="20"/>
        </w:rPr>
        <w:t xml:space="preserve">. World congress on medical physics and biomedical engineering, june 7-12, 2015, Toronto, Canada. </w:t>
      </w:r>
      <w:r w:rsidRPr="003D7C1C">
        <w:rPr>
          <w:rFonts w:ascii="Arial" w:hAnsi="Arial" w:cs="Arial"/>
          <w:i/>
          <w:iCs/>
          <w:noProof/>
          <w:sz w:val="20"/>
        </w:rPr>
        <w:t>IFMBE Proc</w:t>
      </w:r>
      <w:r w:rsidRPr="003D7C1C">
        <w:rPr>
          <w:rFonts w:ascii="Arial" w:hAnsi="Arial" w:cs="Arial"/>
          <w:noProof/>
          <w:sz w:val="20"/>
        </w:rPr>
        <w:t xml:space="preserve"> 51, 2015.</w:t>
      </w:r>
    </w:p>
    <w:p w14:paraId="0C3A5428"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50. </w:t>
      </w:r>
      <w:r w:rsidRPr="003D7C1C">
        <w:rPr>
          <w:rFonts w:ascii="Arial" w:hAnsi="Arial" w:cs="Arial"/>
          <w:noProof/>
          <w:sz w:val="20"/>
        </w:rPr>
        <w:tab/>
      </w:r>
      <w:r w:rsidRPr="003D7C1C">
        <w:rPr>
          <w:rFonts w:ascii="Arial" w:hAnsi="Arial" w:cs="Arial"/>
          <w:b/>
          <w:bCs/>
          <w:noProof/>
          <w:sz w:val="20"/>
        </w:rPr>
        <w:t>Miller RD</w:t>
      </w:r>
      <w:r w:rsidRPr="003D7C1C">
        <w:rPr>
          <w:rFonts w:ascii="Arial" w:hAnsi="Arial" w:cs="Arial"/>
          <w:noProof/>
          <w:sz w:val="20"/>
        </w:rPr>
        <w:t xml:space="preserve">. </w:t>
      </w:r>
      <w:r w:rsidRPr="003D7C1C">
        <w:rPr>
          <w:rFonts w:ascii="Arial" w:hAnsi="Arial" w:cs="Arial"/>
          <w:i/>
          <w:iCs/>
          <w:noProof/>
          <w:sz w:val="20"/>
        </w:rPr>
        <w:t>Miller’s Anesthesia</w:t>
      </w:r>
      <w:r w:rsidRPr="003D7C1C">
        <w:rPr>
          <w:rFonts w:ascii="Arial" w:hAnsi="Arial" w:cs="Arial"/>
          <w:noProof/>
          <w:sz w:val="20"/>
        </w:rPr>
        <w:t>. 6th ed. Pennsylvania: Elsevier, 2005.</w:t>
      </w:r>
    </w:p>
    <w:p w14:paraId="34BB2C6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51. </w:t>
      </w:r>
      <w:r w:rsidRPr="003D7C1C">
        <w:rPr>
          <w:rFonts w:ascii="Arial" w:hAnsi="Arial" w:cs="Arial"/>
          <w:noProof/>
          <w:sz w:val="20"/>
        </w:rPr>
        <w:tab/>
      </w:r>
      <w:r w:rsidRPr="003D7C1C">
        <w:rPr>
          <w:rFonts w:ascii="Arial" w:hAnsi="Arial" w:cs="Arial"/>
          <w:b/>
          <w:bCs/>
          <w:noProof/>
          <w:sz w:val="20"/>
        </w:rPr>
        <w:t>Mogil JS</w:t>
      </w:r>
      <w:r w:rsidRPr="003D7C1C">
        <w:rPr>
          <w:rFonts w:ascii="Arial" w:hAnsi="Arial" w:cs="Arial"/>
          <w:noProof/>
          <w:sz w:val="20"/>
        </w:rPr>
        <w:t xml:space="preserve">, </w:t>
      </w:r>
      <w:r w:rsidRPr="003D7C1C">
        <w:rPr>
          <w:rFonts w:ascii="Arial" w:hAnsi="Arial" w:cs="Arial"/>
          <w:b/>
          <w:bCs/>
          <w:noProof/>
          <w:sz w:val="20"/>
        </w:rPr>
        <w:t>Belknap JK</w:t>
      </w:r>
      <w:r w:rsidRPr="003D7C1C">
        <w:rPr>
          <w:rFonts w:ascii="Arial" w:hAnsi="Arial" w:cs="Arial"/>
          <w:noProof/>
          <w:sz w:val="20"/>
        </w:rPr>
        <w:t xml:space="preserve">. Sex and genotype determine the selective activation of neurochemically-distinct mechanisms of swim stress-induced analgesia. </w:t>
      </w:r>
      <w:r w:rsidRPr="003D7C1C">
        <w:rPr>
          <w:rFonts w:ascii="Arial" w:hAnsi="Arial" w:cs="Arial"/>
          <w:i/>
          <w:iCs/>
          <w:noProof/>
          <w:sz w:val="20"/>
        </w:rPr>
        <w:t>Pharmacol Biochem Behav</w:t>
      </w:r>
      <w:r w:rsidRPr="003D7C1C">
        <w:rPr>
          <w:rFonts w:ascii="Arial" w:hAnsi="Arial" w:cs="Arial"/>
          <w:noProof/>
          <w:sz w:val="20"/>
        </w:rPr>
        <w:t xml:space="preserve"> 56: 61–66, 1996.</w:t>
      </w:r>
    </w:p>
    <w:p w14:paraId="0BA3CCF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52. </w:t>
      </w:r>
      <w:r w:rsidRPr="003D7C1C">
        <w:rPr>
          <w:rFonts w:ascii="Arial" w:hAnsi="Arial" w:cs="Arial"/>
          <w:noProof/>
          <w:sz w:val="20"/>
        </w:rPr>
        <w:tab/>
      </w:r>
      <w:r w:rsidRPr="003D7C1C">
        <w:rPr>
          <w:rFonts w:ascii="Arial" w:hAnsi="Arial" w:cs="Arial"/>
          <w:b/>
          <w:bCs/>
          <w:noProof/>
          <w:sz w:val="20"/>
        </w:rPr>
        <w:t>Mutlu EK</w:t>
      </w:r>
      <w:r w:rsidRPr="003D7C1C">
        <w:rPr>
          <w:rFonts w:ascii="Arial" w:hAnsi="Arial" w:cs="Arial"/>
          <w:noProof/>
          <w:sz w:val="20"/>
        </w:rPr>
        <w:t xml:space="preserve">, </w:t>
      </w:r>
      <w:r w:rsidRPr="003D7C1C">
        <w:rPr>
          <w:rFonts w:ascii="Arial" w:hAnsi="Arial" w:cs="Arial"/>
          <w:b/>
          <w:bCs/>
          <w:noProof/>
          <w:sz w:val="20"/>
        </w:rPr>
        <w:t>Ozdincler AR</w:t>
      </w:r>
      <w:r w:rsidRPr="003D7C1C">
        <w:rPr>
          <w:rFonts w:ascii="Arial" w:hAnsi="Arial" w:cs="Arial"/>
          <w:noProof/>
          <w:sz w:val="20"/>
        </w:rPr>
        <w:t xml:space="preserve">. Reliability and responsiveness of algometry for measuring pressure pain threshold in patients with knee osteoarthritis. </w:t>
      </w:r>
      <w:r w:rsidRPr="003D7C1C">
        <w:rPr>
          <w:rFonts w:ascii="Arial" w:hAnsi="Arial" w:cs="Arial"/>
          <w:i/>
          <w:iCs/>
          <w:noProof/>
          <w:sz w:val="20"/>
        </w:rPr>
        <w:t>J Phys Ther Sci</w:t>
      </w:r>
      <w:r w:rsidRPr="003D7C1C">
        <w:rPr>
          <w:rFonts w:ascii="Arial" w:hAnsi="Arial" w:cs="Arial"/>
          <w:noProof/>
          <w:sz w:val="20"/>
        </w:rPr>
        <w:t xml:space="preserve"> 27: 1961–1965, 2015.</w:t>
      </w:r>
    </w:p>
    <w:p w14:paraId="25FA7C71"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53. </w:t>
      </w:r>
      <w:r w:rsidRPr="003D7C1C">
        <w:rPr>
          <w:rFonts w:ascii="Arial" w:hAnsi="Arial" w:cs="Arial"/>
          <w:noProof/>
          <w:sz w:val="20"/>
        </w:rPr>
        <w:tab/>
      </w:r>
      <w:r w:rsidRPr="003D7C1C">
        <w:rPr>
          <w:rFonts w:ascii="Arial" w:hAnsi="Arial" w:cs="Arial"/>
          <w:b/>
          <w:bCs/>
          <w:noProof/>
          <w:sz w:val="20"/>
        </w:rPr>
        <w:t>Naugle KM</w:t>
      </w:r>
      <w:r w:rsidRPr="003D7C1C">
        <w:rPr>
          <w:rFonts w:ascii="Arial" w:hAnsi="Arial" w:cs="Arial"/>
          <w:noProof/>
          <w:sz w:val="20"/>
        </w:rPr>
        <w:t xml:space="preserve">, </w:t>
      </w:r>
      <w:r w:rsidRPr="003D7C1C">
        <w:rPr>
          <w:rFonts w:ascii="Arial" w:hAnsi="Arial" w:cs="Arial"/>
          <w:b/>
          <w:bCs/>
          <w:noProof/>
          <w:sz w:val="20"/>
        </w:rPr>
        <w:t>Fillingim RB</w:t>
      </w:r>
      <w:r w:rsidRPr="003D7C1C">
        <w:rPr>
          <w:rFonts w:ascii="Arial" w:hAnsi="Arial" w:cs="Arial"/>
          <w:noProof/>
          <w:sz w:val="20"/>
        </w:rPr>
        <w:t xml:space="preserve">, </w:t>
      </w:r>
      <w:r w:rsidRPr="003D7C1C">
        <w:rPr>
          <w:rFonts w:ascii="Arial" w:hAnsi="Arial" w:cs="Arial"/>
          <w:b/>
          <w:bCs/>
          <w:noProof/>
          <w:sz w:val="20"/>
        </w:rPr>
        <w:t>Riley JL</w:t>
      </w:r>
      <w:r w:rsidRPr="003D7C1C">
        <w:rPr>
          <w:rFonts w:ascii="Arial" w:hAnsi="Arial" w:cs="Arial"/>
          <w:noProof/>
          <w:sz w:val="20"/>
        </w:rPr>
        <w:t xml:space="preserve">. A Meta-Analytic Review of the Hypoalgesic Effects of Exercise. </w:t>
      </w:r>
      <w:r w:rsidRPr="003D7C1C">
        <w:rPr>
          <w:rFonts w:ascii="Arial" w:hAnsi="Arial" w:cs="Arial"/>
          <w:i/>
          <w:iCs/>
          <w:noProof/>
          <w:sz w:val="20"/>
        </w:rPr>
        <w:t>J Pain</w:t>
      </w:r>
      <w:r w:rsidRPr="003D7C1C">
        <w:rPr>
          <w:rFonts w:ascii="Arial" w:hAnsi="Arial" w:cs="Arial"/>
          <w:noProof/>
          <w:sz w:val="20"/>
        </w:rPr>
        <w:t xml:space="preserve"> 13: 1139–1150, 2012.</w:t>
      </w:r>
    </w:p>
    <w:p w14:paraId="1584BFB0"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54. </w:t>
      </w:r>
      <w:r w:rsidRPr="003D7C1C">
        <w:rPr>
          <w:rFonts w:ascii="Arial" w:hAnsi="Arial" w:cs="Arial"/>
          <w:noProof/>
          <w:sz w:val="20"/>
        </w:rPr>
        <w:tab/>
      </w:r>
      <w:r w:rsidRPr="003D7C1C">
        <w:rPr>
          <w:rFonts w:ascii="Arial" w:hAnsi="Arial" w:cs="Arial"/>
          <w:b/>
          <w:bCs/>
          <w:noProof/>
          <w:sz w:val="20"/>
        </w:rPr>
        <w:t>Patterson SD</w:t>
      </w:r>
      <w:r w:rsidRPr="003D7C1C">
        <w:rPr>
          <w:rFonts w:ascii="Arial" w:hAnsi="Arial" w:cs="Arial"/>
          <w:noProof/>
          <w:sz w:val="20"/>
        </w:rPr>
        <w:t xml:space="preserve">, </w:t>
      </w:r>
      <w:r w:rsidRPr="003D7C1C">
        <w:rPr>
          <w:rFonts w:ascii="Arial" w:hAnsi="Arial" w:cs="Arial"/>
          <w:b/>
          <w:bCs/>
          <w:noProof/>
          <w:sz w:val="20"/>
        </w:rPr>
        <w:t>Hughes L</w:t>
      </w:r>
      <w:r w:rsidRPr="003D7C1C">
        <w:rPr>
          <w:rFonts w:ascii="Arial" w:hAnsi="Arial" w:cs="Arial"/>
          <w:noProof/>
          <w:sz w:val="20"/>
        </w:rPr>
        <w:t xml:space="preserve">, </w:t>
      </w:r>
      <w:r w:rsidRPr="003D7C1C">
        <w:rPr>
          <w:rFonts w:ascii="Arial" w:hAnsi="Arial" w:cs="Arial"/>
          <w:b/>
          <w:bCs/>
          <w:noProof/>
          <w:sz w:val="20"/>
        </w:rPr>
        <w:t>Warmington S</w:t>
      </w:r>
      <w:r w:rsidRPr="003D7C1C">
        <w:rPr>
          <w:rFonts w:ascii="Arial" w:hAnsi="Arial" w:cs="Arial"/>
          <w:noProof/>
          <w:sz w:val="20"/>
        </w:rPr>
        <w:t xml:space="preserve">, </w:t>
      </w:r>
      <w:r w:rsidRPr="003D7C1C">
        <w:rPr>
          <w:rFonts w:ascii="Arial" w:hAnsi="Arial" w:cs="Arial"/>
          <w:b/>
          <w:bCs/>
          <w:noProof/>
          <w:sz w:val="20"/>
        </w:rPr>
        <w:t>Burr J</w:t>
      </w:r>
      <w:r w:rsidRPr="003D7C1C">
        <w:rPr>
          <w:rFonts w:ascii="Arial" w:hAnsi="Arial" w:cs="Arial"/>
          <w:noProof/>
          <w:sz w:val="20"/>
        </w:rPr>
        <w:t xml:space="preserve">, </w:t>
      </w:r>
      <w:r w:rsidRPr="003D7C1C">
        <w:rPr>
          <w:rFonts w:ascii="Arial" w:hAnsi="Arial" w:cs="Arial"/>
          <w:b/>
          <w:bCs/>
          <w:noProof/>
          <w:sz w:val="20"/>
        </w:rPr>
        <w:t>Scott BR</w:t>
      </w:r>
      <w:r w:rsidRPr="003D7C1C">
        <w:rPr>
          <w:rFonts w:ascii="Arial" w:hAnsi="Arial" w:cs="Arial"/>
          <w:noProof/>
          <w:sz w:val="20"/>
        </w:rPr>
        <w:t xml:space="preserve">, </w:t>
      </w:r>
      <w:r w:rsidRPr="003D7C1C">
        <w:rPr>
          <w:rFonts w:ascii="Arial" w:hAnsi="Arial" w:cs="Arial"/>
          <w:b/>
          <w:bCs/>
          <w:noProof/>
          <w:sz w:val="20"/>
        </w:rPr>
        <w:t>Owens J</w:t>
      </w:r>
      <w:r w:rsidRPr="003D7C1C">
        <w:rPr>
          <w:rFonts w:ascii="Arial" w:hAnsi="Arial" w:cs="Arial"/>
          <w:noProof/>
          <w:sz w:val="20"/>
        </w:rPr>
        <w:t xml:space="preserve">, </w:t>
      </w:r>
      <w:r w:rsidRPr="003D7C1C">
        <w:rPr>
          <w:rFonts w:ascii="Arial" w:hAnsi="Arial" w:cs="Arial"/>
          <w:b/>
          <w:bCs/>
          <w:noProof/>
          <w:sz w:val="20"/>
        </w:rPr>
        <w:t>Abe T</w:t>
      </w:r>
      <w:r w:rsidRPr="003D7C1C">
        <w:rPr>
          <w:rFonts w:ascii="Arial" w:hAnsi="Arial" w:cs="Arial"/>
          <w:noProof/>
          <w:sz w:val="20"/>
        </w:rPr>
        <w:t xml:space="preserve">, </w:t>
      </w:r>
      <w:r w:rsidRPr="003D7C1C">
        <w:rPr>
          <w:rFonts w:ascii="Arial" w:hAnsi="Arial" w:cs="Arial"/>
          <w:b/>
          <w:bCs/>
          <w:noProof/>
          <w:sz w:val="20"/>
        </w:rPr>
        <w:t>Nielsen JL</w:t>
      </w:r>
      <w:r w:rsidRPr="003D7C1C">
        <w:rPr>
          <w:rFonts w:ascii="Arial" w:hAnsi="Arial" w:cs="Arial"/>
          <w:noProof/>
          <w:sz w:val="20"/>
        </w:rPr>
        <w:t xml:space="preserve">, </w:t>
      </w:r>
      <w:r w:rsidRPr="003D7C1C">
        <w:rPr>
          <w:rFonts w:ascii="Arial" w:hAnsi="Arial" w:cs="Arial"/>
          <w:b/>
          <w:bCs/>
          <w:noProof/>
          <w:sz w:val="20"/>
        </w:rPr>
        <w:t>Libardi CA</w:t>
      </w:r>
      <w:r w:rsidRPr="003D7C1C">
        <w:rPr>
          <w:rFonts w:ascii="Arial" w:hAnsi="Arial" w:cs="Arial"/>
          <w:noProof/>
          <w:sz w:val="20"/>
        </w:rPr>
        <w:t xml:space="preserve">, </w:t>
      </w:r>
      <w:r w:rsidRPr="003D7C1C">
        <w:rPr>
          <w:rFonts w:ascii="Arial" w:hAnsi="Arial" w:cs="Arial"/>
          <w:b/>
          <w:bCs/>
          <w:noProof/>
          <w:sz w:val="20"/>
        </w:rPr>
        <w:t>Laurentino G</w:t>
      </w:r>
      <w:r w:rsidRPr="003D7C1C">
        <w:rPr>
          <w:rFonts w:ascii="Arial" w:hAnsi="Arial" w:cs="Arial"/>
          <w:noProof/>
          <w:sz w:val="20"/>
        </w:rPr>
        <w:t xml:space="preserve">, </w:t>
      </w:r>
      <w:r w:rsidRPr="003D7C1C">
        <w:rPr>
          <w:rFonts w:ascii="Arial" w:hAnsi="Arial" w:cs="Arial"/>
          <w:b/>
          <w:bCs/>
          <w:noProof/>
          <w:sz w:val="20"/>
        </w:rPr>
        <w:t>Neto GR</w:t>
      </w:r>
      <w:r w:rsidRPr="003D7C1C">
        <w:rPr>
          <w:rFonts w:ascii="Arial" w:hAnsi="Arial" w:cs="Arial"/>
          <w:noProof/>
          <w:sz w:val="20"/>
        </w:rPr>
        <w:t xml:space="preserve">, </w:t>
      </w:r>
      <w:r w:rsidRPr="003D7C1C">
        <w:rPr>
          <w:rFonts w:ascii="Arial" w:hAnsi="Arial" w:cs="Arial"/>
          <w:b/>
          <w:bCs/>
          <w:noProof/>
          <w:sz w:val="20"/>
        </w:rPr>
        <w:t>Brandner C</w:t>
      </w:r>
      <w:r w:rsidRPr="003D7C1C">
        <w:rPr>
          <w:rFonts w:ascii="Arial" w:hAnsi="Arial" w:cs="Arial"/>
          <w:noProof/>
          <w:sz w:val="20"/>
        </w:rPr>
        <w:t xml:space="preserve">, </w:t>
      </w:r>
      <w:r w:rsidRPr="003D7C1C">
        <w:rPr>
          <w:rFonts w:ascii="Arial" w:hAnsi="Arial" w:cs="Arial"/>
          <w:b/>
          <w:bCs/>
          <w:noProof/>
          <w:sz w:val="20"/>
        </w:rPr>
        <w:t>Martin-Hernandez J</w:t>
      </w:r>
      <w:r w:rsidRPr="003D7C1C">
        <w:rPr>
          <w:rFonts w:ascii="Arial" w:hAnsi="Arial" w:cs="Arial"/>
          <w:noProof/>
          <w:sz w:val="20"/>
        </w:rPr>
        <w:t xml:space="preserve">, </w:t>
      </w:r>
      <w:r w:rsidRPr="003D7C1C">
        <w:rPr>
          <w:rFonts w:ascii="Arial" w:hAnsi="Arial" w:cs="Arial"/>
          <w:b/>
          <w:bCs/>
          <w:noProof/>
          <w:sz w:val="20"/>
        </w:rPr>
        <w:t>Loenneke J</w:t>
      </w:r>
      <w:r w:rsidRPr="003D7C1C">
        <w:rPr>
          <w:rFonts w:ascii="Arial" w:hAnsi="Arial" w:cs="Arial"/>
          <w:noProof/>
          <w:sz w:val="20"/>
        </w:rPr>
        <w:t xml:space="preserve">. Blood flow restriction exercise: Considerations of Methodology, Application, and Safety. </w:t>
      </w:r>
      <w:r w:rsidRPr="003D7C1C">
        <w:rPr>
          <w:rFonts w:ascii="Arial" w:hAnsi="Arial" w:cs="Arial"/>
          <w:i/>
          <w:iCs/>
          <w:noProof/>
          <w:sz w:val="20"/>
        </w:rPr>
        <w:t>Front. Physiol.</w:t>
      </w:r>
      <w:r w:rsidRPr="003D7C1C">
        <w:rPr>
          <w:rFonts w:ascii="Arial" w:hAnsi="Arial" w:cs="Arial"/>
          <w:noProof/>
          <w:sz w:val="20"/>
        </w:rPr>
        <w:t xml:space="preserve"> (2019). doi: 10.3389/fphys.2019.00533.</w:t>
      </w:r>
    </w:p>
    <w:p w14:paraId="20BA851A"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55. </w:t>
      </w:r>
      <w:r w:rsidRPr="003D7C1C">
        <w:rPr>
          <w:rFonts w:ascii="Arial" w:hAnsi="Arial" w:cs="Arial"/>
          <w:noProof/>
          <w:sz w:val="20"/>
        </w:rPr>
        <w:tab/>
      </w:r>
      <w:r w:rsidRPr="003D7C1C">
        <w:rPr>
          <w:rFonts w:ascii="Arial" w:hAnsi="Arial" w:cs="Arial"/>
          <w:b/>
          <w:bCs/>
          <w:noProof/>
          <w:sz w:val="20"/>
        </w:rPr>
        <w:t>Petrosino S</w:t>
      </w:r>
      <w:r w:rsidRPr="003D7C1C">
        <w:rPr>
          <w:rFonts w:ascii="Arial" w:hAnsi="Arial" w:cs="Arial"/>
          <w:noProof/>
          <w:sz w:val="20"/>
        </w:rPr>
        <w:t xml:space="preserve">, </w:t>
      </w:r>
      <w:r w:rsidRPr="003D7C1C">
        <w:rPr>
          <w:rFonts w:ascii="Arial" w:hAnsi="Arial" w:cs="Arial"/>
          <w:b/>
          <w:bCs/>
          <w:noProof/>
          <w:sz w:val="20"/>
        </w:rPr>
        <w:t>Ligresti A</w:t>
      </w:r>
      <w:r w:rsidRPr="003D7C1C">
        <w:rPr>
          <w:rFonts w:ascii="Arial" w:hAnsi="Arial" w:cs="Arial"/>
          <w:noProof/>
          <w:sz w:val="20"/>
        </w:rPr>
        <w:t xml:space="preserve">, </w:t>
      </w:r>
      <w:r w:rsidRPr="003D7C1C">
        <w:rPr>
          <w:rFonts w:ascii="Arial" w:hAnsi="Arial" w:cs="Arial"/>
          <w:b/>
          <w:bCs/>
          <w:noProof/>
          <w:sz w:val="20"/>
        </w:rPr>
        <w:t>Di Marzo V</w:t>
      </w:r>
      <w:r w:rsidRPr="003D7C1C">
        <w:rPr>
          <w:rFonts w:ascii="Arial" w:hAnsi="Arial" w:cs="Arial"/>
          <w:noProof/>
          <w:sz w:val="20"/>
        </w:rPr>
        <w:t xml:space="preserve">. Endocannabinoid chemical biology: a tool for the development of novel therapies. </w:t>
      </w:r>
      <w:r w:rsidRPr="003D7C1C">
        <w:rPr>
          <w:rFonts w:ascii="Arial" w:hAnsi="Arial" w:cs="Arial"/>
          <w:i/>
          <w:iCs/>
          <w:noProof/>
          <w:sz w:val="20"/>
        </w:rPr>
        <w:t>Curr Opin Chem Biol</w:t>
      </w:r>
      <w:r w:rsidRPr="003D7C1C">
        <w:rPr>
          <w:rFonts w:ascii="Arial" w:hAnsi="Arial" w:cs="Arial"/>
          <w:noProof/>
          <w:sz w:val="20"/>
        </w:rPr>
        <w:t xml:space="preserve"> 13: 309–320, 2009.</w:t>
      </w:r>
    </w:p>
    <w:p w14:paraId="2E90F8D5"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56. </w:t>
      </w:r>
      <w:r w:rsidRPr="003D7C1C">
        <w:rPr>
          <w:rFonts w:ascii="Arial" w:hAnsi="Arial" w:cs="Arial"/>
          <w:noProof/>
          <w:sz w:val="20"/>
        </w:rPr>
        <w:tab/>
      </w:r>
      <w:r w:rsidRPr="003D7C1C">
        <w:rPr>
          <w:rFonts w:ascii="Arial" w:hAnsi="Arial" w:cs="Arial"/>
          <w:b/>
          <w:bCs/>
          <w:noProof/>
          <w:sz w:val="20"/>
        </w:rPr>
        <w:t>Pollak KA</w:t>
      </w:r>
      <w:r w:rsidRPr="003D7C1C">
        <w:rPr>
          <w:rFonts w:ascii="Arial" w:hAnsi="Arial" w:cs="Arial"/>
          <w:noProof/>
          <w:sz w:val="20"/>
        </w:rPr>
        <w:t xml:space="preserve">, </w:t>
      </w:r>
      <w:r w:rsidRPr="003D7C1C">
        <w:rPr>
          <w:rFonts w:ascii="Arial" w:hAnsi="Arial" w:cs="Arial"/>
          <w:b/>
          <w:bCs/>
          <w:noProof/>
          <w:sz w:val="20"/>
        </w:rPr>
        <w:t>Swenson JD</w:t>
      </w:r>
      <w:r w:rsidRPr="003D7C1C">
        <w:rPr>
          <w:rFonts w:ascii="Arial" w:hAnsi="Arial" w:cs="Arial"/>
          <w:noProof/>
          <w:sz w:val="20"/>
        </w:rPr>
        <w:t xml:space="preserve">, </w:t>
      </w:r>
      <w:r w:rsidRPr="003D7C1C">
        <w:rPr>
          <w:rFonts w:ascii="Arial" w:hAnsi="Arial" w:cs="Arial"/>
          <w:b/>
          <w:bCs/>
          <w:noProof/>
          <w:sz w:val="20"/>
        </w:rPr>
        <w:t>Vanhaitsma TA</w:t>
      </w:r>
      <w:r w:rsidRPr="003D7C1C">
        <w:rPr>
          <w:rFonts w:ascii="Arial" w:hAnsi="Arial" w:cs="Arial"/>
          <w:noProof/>
          <w:sz w:val="20"/>
        </w:rPr>
        <w:t xml:space="preserve">, </w:t>
      </w:r>
      <w:r w:rsidRPr="003D7C1C">
        <w:rPr>
          <w:rFonts w:ascii="Arial" w:hAnsi="Arial" w:cs="Arial"/>
          <w:b/>
          <w:bCs/>
          <w:noProof/>
          <w:sz w:val="20"/>
        </w:rPr>
        <w:t>Hughen RW</w:t>
      </w:r>
      <w:r w:rsidRPr="003D7C1C">
        <w:rPr>
          <w:rFonts w:ascii="Arial" w:hAnsi="Arial" w:cs="Arial"/>
          <w:noProof/>
          <w:sz w:val="20"/>
        </w:rPr>
        <w:t xml:space="preserve">, </w:t>
      </w:r>
      <w:r w:rsidRPr="003D7C1C">
        <w:rPr>
          <w:rFonts w:ascii="Arial" w:hAnsi="Arial" w:cs="Arial"/>
          <w:b/>
          <w:bCs/>
          <w:noProof/>
          <w:sz w:val="20"/>
        </w:rPr>
        <w:t>Jo D</w:t>
      </w:r>
      <w:r w:rsidRPr="003D7C1C">
        <w:rPr>
          <w:rFonts w:ascii="Arial" w:hAnsi="Arial" w:cs="Arial"/>
          <w:noProof/>
          <w:sz w:val="20"/>
        </w:rPr>
        <w:t xml:space="preserve">, </w:t>
      </w:r>
      <w:r w:rsidRPr="003D7C1C">
        <w:rPr>
          <w:rFonts w:ascii="Arial" w:hAnsi="Arial" w:cs="Arial"/>
          <w:b/>
          <w:bCs/>
          <w:noProof/>
          <w:sz w:val="20"/>
        </w:rPr>
        <w:t>Light C</w:t>
      </w:r>
      <w:r w:rsidRPr="003D7C1C">
        <w:rPr>
          <w:rFonts w:ascii="Arial" w:hAnsi="Arial" w:cs="Arial"/>
          <w:noProof/>
          <w:sz w:val="20"/>
        </w:rPr>
        <w:t xml:space="preserve">, </w:t>
      </w:r>
      <w:r w:rsidRPr="003D7C1C">
        <w:rPr>
          <w:rFonts w:ascii="Arial" w:hAnsi="Arial" w:cs="Arial"/>
          <w:b/>
          <w:bCs/>
          <w:noProof/>
          <w:sz w:val="20"/>
        </w:rPr>
        <w:t>Schweinhardt P</w:t>
      </w:r>
      <w:r w:rsidRPr="003D7C1C">
        <w:rPr>
          <w:rFonts w:ascii="Arial" w:hAnsi="Arial" w:cs="Arial"/>
          <w:noProof/>
          <w:sz w:val="20"/>
        </w:rPr>
        <w:t xml:space="preserve">, </w:t>
      </w:r>
      <w:r w:rsidRPr="003D7C1C">
        <w:rPr>
          <w:rFonts w:ascii="Arial" w:hAnsi="Arial" w:cs="Arial"/>
          <w:b/>
          <w:bCs/>
          <w:noProof/>
          <w:sz w:val="20"/>
        </w:rPr>
        <w:t>Amann M</w:t>
      </w:r>
      <w:r w:rsidRPr="003D7C1C">
        <w:rPr>
          <w:rFonts w:ascii="Arial" w:hAnsi="Arial" w:cs="Arial"/>
          <w:noProof/>
          <w:sz w:val="20"/>
        </w:rPr>
        <w:t xml:space="preserve">, </w:t>
      </w:r>
      <w:r w:rsidRPr="003D7C1C">
        <w:rPr>
          <w:rFonts w:ascii="Arial" w:hAnsi="Arial" w:cs="Arial"/>
          <w:b/>
          <w:bCs/>
          <w:noProof/>
          <w:sz w:val="20"/>
        </w:rPr>
        <w:t>Light AR</w:t>
      </w:r>
      <w:r w:rsidRPr="003D7C1C">
        <w:rPr>
          <w:rFonts w:ascii="Arial" w:hAnsi="Arial" w:cs="Arial"/>
          <w:noProof/>
          <w:sz w:val="20"/>
        </w:rPr>
        <w:t xml:space="preserve">. Exogenously applied muscle metabolites synergistically evoke sensations of muscle fatigue and pain in human subjects. </w:t>
      </w:r>
      <w:r w:rsidRPr="003D7C1C">
        <w:rPr>
          <w:rFonts w:ascii="Arial" w:hAnsi="Arial" w:cs="Arial"/>
          <w:i/>
          <w:iCs/>
          <w:noProof/>
          <w:sz w:val="20"/>
        </w:rPr>
        <w:t>Exp Physiol</w:t>
      </w:r>
      <w:r w:rsidRPr="003D7C1C">
        <w:rPr>
          <w:rFonts w:ascii="Arial" w:hAnsi="Arial" w:cs="Arial"/>
          <w:noProof/>
          <w:sz w:val="20"/>
        </w:rPr>
        <w:t xml:space="preserve"> 2: 368–380, 2014.</w:t>
      </w:r>
    </w:p>
    <w:p w14:paraId="0AA6DAA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57. </w:t>
      </w:r>
      <w:r w:rsidRPr="003D7C1C">
        <w:rPr>
          <w:rFonts w:ascii="Arial" w:hAnsi="Arial" w:cs="Arial"/>
          <w:noProof/>
          <w:sz w:val="20"/>
        </w:rPr>
        <w:tab/>
      </w:r>
      <w:r w:rsidRPr="003D7C1C">
        <w:rPr>
          <w:rFonts w:ascii="Arial" w:hAnsi="Arial" w:cs="Arial"/>
          <w:b/>
          <w:bCs/>
          <w:noProof/>
          <w:sz w:val="20"/>
        </w:rPr>
        <w:t>Preacher KJ</w:t>
      </w:r>
      <w:r w:rsidRPr="003D7C1C">
        <w:rPr>
          <w:rFonts w:ascii="Arial" w:hAnsi="Arial" w:cs="Arial"/>
          <w:noProof/>
          <w:sz w:val="20"/>
        </w:rPr>
        <w:t xml:space="preserve">, </w:t>
      </w:r>
      <w:r w:rsidRPr="003D7C1C">
        <w:rPr>
          <w:rFonts w:ascii="Arial" w:hAnsi="Arial" w:cs="Arial"/>
          <w:b/>
          <w:bCs/>
          <w:noProof/>
          <w:sz w:val="20"/>
        </w:rPr>
        <w:t>Hayes AF</w:t>
      </w:r>
      <w:r w:rsidRPr="003D7C1C">
        <w:rPr>
          <w:rFonts w:ascii="Arial" w:hAnsi="Arial" w:cs="Arial"/>
          <w:noProof/>
          <w:sz w:val="20"/>
        </w:rPr>
        <w:t xml:space="preserve">. Asymptotic and resampling strategies for assessing and comparing indirect effects in multiple mediator models. </w:t>
      </w:r>
      <w:r w:rsidRPr="003D7C1C">
        <w:rPr>
          <w:rFonts w:ascii="Arial" w:hAnsi="Arial" w:cs="Arial"/>
          <w:i/>
          <w:iCs/>
          <w:noProof/>
          <w:sz w:val="20"/>
        </w:rPr>
        <w:t>Behav Res Methods</w:t>
      </w:r>
      <w:r w:rsidRPr="003D7C1C">
        <w:rPr>
          <w:rFonts w:ascii="Arial" w:hAnsi="Arial" w:cs="Arial"/>
          <w:noProof/>
          <w:sz w:val="20"/>
        </w:rPr>
        <w:t xml:space="preserve"> 40: 879–891, 2008.</w:t>
      </w:r>
    </w:p>
    <w:p w14:paraId="3E1FC36A"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58. </w:t>
      </w:r>
      <w:r w:rsidRPr="003D7C1C">
        <w:rPr>
          <w:rFonts w:ascii="Arial" w:hAnsi="Arial" w:cs="Arial"/>
          <w:noProof/>
          <w:sz w:val="20"/>
        </w:rPr>
        <w:tab/>
      </w:r>
      <w:r w:rsidRPr="003D7C1C">
        <w:rPr>
          <w:rFonts w:ascii="Arial" w:hAnsi="Arial" w:cs="Arial"/>
          <w:b/>
          <w:bCs/>
          <w:noProof/>
          <w:sz w:val="20"/>
        </w:rPr>
        <w:t>Rice D</w:t>
      </w:r>
      <w:r w:rsidRPr="003D7C1C">
        <w:rPr>
          <w:rFonts w:ascii="Arial" w:hAnsi="Arial" w:cs="Arial"/>
          <w:noProof/>
          <w:sz w:val="20"/>
        </w:rPr>
        <w:t xml:space="preserve">, </w:t>
      </w:r>
      <w:r w:rsidRPr="003D7C1C">
        <w:rPr>
          <w:rFonts w:ascii="Arial" w:hAnsi="Arial" w:cs="Arial"/>
          <w:b/>
          <w:bCs/>
          <w:noProof/>
          <w:sz w:val="20"/>
        </w:rPr>
        <w:t>Nijs J</w:t>
      </w:r>
      <w:r w:rsidRPr="003D7C1C">
        <w:rPr>
          <w:rFonts w:ascii="Arial" w:hAnsi="Arial" w:cs="Arial"/>
          <w:noProof/>
          <w:sz w:val="20"/>
        </w:rPr>
        <w:t xml:space="preserve">, </w:t>
      </w:r>
      <w:r w:rsidRPr="003D7C1C">
        <w:rPr>
          <w:rFonts w:ascii="Arial" w:hAnsi="Arial" w:cs="Arial"/>
          <w:b/>
          <w:bCs/>
          <w:noProof/>
          <w:sz w:val="20"/>
        </w:rPr>
        <w:t>Kosek E</w:t>
      </w:r>
      <w:r w:rsidRPr="003D7C1C">
        <w:rPr>
          <w:rFonts w:ascii="Arial" w:hAnsi="Arial" w:cs="Arial"/>
          <w:noProof/>
          <w:sz w:val="20"/>
        </w:rPr>
        <w:t xml:space="preserve">, </w:t>
      </w:r>
      <w:r w:rsidRPr="003D7C1C">
        <w:rPr>
          <w:rFonts w:ascii="Arial" w:hAnsi="Arial" w:cs="Arial"/>
          <w:b/>
          <w:bCs/>
          <w:noProof/>
          <w:sz w:val="20"/>
        </w:rPr>
        <w:t>Wideman T</w:t>
      </w:r>
      <w:r w:rsidRPr="003D7C1C">
        <w:rPr>
          <w:rFonts w:ascii="Arial" w:hAnsi="Arial" w:cs="Arial"/>
          <w:noProof/>
          <w:sz w:val="20"/>
        </w:rPr>
        <w:t xml:space="preserve">, </w:t>
      </w:r>
      <w:r w:rsidRPr="003D7C1C">
        <w:rPr>
          <w:rFonts w:ascii="Arial" w:hAnsi="Arial" w:cs="Arial"/>
          <w:b/>
          <w:bCs/>
          <w:noProof/>
          <w:sz w:val="20"/>
        </w:rPr>
        <w:t>Hasenbring MI</w:t>
      </w:r>
      <w:r w:rsidRPr="003D7C1C">
        <w:rPr>
          <w:rFonts w:ascii="Arial" w:hAnsi="Arial" w:cs="Arial"/>
          <w:noProof/>
          <w:sz w:val="20"/>
        </w:rPr>
        <w:t xml:space="preserve">, </w:t>
      </w:r>
      <w:r w:rsidRPr="003D7C1C">
        <w:rPr>
          <w:rFonts w:ascii="Arial" w:hAnsi="Arial" w:cs="Arial"/>
          <w:b/>
          <w:bCs/>
          <w:noProof/>
          <w:sz w:val="20"/>
        </w:rPr>
        <w:t>Koltyn K</w:t>
      </w:r>
      <w:r w:rsidRPr="003D7C1C">
        <w:rPr>
          <w:rFonts w:ascii="Arial" w:hAnsi="Arial" w:cs="Arial"/>
          <w:noProof/>
          <w:sz w:val="20"/>
        </w:rPr>
        <w:t xml:space="preserve">, </w:t>
      </w:r>
      <w:r w:rsidRPr="003D7C1C">
        <w:rPr>
          <w:rFonts w:ascii="Arial" w:hAnsi="Arial" w:cs="Arial"/>
          <w:b/>
          <w:bCs/>
          <w:noProof/>
          <w:sz w:val="20"/>
        </w:rPr>
        <w:t>Graven-Nielsen T</w:t>
      </w:r>
      <w:r w:rsidRPr="003D7C1C">
        <w:rPr>
          <w:rFonts w:ascii="Arial" w:hAnsi="Arial" w:cs="Arial"/>
          <w:noProof/>
          <w:sz w:val="20"/>
        </w:rPr>
        <w:t xml:space="preserve">, </w:t>
      </w:r>
      <w:r w:rsidRPr="003D7C1C">
        <w:rPr>
          <w:rFonts w:ascii="Arial" w:hAnsi="Arial" w:cs="Arial"/>
          <w:b/>
          <w:bCs/>
          <w:noProof/>
          <w:sz w:val="20"/>
        </w:rPr>
        <w:t>Polli A</w:t>
      </w:r>
      <w:r w:rsidRPr="003D7C1C">
        <w:rPr>
          <w:rFonts w:ascii="Arial" w:hAnsi="Arial" w:cs="Arial"/>
          <w:noProof/>
          <w:sz w:val="20"/>
        </w:rPr>
        <w:t xml:space="preserve">. Exercise-Induced Hypoalgesia in Pain-Free and Chronic Pain Populations: State of the Art and Future Directions. </w:t>
      </w:r>
      <w:r w:rsidRPr="003D7C1C">
        <w:rPr>
          <w:rFonts w:ascii="Arial" w:hAnsi="Arial" w:cs="Arial"/>
          <w:i/>
          <w:iCs/>
          <w:noProof/>
          <w:sz w:val="20"/>
        </w:rPr>
        <w:t>J Pain</w:t>
      </w:r>
      <w:r w:rsidRPr="003D7C1C">
        <w:rPr>
          <w:rFonts w:ascii="Arial" w:hAnsi="Arial" w:cs="Arial"/>
          <w:noProof/>
          <w:sz w:val="20"/>
        </w:rPr>
        <w:t xml:space="preserve"> 0: 1–18, 2019.</w:t>
      </w:r>
    </w:p>
    <w:p w14:paraId="6398858F"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59. </w:t>
      </w:r>
      <w:r w:rsidRPr="003D7C1C">
        <w:rPr>
          <w:rFonts w:ascii="Arial" w:hAnsi="Arial" w:cs="Arial"/>
          <w:noProof/>
          <w:sz w:val="20"/>
        </w:rPr>
        <w:tab/>
      </w:r>
      <w:r w:rsidRPr="003D7C1C">
        <w:rPr>
          <w:rFonts w:ascii="Arial" w:hAnsi="Arial" w:cs="Arial"/>
          <w:b/>
          <w:bCs/>
          <w:noProof/>
          <w:sz w:val="20"/>
        </w:rPr>
        <w:t>Rubin A</w:t>
      </w:r>
      <w:r w:rsidRPr="003D7C1C">
        <w:rPr>
          <w:rFonts w:ascii="Arial" w:hAnsi="Arial" w:cs="Arial"/>
          <w:noProof/>
          <w:sz w:val="20"/>
        </w:rPr>
        <w:t xml:space="preserve">. </w:t>
      </w:r>
      <w:r w:rsidRPr="003D7C1C">
        <w:rPr>
          <w:rFonts w:ascii="Arial" w:hAnsi="Arial" w:cs="Arial"/>
          <w:i/>
          <w:iCs/>
          <w:noProof/>
          <w:sz w:val="20"/>
        </w:rPr>
        <w:t>Statistics for evidence-based practice and evaluation.</w:t>
      </w:r>
      <w:r w:rsidRPr="003D7C1C">
        <w:rPr>
          <w:rFonts w:ascii="Arial" w:hAnsi="Arial" w:cs="Arial"/>
          <w:noProof/>
          <w:sz w:val="20"/>
        </w:rPr>
        <w:t xml:space="preserve"> Boston, MA, USA: Cengage Learning, 2012.</w:t>
      </w:r>
    </w:p>
    <w:p w14:paraId="6D48A6CC"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60. </w:t>
      </w:r>
      <w:r w:rsidRPr="003D7C1C">
        <w:rPr>
          <w:rFonts w:ascii="Arial" w:hAnsi="Arial" w:cs="Arial"/>
          <w:noProof/>
          <w:sz w:val="20"/>
        </w:rPr>
        <w:tab/>
      </w:r>
      <w:r w:rsidRPr="003D7C1C">
        <w:rPr>
          <w:rFonts w:ascii="Arial" w:hAnsi="Arial" w:cs="Arial"/>
          <w:b/>
          <w:bCs/>
          <w:noProof/>
          <w:sz w:val="20"/>
        </w:rPr>
        <w:t>Sparling PB</w:t>
      </w:r>
      <w:r w:rsidRPr="003D7C1C">
        <w:rPr>
          <w:rFonts w:ascii="Arial" w:hAnsi="Arial" w:cs="Arial"/>
          <w:noProof/>
          <w:sz w:val="20"/>
        </w:rPr>
        <w:t xml:space="preserve">, </w:t>
      </w:r>
      <w:r w:rsidRPr="003D7C1C">
        <w:rPr>
          <w:rFonts w:ascii="Arial" w:hAnsi="Arial" w:cs="Arial"/>
          <w:b/>
          <w:bCs/>
          <w:noProof/>
          <w:sz w:val="20"/>
        </w:rPr>
        <w:t>Giuffrida A</w:t>
      </w:r>
      <w:r w:rsidRPr="003D7C1C">
        <w:rPr>
          <w:rFonts w:ascii="Arial" w:hAnsi="Arial" w:cs="Arial"/>
          <w:noProof/>
          <w:sz w:val="20"/>
        </w:rPr>
        <w:t xml:space="preserve">, </w:t>
      </w:r>
      <w:r w:rsidRPr="003D7C1C">
        <w:rPr>
          <w:rFonts w:ascii="Arial" w:hAnsi="Arial" w:cs="Arial"/>
          <w:b/>
          <w:bCs/>
          <w:noProof/>
          <w:sz w:val="20"/>
        </w:rPr>
        <w:t>Piomelli D</w:t>
      </w:r>
      <w:r w:rsidRPr="003D7C1C">
        <w:rPr>
          <w:rFonts w:ascii="Arial" w:hAnsi="Arial" w:cs="Arial"/>
          <w:noProof/>
          <w:sz w:val="20"/>
        </w:rPr>
        <w:t xml:space="preserve">, </w:t>
      </w:r>
      <w:r w:rsidRPr="003D7C1C">
        <w:rPr>
          <w:rFonts w:ascii="Arial" w:hAnsi="Arial" w:cs="Arial"/>
          <w:b/>
          <w:bCs/>
          <w:noProof/>
          <w:sz w:val="20"/>
        </w:rPr>
        <w:t>Rosskopf L</w:t>
      </w:r>
      <w:r w:rsidRPr="003D7C1C">
        <w:rPr>
          <w:rFonts w:ascii="Arial" w:hAnsi="Arial" w:cs="Arial"/>
          <w:noProof/>
          <w:sz w:val="20"/>
        </w:rPr>
        <w:t xml:space="preserve">, </w:t>
      </w:r>
      <w:r w:rsidRPr="003D7C1C">
        <w:rPr>
          <w:rFonts w:ascii="Arial" w:hAnsi="Arial" w:cs="Arial"/>
          <w:b/>
          <w:bCs/>
          <w:noProof/>
          <w:sz w:val="20"/>
        </w:rPr>
        <w:t>Dietrich A</w:t>
      </w:r>
      <w:r w:rsidRPr="003D7C1C">
        <w:rPr>
          <w:rFonts w:ascii="Arial" w:hAnsi="Arial" w:cs="Arial"/>
          <w:noProof/>
          <w:sz w:val="20"/>
        </w:rPr>
        <w:t xml:space="preserve">. Exercise activates the endocannabinoid system. </w:t>
      </w:r>
      <w:r w:rsidRPr="003D7C1C">
        <w:rPr>
          <w:rFonts w:ascii="Arial" w:hAnsi="Arial" w:cs="Arial"/>
          <w:i/>
          <w:iCs/>
          <w:noProof/>
          <w:sz w:val="20"/>
        </w:rPr>
        <w:t>Cogn Neurosci Neurophysiol</w:t>
      </w:r>
      <w:r w:rsidRPr="003D7C1C">
        <w:rPr>
          <w:rFonts w:ascii="Arial" w:hAnsi="Arial" w:cs="Arial"/>
          <w:noProof/>
          <w:sz w:val="20"/>
        </w:rPr>
        <w:t xml:space="preserve"> 2: 2209–11, 2003.</w:t>
      </w:r>
    </w:p>
    <w:p w14:paraId="1733D6E0"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61. </w:t>
      </w:r>
      <w:r w:rsidRPr="003D7C1C">
        <w:rPr>
          <w:rFonts w:ascii="Arial" w:hAnsi="Arial" w:cs="Arial"/>
          <w:noProof/>
          <w:sz w:val="20"/>
        </w:rPr>
        <w:tab/>
      </w:r>
      <w:r w:rsidRPr="003D7C1C">
        <w:rPr>
          <w:rFonts w:ascii="Arial" w:hAnsi="Arial" w:cs="Arial"/>
          <w:b/>
          <w:bCs/>
          <w:noProof/>
          <w:sz w:val="20"/>
        </w:rPr>
        <w:t>Sprouse-Blum A</w:t>
      </w:r>
      <w:r w:rsidRPr="003D7C1C">
        <w:rPr>
          <w:rFonts w:ascii="Arial" w:hAnsi="Arial" w:cs="Arial"/>
          <w:noProof/>
          <w:sz w:val="20"/>
        </w:rPr>
        <w:t xml:space="preserve">, </w:t>
      </w:r>
      <w:r w:rsidRPr="003D7C1C">
        <w:rPr>
          <w:rFonts w:ascii="Arial" w:hAnsi="Arial" w:cs="Arial"/>
          <w:b/>
          <w:bCs/>
          <w:noProof/>
          <w:sz w:val="20"/>
        </w:rPr>
        <w:t>Smith G</w:t>
      </w:r>
      <w:r w:rsidRPr="003D7C1C">
        <w:rPr>
          <w:rFonts w:ascii="Arial" w:hAnsi="Arial" w:cs="Arial"/>
          <w:noProof/>
          <w:sz w:val="20"/>
        </w:rPr>
        <w:t xml:space="preserve">, </w:t>
      </w:r>
      <w:r w:rsidRPr="003D7C1C">
        <w:rPr>
          <w:rFonts w:ascii="Arial" w:hAnsi="Arial" w:cs="Arial"/>
          <w:b/>
          <w:bCs/>
          <w:noProof/>
          <w:sz w:val="20"/>
        </w:rPr>
        <w:t>Sugai D</w:t>
      </w:r>
      <w:r w:rsidRPr="003D7C1C">
        <w:rPr>
          <w:rFonts w:ascii="Arial" w:hAnsi="Arial" w:cs="Arial"/>
          <w:noProof/>
          <w:sz w:val="20"/>
        </w:rPr>
        <w:t xml:space="preserve">, </w:t>
      </w:r>
      <w:r w:rsidRPr="003D7C1C">
        <w:rPr>
          <w:rFonts w:ascii="Arial" w:hAnsi="Arial" w:cs="Arial"/>
          <w:b/>
          <w:bCs/>
          <w:noProof/>
          <w:sz w:val="20"/>
        </w:rPr>
        <w:t>Don Parsa F</w:t>
      </w:r>
      <w:r w:rsidRPr="003D7C1C">
        <w:rPr>
          <w:rFonts w:ascii="Arial" w:hAnsi="Arial" w:cs="Arial"/>
          <w:noProof/>
          <w:sz w:val="20"/>
        </w:rPr>
        <w:t xml:space="preserve">. Understanding ndorphins and Their </w:t>
      </w:r>
      <w:r w:rsidRPr="003D7C1C">
        <w:rPr>
          <w:rFonts w:ascii="Arial" w:hAnsi="Arial" w:cs="Arial"/>
          <w:noProof/>
          <w:sz w:val="20"/>
        </w:rPr>
        <w:lastRenderedPageBreak/>
        <w:t xml:space="preserve">Importance in Pain Management. </w:t>
      </w:r>
      <w:r w:rsidRPr="003D7C1C">
        <w:rPr>
          <w:rFonts w:ascii="Arial" w:hAnsi="Arial" w:cs="Arial"/>
          <w:i/>
          <w:iCs/>
          <w:noProof/>
          <w:sz w:val="20"/>
        </w:rPr>
        <w:t>Hawai’i Med J</w:t>
      </w:r>
      <w:r w:rsidRPr="003D7C1C">
        <w:rPr>
          <w:rFonts w:ascii="Arial" w:hAnsi="Arial" w:cs="Arial"/>
          <w:noProof/>
          <w:sz w:val="20"/>
        </w:rPr>
        <w:t xml:space="preserve"> 69: 70–71, 2010.</w:t>
      </w:r>
    </w:p>
    <w:p w14:paraId="3AC6FF1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62. </w:t>
      </w:r>
      <w:r w:rsidRPr="003D7C1C">
        <w:rPr>
          <w:rFonts w:ascii="Arial" w:hAnsi="Arial" w:cs="Arial"/>
          <w:noProof/>
          <w:sz w:val="20"/>
        </w:rPr>
        <w:tab/>
      </w:r>
      <w:r w:rsidRPr="003D7C1C">
        <w:rPr>
          <w:rFonts w:ascii="Arial" w:hAnsi="Arial" w:cs="Arial"/>
          <w:b/>
          <w:bCs/>
          <w:noProof/>
          <w:sz w:val="20"/>
        </w:rPr>
        <w:t>Stagg NJ</w:t>
      </w:r>
      <w:r w:rsidRPr="003D7C1C">
        <w:rPr>
          <w:rFonts w:ascii="Arial" w:hAnsi="Arial" w:cs="Arial"/>
          <w:noProof/>
          <w:sz w:val="20"/>
        </w:rPr>
        <w:t xml:space="preserve">, </w:t>
      </w:r>
      <w:r w:rsidRPr="003D7C1C">
        <w:rPr>
          <w:rFonts w:ascii="Arial" w:hAnsi="Arial" w:cs="Arial"/>
          <w:b/>
          <w:bCs/>
          <w:noProof/>
          <w:sz w:val="20"/>
        </w:rPr>
        <w:t>Mata HP</w:t>
      </w:r>
      <w:r w:rsidRPr="003D7C1C">
        <w:rPr>
          <w:rFonts w:ascii="Arial" w:hAnsi="Arial" w:cs="Arial"/>
          <w:noProof/>
          <w:sz w:val="20"/>
        </w:rPr>
        <w:t xml:space="preserve">, </w:t>
      </w:r>
      <w:r w:rsidRPr="003D7C1C">
        <w:rPr>
          <w:rFonts w:ascii="Arial" w:hAnsi="Arial" w:cs="Arial"/>
          <w:b/>
          <w:bCs/>
          <w:noProof/>
          <w:sz w:val="20"/>
        </w:rPr>
        <w:t>Ibrahim MM</w:t>
      </w:r>
      <w:r w:rsidRPr="003D7C1C">
        <w:rPr>
          <w:rFonts w:ascii="Arial" w:hAnsi="Arial" w:cs="Arial"/>
          <w:noProof/>
          <w:sz w:val="20"/>
        </w:rPr>
        <w:t xml:space="preserve">, </w:t>
      </w:r>
      <w:r w:rsidRPr="003D7C1C">
        <w:rPr>
          <w:rFonts w:ascii="Arial" w:hAnsi="Arial" w:cs="Arial"/>
          <w:b/>
          <w:bCs/>
          <w:noProof/>
          <w:sz w:val="20"/>
        </w:rPr>
        <w:t>Henriksen EJ</w:t>
      </w:r>
      <w:r w:rsidRPr="003D7C1C">
        <w:rPr>
          <w:rFonts w:ascii="Arial" w:hAnsi="Arial" w:cs="Arial"/>
          <w:noProof/>
          <w:sz w:val="20"/>
        </w:rPr>
        <w:t xml:space="preserve">, </w:t>
      </w:r>
      <w:r w:rsidRPr="003D7C1C">
        <w:rPr>
          <w:rFonts w:ascii="Arial" w:hAnsi="Arial" w:cs="Arial"/>
          <w:b/>
          <w:bCs/>
          <w:noProof/>
          <w:sz w:val="20"/>
        </w:rPr>
        <w:t>Porreca F</w:t>
      </w:r>
      <w:r w:rsidRPr="003D7C1C">
        <w:rPr>
          <w:rFonts w:ascii="Arial" w:hAnsi="Arial" w:cs="Arial"/>
          <w:noProof/>
          <w:sz w:val="20"/>
        </w:rPr>
        <w:t xml:space="preserve">, </w:t>
      </w:r>
      <w:r w:rsidRPr="003D7C1C">
        <w:rPr>
          <w:rFonts w:ascii="Arial" w:hAnsi="Arial" w:cs="Arial"/>
          <w:b/>
          <w:bCs/>
          <w:noProof/>
          <w:sz w:val="20"/>
        </w:rPr>
        <w:t>Vanderah TW</w:t>
      </w:r>
      <w:r w:rsidRPr="003D7C1C">
        <w:rPr>
          <w:rFonts w:ascii="Arial" w:hAnsi="Arial" w:cs="Arial"/>
          <w:noProof/>
          <w:sz w:val="20"/>
        </w:rPr>
        <w:t xml:space="preserve">, </w:t>
      </w:r>
      <w:r w:rsidRPr="003D7C1C">
        <w:rPr>
          <w:rFonts w:ascii="Arial" w:hAnsi="Arial" w:cs="Arial"/>
          <w:b/>
          <w:bCs/>
          <w:noProof/>
          <w:sz w:val="20"/>
        </w:rPr>
        <w:t>Malan TP</w:t>
      </w:r>
      <w:r w:rsidRPr="003D7C1C">
        <w:rPr>
          <w:rFonts w:ascii="Arial" w:hAnsi="Arial" w:cs="Arial"/>
          <w:noProof/>
          <w:sz w:val="20"/>
        </w:rPr>
        <w:t xml:space="preserve">. Regular Exercise Reverses Sensory Hypersensitivity in a Rat Neuropathic Pain Model. </w:t>
      </w:r>
      <w:r w:rsidRPr="003D7C1C">
        <w:rPr>
          <w:rFonts w:ascii="Arial" w:hAnsi="Arial" w:cs="Arial"/>
          <w:i/>
          <w:iCs/>
          <w:noProof/>
          <w:sz w:val="20"/>
        </w:rPr>
        <w:t>Anesthesiology</w:t>
      </w:r>
      <w:r w:rsidRPr="003D7C1C">
        <w:rPr>
          <w:rFonts w:ascii="Arial" w:hAnsi="Arial" w:cs="Arial"/>
          <w:noProof/>
          <w:sz w:val="20"/>
        </w:rPr>
        <w:t xml:space="preserve"> 114: 940–948, 2011.</w:t>
      </w:r>
    </w:p>
    <w:p w14:paraId="7F357D54"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63. </w:t>
      </w:r>
      <w:r w:rsidRPr="003D7C1C">
        <w:rPr>
          <w:rFonts w:ascii="Arial" w:hAnsi="Arial" w:cs="Arial"/>
          <w:noProof/>
          <w:sz w:val="20"/>
        </w:rPr>
        <w:tab/>
      </w:r>
      <w:r w:rsidRPr="003D7C1C">
        <w:rPr>
          <w:rFonts w:ascii="Arial" w:hAnsi="Arial" w:cs="Arial"/>
          <w:b/>
          <w:bCs/>
          <w:noProof/>
          <w:sz w:val="20"/>
        </w:rPr>
        <w:t>Starowicz K</w:t>
      </w:r>
      <w:r w:rsidRPr="003D7C1C">
        <w:rPr>
          <w:rFonts w:ascii="Arial" w:hAnsi="Arial" w:cs="Arial"/>
          <w:noProof/>
          <w:sz w:val="20"/>
        </w:rPr>
        <w:t xml:space="preserve">, </w:t>
      </w:r>
      <w:r w:rsidRPr="003D7C1C">
        <w:rPr>
          <w:rFonts w:ascii="Arial" w:hAnsi="Arial" w:cs="Arial"/>
          <w:b/>
          <w:bCs/>
          <w:noProof/>
          <w:sz w:val="20"/>
        </w:rPr>
        <w:t>Malek N</w:t>
      </w:r>
      <w:r w:rsidRPr="003D7C1C">
        <w:rPr>
          <w:rFonts w:ascii="Arial" w:hAnsi="Arial" w:cs="Arial"/>
          <w:noProof/>
          <w:sz w:val="20"/>
        </w:rPr>
        <w:t xml:space="preserve">, </w:t>
      </w:r>
      <w:r w:rsidRPr="003D7C1C">
        <w:rPr>
          <w:rFonts w:ascii="Arial" w:hAnsi="Arial" w:cs="Arial"/>
          <w:b/>
          <w:bCs/>
          <w:noProof/>
          <w:sz w:val="20"/>
        </w:rPr>
        <w:t>Przewlocka B</w:t>
      </w:r>
      <w:r w:rsidRPr="003D7C1C">
        <w:rPr>
          <w:rFonts w:ascii="Arial" w:hAnsi="Arial" w:cs="Arial"/>
          <w:noProof/>
          <w:sz w:val="20"/>
        </w:rPr>
        <w:t xml:space="preserve">. Cannabinoid receptors and pain. </w:t>
      </w:r>
      <w:r w:rsidRPr="003D7C1C">
        <w:rPr>
          <w:rFonts w:ascii="Arial" w:hAnsi="Arial" w:cs="Arial"/>
          <w:i/>
          <w:iCs/>
          <w:noProof/>
          <w:sz w:val="20"/>
        </w:rPr>
        <w:t>WIREs Membr Transp Signal</w:t>
      </w:r>
      <w:r w:rsidRPr="003D7C1C">
        <w:rPr>
          <w:rFonts w:ascii="Arial" w:hAnsi="Arial" w:cs="Arial"/>
          <w:noProof/>
          <w:sz w:val="20"/>
        </w:rPr>
        <w:t xml:space="preserve"> 2: 121–132, 2013.</w:t>
      </w:r>
    </w:p>
    <w:p w14:paraId="42160D81"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64. </w:t>
      </w:r>
      <w:r w:rsidRPr="003D7C1C">
        <w:rPr>
          <w:rFonts w:ascii="Arial" w:hAnsi="Arial" w:cs="Arial"/>
          <w:noProof/>
          <w:sz w:val="20"/>
        </w:rPr>
        <w:tab/>
      </w:r>
      <w:r w:rsidRPr="003D7C1C">
        <w:rPr>
          <w:rFonts w:ascii="Arial" w:hAnsi="Arial" w:cs="Arial"/>
          <w:b/>
          <w:bCs/>
          <w:noProof/>
          <w:sz w:val="20"/>
        </w:rPr>
        <w:t>Suga T</w:t>
      </w:r>
      <w:r w:rsidRPr="003D7C1C">
        <w:rPr>
          <w:rFonts w:ascii="Arial" w:hAnsi="Arial" w:cs="Arial"/>
          <w:noProof/>
          <w:sz w:val="20"/>
        </w:rPr>
        <w:t xml:space="preserve">, </w:t>
      </w:r>
      <w:r w:rsidRPr="003D7C1C">
        <w:rPr>
          <w:rFonts w:ascii="Arial" w:hAnsi="Arial" w:cs="Arial"/>
          <w:b/>
          <w:bCs/>
          <w:noProof/>
          <w:sz w:val="20"/>
        </w:rPr>
        <w:t>Okita K</w:t>
      </w:r>
      <w:r w:rsidRPr="003D7C1C">
        <w:rPr>
          <w:rFonts w:ascii="Arial" w:hAnsi="Arial" w:cs="Arial"/>
          <w:noProof/>
          <w:sz w:val="20"/>
        </w:rPr>
        <w:t xml:space="preserve">, </w:t>
      </w:r>
      <w:r w:rsidRPr="003D7C1C">
        <w:rPr>
          <w:rFonts w:ascii="Arial" w:hAnsi="Arial" w:cs="Arial"/>
          <w:b/>
          <w:bCs/>
          <w:noProof/>
          <w:sz w:val="20"/>
        </w:rPr>
        <w:t>Morita N</w:t>
      </w:r>
      <w:r w:rsidRPr="003D7C1C">
        <w:rPr>
          <w:rFonts w:ascii="Arial" w:hAnsi="Arial" w:cs="Arial"/>
          <w:noProof/>
          <w:sz w:val="20"/>
        </w:rPr>
        <w:t xml:space="preserve">, </w:t>
      </w:r>
      <w:r w:rsidRPr="003D7C1C">
        <w:rPr>
          <w:rFonts w:ascii="Arial" w:hAnsi="Arial" w:cs="Arial"/>
          <w:b/>
          <w:bCs/>
          <w:noProof/>
          <w:sz w:val="20"/>
        </w:rPr>
        <w:t>Yokota T</w:t>
      </w:r>
      <w:r w:rsidRPr="003D7C1C">
        <w:rPr>
          <w:rFonts w:ascii="Arial" w:hAnsi="Arial" w:cs="Arial"/>
          <w:noProof/>
          <w:sz w:val="20"/>
        </w:rPr>
        <w:t xml:space="preserve">, </w:t>
      </w:r>
      <w:r w:rsidRPr="003D7C1C">
        <w:rPr>
          <w:rFonts w:ascii="Arial" w:hAnsi="Arial" w:cs="Arial"/>
          <w:b/>
          <w:bCs/>
          <w:noProof/>
          <w:sz w:val="20"/>
        </w:rPr>
        <w:t>Hirabayashi K</w:t>
      </w:r>
      <w:r w:rsidRPr="003D7C1C">
        <w:rPr>
          <w:rFonts w:ascii="Arial" w:hAnsi="Arial" w:cs="Arial"/>
          <w:noProof/>
          <w:sz w:val="20"/>
        </w:rPr>
        <w:t xml:space="preserve">, </w:t>
      </w:r>
      <w:r w:rsidRPr="003D7C1C">
        <w:rPr>
          <w:rFonts w:ascii="Arial" w:hAnsi="Arial" w:cs="Arial"/>
          <w:b/>
          <w:bCs/>
          <w:noProof/>
          <w:sz w:val="20"/>
        </w:rPr>
        <w:t>Horiuchi M</w:t>
      </w:r>
      <w:r w:rsidRPr="003D7C1C">
        <w:rPr>
          <w:rFonts w:ascii="Arial" w:hAnsi="Arial" w:cs="Arial"/>
          <w:noProof/>
          <w:sz w:val="20"/>
        </w:rPr>
        <w:t xml:space="preserve">, </w:t>
      </w:r>
      <w:r w:rsidRPr="003D7C1C">
        <w:rPr>
          <w:rFonts w:ascii="Arial" w:hAnsi="Arial" w:cs="Arial"/>
          <w:b/>
          <w:bCs/>
          <w:noProof/>
          <w:sz w:val="20"/>
        </w:rPr>
        <w:t>Takada S</w:t>
      </w:r>
      <w:r w:rsidRPr="003D7C1C">
        <w:rPr>
          <w:rFonts w:ascii="Arial" w:hAnsi="Arial" w:cs="Arial"/>
          <w:noProof/>
          <w:sz w:val="20"/>
        </w:rPr>
        <w:t xml:space="preserve">, </w:t>
      </w:r>
      <w:r w:rsidRPr="003D7C1C">
        <w:rPr>
          <w:rFonts w:ascii="Arial" w:hAnsi="Arial" w:cs="Arial"/>
          <w:b/>
          <w:bCs/>
          <w:noProof/>
          <w:sz w:val="20"/>
        </w:rPr>
        <w:t>Takahashi T</w:t>
      </w:r>
      <w:r w:rsidRPr="003D7C1C">
        <w:rPr>
          <w:rFonts w:ascii="Arial" w:hAnsi="Arial" w:cs="Arial"/>
          <w:noProof/>
          <w:sz w:val="20"/>
        </w:rPr>
        <w:t xml:space="preserve">, </w:t>
      </w:r>
      <w:r w:rsidRPr="003D7C1C">
        <w:rPr>
          <w:rFonts w:ascii="Arial" w:hAnsi="Arial" w:cs="Arial"/>
          <w:b/>
          <w:bCs/>
          <w:noProof/>
          <w:sz w:val="20"/>
        </w:rPr>
        <w:t>Omokawa M</w:t>
      </w:r>
      <w:r w:rsidRPr="003D7C1C">
        <w:rPr>
          <w:rFonts w:ascii="Arial" w:hAnsi="Arial" w:cs="Arial"/>
          <w:noProof/>
          <w:sz w:val="20"/>
        </w:rPr>
        <w:t xml:space="preserve">, </w:t>
      </w:r>
      <w:r w:rsidRPr="003D7C1C">
        <w:rPr>
          <w:rFonts w:ascii="Arial" w:hAnsi="Arial" w:cs="Arial"/>
          <w:b/>
          <w:bCs/>
          <w:noProof/>
          <w:sz w:val="20"/>
        </w:rPr>
        <w:t>Kinugawa S</w:t>
      </w:r>
      <w:r w:rsidRPr="003D7C1C">
        <w:rPr>
          <w:rFonts w:ascii="Arial" w:hAnsi="Arial" w:cs="Arial"/>
          <w:noProof/>
          <w:sz w:val="20"/>
        </w:rPr>
        <w:t xml:space="preserve">, </w:t>
      </w:r>
      <w:r w:rsidRPr="003D7C1C">
        <w:rPr>
          <w:rFonts w:ascii="Arial" w:hAnsi="Arial" w:cs="Arial"/>
          <w:b/>
          <w:bCs/>
          <w:noProof/>
          <w:sz w:val="20"/>
        </w:rPr>
        <w:t>Tsutsui H</w:t>
      </w:r>
      <w:r w:rsidRPr="003D7C1C">
        <w:rPr>
          <w:rFonts w:ascii="Arial" w:hAnsi="Arial" w:cs="Arial"/>
          <w:noProof/>
          <w:sz w:val="20"/>
        </w:rPr>
        <w:t xml:space="preserve">. Intramuscular metabolism during low-intensity resistance exercise with blood flow restriction. </w:t>
      </w:r>
      <w:r w:rsidRPr="003D7C1C">
        <w:rPr>
          <w:rFonts w:ascii="Arial" w:hAnsi="Arial" w:cs="Arial"/>
          <w:i/>
          <w:iCs/>
          <w:noProof/>
          <w:sz w:val="20"/>
        </w:rPr>
        <w:t>J Appl Physiol</w:t>
      </w:r>
      <w:r w:rsidRPr="003D7C1C">
        <w:rPr>
          <w:rFonts w:ascii="Arial" w:hAnsi="Arial" w:cs="Arial"/>
          <w:noProof/>
          <w:sz w:val="20"/>
        </w:rPr>
        <w:t xml:space="preserve"> 106: 1119–1124, 2009.</w:t>
      </w:r>
    </w:p>
    <w:p w14:paraId="6310EFC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65. </w:t>
      </w:r>
      <w:r w:rsidRPr="003D7C1C">
        <w:rPr>
          <w:rFonts w:ascii="Arial" w:hAnsi="Arial" w:cs="Arial"/>
          <w:noProof/>
          <w:sz w:val="20"/>
        </w:rPr>
        <w:tab/>
      </w:r>
      <w:r w:rsidRPr="003D7C1C">
        <w:rPr>
          <w:rFonts w:ascii="Arial" w:hAnsi="Arial" w:cs="Arial"/>
          <w:b/>
          <w:bCs/>
          <w:noProof/>
          <w:sz w:val="20"/>
        </w:rPr>
        <w:t>Takarada Y</w:t>
      </w:r>
      <w:r w:rsidRPr="003D7C1C">
        <w:rPr>
          <w:rFonts w:ascii="Arial" w:hAnsi="Arial" w:cs="Arial"/>
          <w:noProof/>
          <w:sz w:val="20"/>
        </w:rPr>
        <w:t xml:space="preserve">, </w:t>
      </w:r>
      <w:r w:rsidRPr="003D7C1C">
        <w:rPr>
          <w:rFonts w:ascii="Arial" w:hAnsi="Arial" w:cs="Arial"/>
          <w:b/>
          <w:bCs/>
          <w:noProof/>
          <w:sz w:val="20"/>
        </w:rPr>
        <w:t>Nakamura Y</w:t>
      </w:r>
      <w:r w:rsidRPr="003D7C1C">
        <w:rPr>
          <w:rFonts w:ascii="Arial" w:hAnsi="Arial" w:cs="Arial"/>
          <w:noProof/>
          <w:sz w:val="20"/>
        </w:rPr>
        <w:t xml:space="preserve">, </w:t>
      </w:r>
      <w:r w:rsidRPr="003D7C1C">
        <w:rPr>
          <w:rFonts w:ascii="Arial" w:hAnsi="Arial" w:cs="Arial"/>
          <w:b/>
          <w:bCs/>
          <w:noProof/>
          <w:sz w:val="20"/>
        </w:rPr>
        <w:t>Aruga S</w:t>
      </w:r>
      <w:r w:rsidRPr="003D7C1C">
        <w:rPr>
          <w:rFonts w:ascii="Arial" w:hAnsi="Arial" w:cs="Arial"/>
          <w:noProof/>
          <w:sz w:val="20"/>
        </w:rPr>
        <w:t xml:space="preserve">, </w:t>
      </w:r>
      <w:r w:rsidRPr="003D7C1C">
        <w:rPr>
          <w:rFonts w:ascii="Arial" w:hAnsi="Arial" w:cs="Arial"/>
          <w:b/>
          <w:bCs/>
          <w:noProof/>
          <w:sz w:val="20"/>
        </w:rPr>
        <w:t>Onda T</w:t>
      </w:r>
      <w:r w:rsidRPr="003D7C1C">
        <w:rPr>
          <w:rFonts w:ascii="Arial" w:hAnsi="Arial" w:cs="Arial"/>
          <w:noProof/>
          <w:sz w:val="20"/>
        </w:rPr>
        <w:t xml:space="preserve">, </w:t>
      </w:r>
      <w:r w:rsidRPr="003D7C1C">
        <w:rPr>
          <w:rFonts w:ascii="Arial" w:hAnsi="Arial" w:cs="Arial"/>
          <w:b/>
          <w:bCs/>
          <w:noProof/>
          <w:sz w:val="20"/>
        </w:rPr>
        <w:t>Miyazaki S</w:t>
      </w:r>
      <w:r w:rsidRPr="003D7C1C">
        <w:rPr>
          <w:rFonts w:ascii="Arial" w:hAnsi="Arial" w:cs="Arial"/>
          <w:noProof/>
          <w:sz w:val="20"/>
        </w:rPr>
        <w:t xml:space="preserve">, </w:t>
      </w:r>
      <w:r w:rsidRPr="003D7C1C">
        <w:rPr>
          <w:rFonts w:ascii="Arial" w:hAnsi="Arial" w:cs="Arial"/>
          <w:b/>
          <w:bCs/>
          <w:noProof/>
          <w:sz w:val="20"/>
        </w:rPr>
        <w:t>Ishii N</w:t>
      </w:r>
      <w:r w:rsidRPr="003D7C1C">
        <w:rPr>
          <w:rFonts w:ascii="Arial" w:hAnsi="Arial" w:cs="Arial"/>
          <w:noProof/>
          <w:sz w:val="20"/>
        </w:rPr>
        <w:t xml:space="preserve">. Rapid increase in plasma growth hormone after low-intensity resistance exercise with vascular occlusion. </w:t>
      </w:r>
      <w:r w:rsidRPr="003D7C1C">
        <w:rPr>
          <w:rFonts w:ascii="Arial" w:hAnsi="Arial" w:cs="Arial"/>
          <w:i/>
          <w:iCs/>
          <w:noProof/>
          <w:sz w:val="20"/>
        </w:rPr>
        <w:t>J Appl Physiol</w:t>
      </w:r>
      <w:r w:rsidRPr="003D7C1C">
        <w:rPr>
          <w:rFonts w:ascii="Arial" w:hAnsi="Arial" w:cs="Arial"/>
          <w:noProof/>
          <w:sz w:val="20"/>
        </w:rPr>
        <w:t xml:space="preserve"> 88: 61–65, 2000.</w:t>
      </w:r>
    </w:p>
    <w:p w14:paraId="1BCC2819"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66. </w:t>
      </w:r>
      <w:r w:rsidRPr="003D7C1C">
        <w:rPr>
          <w:rFonts w:ascii="Arial" w:hAnsi="Arial" w:cs="Arial"/>
          <w:noProof/>
          <w:sz w:val="20"/>
        </w:rPr>
        <w:tab/>
      </w:r>
      <w:r w:rsidRPr="003D7C1C">
        <w:rPr>
          <w:rFonts w:ascii="Arial" w:hAnsi="Arial" w:cs="Arial"/>
          <w:b/>
          <w:bCs/>
          <w:noProof/>
          <w:sz w:val="20"/>
        </w:rPr>
        <w:t>Thoren P</w:t>
      </w:r>
      <w:r w:rsidRPr="003D7C1C">
        <w:rPr>
          <w:rFonts w:ascii="Arial" w:hAnsi="Arial" w:cs="Arial"/>
          <w:noProof/>
          <w:sz w:val="20"/>
        </w:rPr>
        <w:t xml:space="preserve">, </w:t>
      </w:r>
      <w:r w:rsidRPr="003D7C1C">
        <w:rPr>
          <w:rFonts w:ascii="Arial" w:hAnsi="Arial" w:cs="Arial"/>
          <w:b/>
          <w:bCs/>
          <w:noProof/>
          <w:sz w:val="20"/>
        </w:rPr>
        <w:t>Floras JS</w:t>
      </w:r>
      <w:r w:rsidRPr="003D7C1C">
        <w:rPr>
          <w:rFonts w:ascii="Arial" w:hAnsi="Arial" w:cs="Arial"/>
          <w:noProof/>
          <w:sz w:val="20"/>
        </w:rPr>
        <w:t xml:space="preserve">, </w:t>
      </w:r>
      <w:r w:rsidRPr="003D7C1C">
        <w:rPr>
          <w:rFonts w:ascii="Arial" w:hAnsi="Arial" w:cs="Arial"/>
          <w:b/>
          <w:bCs/>
          <w:noProof/>
          <w:sz w:val="20"/>
        </w:rPr>
        <w:t>Hoffman P</w:t>
      </w:r>
      <w:r w:rsidRPr="003D7C1C">
        <w:rPr>
          <w:rFonts w:ascii="Arial" w:hAnsi="Arial" w:cs="Arial"/>
          <w:noProof/>
          <w:sz w:val="20"/>
        </w:rPr>
        <w:t xml:space="preserve">, </w:t>
      </w:r>
      <w:r w:rsidRPr="003D7C1C">
        <w:rPr>
          <w:rFonts w:ascii="Arial" w:hAnsi="Arial" w:cs="Arial"/>
          <w:b/>
          <w:bCs/>
          <w:noProof/>
          <w:sz w:val="20"/>
        </w:rPr>
        <w:t>Seals DR</w:t>
      </w:r>
      <w:r w:rsidRPr="003D7C1C">
        <w:rPr>
          <w:rFonts w:ascii="Arial" w:hAnsi="Arial" w:cs="Arial"/>
          <w:noProof/>
          <w:sz w:val="20"/>
        </w:rPr>
        <w:t xml:space="preserve">. Endorphins and exercise: physiological mechanisms and clinical implications. </w:t>
      </w:r>
      <w:r w:rsidRPr="003D7C1C">
        <w:rPr>
          <w:rFonts w:ascii="Arial" w:hAnsi="Arial" w:cs="Arial"/>
          <w:i/>
          <w:iCs/>
          <w:noProof/>
          <w:sz w:val="20"/>
        </w:rPr>
        <w:t>Med Sci Sport Exerc</w:t>
      </w:r>
      <w:r w:rsidRPr="003D7C1C">
        <w:rPr>
          <w:rFonts w:ascii="Arial" w:hAnsi="Arial" w:cs="Arial"/>
          <w:noProof/>
          <w:sz w:val="20"/>
        </w:rPr>
        <w:t xml:space="preserve"> 22: 417-428., 1990.</w:t>
      </w:r>
    </w:p>
    <w:p w14:paraId="022B0966"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67. </w:t>
      </w:r>
      <w:r w:rsidRPr="003D7C1C">
        <w:rPr>
          <w:rFonts w:ascii="Arial" w:hAnsi="Arial" w:cs="Arial"/>
          <w:noProof/>
          <w:sz w:val="20"/>
        </w:rPr>
        <w:tab/>
      </w:r>
      <w:r w:rsidRPr="003D7C1C">
        <w:rPr>
          <w:rFonts w:ascii="Arial" w:hAnsi="Arial" w:cs="Arial"/>
          <w:b/>
          <w:bCs/>
          <w:noProof/>
          <w:sz w:val="20"/>
        </w:rPr>
        <w:t>Vaegter HB</w:t>
      </w:r>
      <w:r w:rsidRPr="003D7C1C">
        <w:rPr>
          <w:rFonts w:ascii="Arial" w:hAnsi="Arial" w:cs="Arial"/>
          <w:noProof/>
          <w:sz w:val="20"/>
        </w:rPr>
        <w:t xml:space="preserve">, </w:t>
      </w:r>
      <w:r w:rsidRPr="003D7C1C">
        <w:rPr>
          <w:rFonts w:ascii="Arial" w:hAnsi="Arial" w:cs="Arial"/>
          <w:b/>
          <w:bCs/>
          <w:noProof/>
          <w:sz w:val="20"/>
        </w:rPr>
        <w:t>Bandholtz D</w:t>
      </w:r>
      <w:r w:rsidRPr="003D7C1C">
        <w:rPr>
          <w:rFonts w:ascii="Arial" w:hAnsi="Arial" w:cs="Arial"/>
          <w:noProof/>
          <w:sz w:val="20"/>
        </w:rPr>
        <w:t xml:space="preserve">, </w:t>
      </w:r>
      <w:r w:rsidRPr="003D7C1C">
        <w:rPr>
          <w:rFonts w:ascii="Arial" w:hAnsi="Arial" w:cs="Arial"/>
          <w:b/>
          <w:bCs/>
          <w:noProof/>
          <w:sz w:val="20"/>
        </w:rPr>
        <w:t>Schmidt KS</w:t>
      </w:r>
      <w:r w:rsidRPr="003D7C1C">
        <w:rPr>
          <w:rFonts w:ascii="Arial" w:hAnsi="Arial" w:cs="Arial"/>
          <w:noProof/>
          <w:sz w:val="20"/>
        </w:rPr>
        <w:t>. Test-Retest Reliabilty of Exercise-Induced Hypoalgesia After Aerobic Exercise. (2018). doi: 10.1093/pm/pny009.</w:t>
      </w:r>
    </w:p>
    <w:p w14:paraId="48143804"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68. </w:t>
      </w:r>
      <w:r w:rsidRPr="003D7C1C">
        <w:rPr>
          <w:rFonts w:ascii="Arial" w:hAnsi="Arial" w:cs="Arial"/>
          <w:noProof/>
          <w:sz w:val="20"/>
        </w:rPr>
        <w:tab/>
      </w:r>
      <w:r w:rsidRPr="003D7C1C">
        <w:rPr>
          <w:rFonts w:ascii="Arial" w:hAnsi="Arial" w:cs="Arial"/>
          <w:b/>
          <w:bCs/>
          <w:noProof/>
          <w:sz w:val="20"/>
        </w:rPr>
        <w:t>Vaegter HB</w:t>
      </w:r>
      <w:r w:rsidRPr="003D7C1C">
        <w:rPr>
          <w:rFonts w:ascii="Arial" w:hAnsi="Arial" w:cs="Arial"/>
          <w:noProof/>
          <w:sz w:val="20"/>
        </w:rPr>
        <w:t xml:space="preserve">, </w:t>
      </w:r>
      <w:r w:rsidRPr="003D7C1C">
        <w:rPr>
          <w:rFonts w:ascii="Arial" w:hAnsi="Arial" w:cs="Arial"/>
          <w:b/>
          <w:bCs/>
          <w:noProof/>
          <w:sz w:val="20"/>
        </w:rPr>
        <w:t>Handberg G</w:t>
      </w:r>
      <w:r w:rsidRPr="003D7C1C">
        <w:rPr>
          <w:rFonts w:ascii="Arial" w:hAnsi="Arial" w:cs="Arial"/>
          <w:noProof/>
          <w:sz w:val="20"/>
        </w:rPr>
        <w:t xml:space="preserve">, </w:t>
      </w:r>
      <w:r w:rsidRPr="003D7C1C">
        <w:rPr>
          <w:rFonts w:ascii="Arial" w:hAnsi="Arial" w:cs="Arial"/>
          <w:b/>
          <w:bCs/>
          <w:noProof/>
          <w:sz w:val="20"/>
        </w:rPr>
        <w:t>Graven-Nielsen T</w:t>
      </w:r>
      <w:r w:rsidRPr="003D7C1C">
        <w:rPr>
          <w:rFonts w:ascii="Arial" w:hAnsi="Arial" w:cs="Arial"/>
          <w:noProof/>
          <w:sz w:val="20"/>
        </w:rPr>
        <w:t xml:space="preserve">. Similarities between exercise-induced hypoalgesia and conditioned pain modulation in humans. </w:t>
      </w:r>
      <w:r w:rsidRPr="003D7C1C">
        <w:rPr>
          <w:rFonts w:ascii="Arial" w:hAnsi="Arial" w:cs="Arial"/>
          <w:i/>
          <w:iCs/>
          <w:noProof/>
          <w:sz w:val="20"/>
        </w:rPr>
        <w:t>Pain</w:t>
      </w:r>
      <w:r w:rsidRPr="003D7C1C">
        <w:rPr>
          <w:rFonts w:ascii="Arial" w:hAnsi="Arial" w:cs="Arial"/>
          <w:noProof/>
          <w:sz w:val="20"/>
        </w:rPr>
        <w:t xml:space="preserve"> 155: 158–167, 2014.</w:t>
      </w:r>
    </w:p>
    <w:p w14:paraId="4AB5C081"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69. </w:t>
      </w:r>
      <w:r w:rsidRPr="003D7C1C">
        <w:rPr>
          <w:rFonts w:ascii="Arial" w:hAnsi="Arial" w:cs="Arial"/>
          <w:noProof/>
          <w:sz w:val="20"/>
        </w:rPr>
        <w:tab/>
      </w:r>
      <w:r w:rsidRPr="003D7C1C">
        <w:rPr>
          <w:rFonts w:ascii="Arial" w:hAnsi="Arial" w:cs="Arial"/>
          <w:b/>
          <w:bCs/>
          <w:noProof/>
          <w:sz w:val="20"/>
        </w:rPr>
        <w:t>Vaegter HB</w:t>
      </w:r>
      <w:r w:rsidRPr="003D7C1C">
        <w:rPr>
          <w:rFonts w:ascii="Arial" w:hAnsi="Arial" w:cs="Arial"/>
          <w:noProof/>
          <w:sz w:val="20"/>
        </w:rPr>
        <w:t xml:space="preserve">, </w:t>
      </w:r>
      <w:r w:rsidRPr="003D7C1C">
        <w:rPr>
          <w:rFonts w:ascii="Arial" w:hAnsi="Arial" w:cs="Arial"/>
          <w:b/>
          <w:bCs/>
          <w:noProof/>
          <w:sz w:val="20"/>
        </w:rPr>
        <w:t>Kathrine L</w:t>
      </w:r>
      <w:r w:rsidRPr="003D7C1C">
        <w:rPr>
          <w:rFonts w:ascii="Arial" w:hAnsi="Arial" w:cs="Arial"/>
          <w:noProof/>
          <w:sz w:val="20"/>
        </w:rPr>
        <w:t xml:space="preserve">, </w:t>
      </w:r>
      <w:r w:rsidRPr="003D7C1C">
        <w:rPr>
          <w:rFonts w:ascii="Arial" w:hAnsi="Arial" w:cs="Arial"/>
          <w:b/>
          <w:bCs/>
          <w:noProof/>
          <w:sz w:val="20"/>
        </w:rPr>
        <w:t>Mia B</w:t>
      </w:r>
      <w:r w:rsidRPr="003D7C1C">
        <w:rPr>
          <w:rFonts w:ascii="Arial" w:hAnsi="Arial" w:cs="Arial"/>
          <w:noProof/>
          <w:sz w:val="20"/>
        </w:rPr>
        <w:t xml:space="preserve">, </w:t>
      </w:r>
      <w:r w:rsidRPr="003D7C1C">
        <w:rPr>
          <w:rFonts w:ascii="Arial" w:hAnsi="Arial" w:cs="Arial"/>
          <w:b/>
          <w:bCs/>
          <w:noProof/>
          <w:sz w:val="20"/>
        </w:rPr>
        <w:t>Redin M</w:t>
      </w:r>
      <w:r w:rsidRPr="003D7C1C">
        <w:rPr>
          <w:rFonts w:ascii="Arial" w:hAnsi="Arial" w:cs="Arial"/>
          <w:noProof/>
          <w:sz w:val="20"/>
        </w:rPr>
        <w:t xml:space="preserve">, </w:t>
      </w:r>
      <w:r w:rsidRPr="003D7C1C">
        <w:rPr>
          <w:rFonts w:ascii="Arial" w:hAnsi="Arial" w:cs="Arial"/>
          <w:b/>
          <w:bCs/>
          <w:noProof/>
          <w:sz w:val="20"/>
        </w:rPr>
        <w:t>Hartung S</w:t>
      </w:r>
      <w:r w:rsidRPr="003D7C1C">
        <w:rPr>
          <w:rFonts w:ascii="Arial" w:hAnsi="Arial" w:cs="Arial"/>
          <w:noProof/>
          <w:sz w:val="20"/>
        </w:rPr>
        <w:t xml:space="preserve">, </w:t>
      </w:r>
      <w:r w:rsidRPr="003D7C1C">
        <w:rPr>
          <w:rFonts w:ascii="Arial" w:hAnsi="Arial" w:cs="Arial"/>
          <w:b/>
          <w:bCs/>
          <w:noProof/>
          <w:sz w:val="20"/>
        </w:rPr>
        <w:t>Nielsen TG</w:t>
      </w:r>
      <w:r w:rsidRPr="003D7C1C">
        <w:rPr>
          <w:rFonts w:ascii="Arial" w:hAnsi="Arial" w:cs="Arial"/>
          <w:noProof/>
          <w:sz w:val="20"/>
        </w:rPr>
        <w:t xml:space="preserve">. Hypoalgesia after bicycling at lactate threshold is reliable between sessions. </w:t>
      </w:r>
      <w:r w:rsidRPr="003D7C1C">
        <w:rPr>
          <w:rFonts w:ascii="Arial" w:hAnsi="Arial" w:cs="Arial"/>
          <w:i/>
          <w:iCs/>
          <w:noProof/>
          <w:sz w:val="20"/>
        </w:rPr>
        <w:t>Eur J Appl Physiol</w:t>
      </w:r>
      <w:r w:rsidRPr="003D7C1C">
        <w:rPr>
          <w:rFonts w:ascii="Arial" w:hAnsi="Arial" w:cs="Arial"/>
          <w:noProof/>
          <w:sz w:val="20"/>
        </w:rPr>
        <w:t xml:space="preserve"> 19: 91–102, 2018.</w:t>
      </w:r>
    </w:p>
    <w:p w14:paraId="39A6F78B"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70. </w:t>
      </w:r>
      <w:r w:rsidRPr="003D7C1C">
        <w:rPr>
          <w:rFonts w:ascii="Arial" w:hAnsi="Arial" w:cs="Arial"/>
          <w:noProof/>
          <w:sz w:val="20"/>
        </w:rPr>
        <w:tab/>
      </w:r>
      <w:r w:rsidRPr="003D7C1C">
        <w:rPr>
          <w:rFonts w:ascii="Arial" w:hAnsi="Arial" w:cs="Arial"/>
          <w:b/>
          <w:bCs/>
          <w:noProof/>
          <w:sz w:val="20"/>
        </w:rPr>
        <w:t>Vaegter HB</w:t>
      </w:r>
      <w:r w:rsidRPr="003D7C1C">
        <w:rPr>
          <w:rFonts w:ascii="Arial" w:hAnsi="Arial" w:cs="Arial"/>
          <w:noProof/>
          <w:sz w:val="20"/>
        </w:rPr>
        <w:t xml:space="preserve">, </w:t>
      </w:r>
      <w:r w:rsidRPr="003D7C1C">
        <w:rPr>
          <w:rFonts w:ascii="Arial" w:hAnsi="Arial" w:cs="Arial"/>
          <w:b/>
          <w:bCs/>
          <w:noProof/>
          <w:sz w:val="20"/>
        </w:rPr>
        <w:t>Lyng KD</w:t>
      </w:r>
      <w:r w:rsidRPr="003D7C1C">
        <w:rPr>
          <w:rFonts w:ascii="Arial" w:hAnsi="Arial" w:cs="Arial"/>
          <w:noProof/>
          <w:sz w:val="20"/>
        </w:rPr>
        <w:t xml:space="preserve">, </w:t>
      </w:r>
      <w:r w:rsidRPr="003D7C1C">
        <w:rPr>
          <w:rFonts w:ascii="Arial" w:hAnsi="Arial" w:cs="Arial"/>
          <w:b/>
          <w:bCs/>
          <w:noProof/>
          <w:sz w:val="20"/>
        </w:rPr>
        <w:t>Yttereng FW</w:t>
      </w:r>
      <w:r w:rsidRPr="003D7C1C">
        <w:rPr>
          <w:rFonts w:ascii="Arial" w:hAnsi="Arial" w:cs="Arial"/>
          <w:noProof/>
          <w:sz w:val="20"/>
        </w:rPr>
        <w:t xml:space="preserve">, </w:t>
      </w:r>
      <w:r w:rsidRPr="003D7C1C">
        <w:rPr>
          <w:rFonts w:ascii="Arial" w:hAnsi="Arial" w:cs="Arial"/>
          <w:b/>
          <w:bCs/>
          <w:noProof/>
          <w:sz w:val="20"/>
        </w:rPr>
        <w:t>Christensen MH</w:t>
      </w:r>
      <w:r w:rsidRPr="003D7C1C">
        <w:rPr>
          <w:rFonts w:ascii="Arial" w:hAnsi="Arial" w:cs="Arial"/>
          <w:noProof/>
          <w:sz w:val="20"/>
        </w:rPr>
        <w:t xml:space="preserve">, </w:t>
      </w:r>
      <w:r w:rsidRPr="003D7C1C">
        <w:rPr>
          <w:rFonts w:ascii="Arial" w:hAnsi="Arial" w:cs="Arial"/>
          <w:b/>
          <w:bCs/>
          <w:noProof/>
          <w:sz w:val="20"/>
        </w:rPr>
        <w:t>Sørensen MB</w:t>
      </w:r>
      <w:r w:rsidRPr="003D7C1C">
        <w:rPr>
          <w:rFonts w:ascii="Arial" w:hAnsi="Arial" w:cs="Arial"/>
          <w:noProof/>
          <w:sz w:val="20"/>
        </w:rPr>
        <w:t xml:space="preserve">, </w:t>
      </w:r>
      <w:r w:rsidRPr="003D7C1C">
        <w:rPr>
          <w:rFonts w:ascii="Arial" w:hAnsi="Arial" w:cs="Arial"/>
          <w:b/>
          <w:bCs/>
          <w:noProof/>
          <w:sz w:val="20"/>
        </w:rPr>
        <w:t>Graven-Nielsen T</w:t>
      </w:r>
      <w:r w:rsidRPr="003D7C1C">
        <w:rPr>
          <w:rFonts w:ascii="Arial" w:hAnsi="Arial" w:cs="Arial"/>
          <w:noProof/>
          <w:sz w:val="20"/>
        </w:rPr>
        <w:t xml:space="preserve">. Exercise-Induced Hypoalgesia After Isometric Wall Squat Exercise: A Test-Retest Reliabilty Study. </w:t>
      </w:r>
      <w:r w:rsidRPr="003D7C1C">
        <w:rPr>
          <w:rFonts w:ascii="Arial" w:hAnsi="Arial" w:cs="Arial"/>
          <w:i/>
          <w:iCs/>
          <w:noProof/>
          <w:sz w:val="20"/>
        </w:rPr>
        <w:t>Pain Med</w:t>
      </w:r>
      <w:r w:rsidRPr="003D7C1C">
        <w:rPr>
          <w:rFonts w:ascii="Arial" w:hAnsi="Arial" w:cs="Arial"/>
          <w:noProof/>
          <w:sz w:val="20"/>
        </w:rPr>
        <w:t xml:space="preserve"> 20: 129–137, 2019.</w:t>
      </w:r>
    </w:p>
    <w:p w14:paraId="557371C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71. </w:t>
      </w:r>
      <w:r w:rsidRPr="003D7C1C">
        <w:rPr>
          <w:rFonts w:ascii="Arial" w:hAnsi="Arial" w:cs="Arial"/>
          <w:noProof/>
          <w:sz w:val="20"/>
        </w:rPr>
        <w:tab/>
      </w:r>
      <w:r w:rsidRPr="003D7C1C">
        <w:rPr>
          <w:rFonts w:ascii="Arial" w:hAnsi="Arial" w:cs="Arial"/>
          <w:b/>
          <w:bCs/>
          <w:noProof/>
          <w:sz w:val="20"/>
        </w:rPr>
        <w:t>Watkins BA</w:t>
      </w:r>
      <w:r w:rsidRPr="003D7C1C">
        <w:rPr>
          <w:rFonts w:ascii="Arial" w:hAnsi="Arial" w:cs="Arial"/>
          <w:noProof/>
          <w:sz w:val="20"/>
        </w:rPr>
        <w:t xml:space="preserve">. Molecular Aspects of Medicine Endocannabinoids, exercise, pain, and a path to health with aging. </w:t>
      </w:r>
      <w:r w:rsidRPr="003D7C1C">
        <w:rPr>
          <w:rFonts w:ascii="Arial" w:hAnsi="Arial" w:cs="Arial"/>
          <w:i/>
          <w:iCs/>
          <w:noProof/>
          <w:sz w:val="20"/>
        </w:rPr>
        <w:t>Mol Aspects Med</w:t>
      </w:r>
      <w:r w:rsidRPr="003D7C1C">
        <w:rPr>
          <w:rFonts w:ascii="Arial" w:hAnsi="Arial" w:cs="Arial"/>
          <w:noProof/>
          <w:sz w:val="20"/>
        </w:rPr>
        <w:t xml:space="preserve"> 64: 68–78, 2018.</w:t>
      </w:r>
    </w:p>
    <w:p w14:paraId="48E1AB4D" w14:textId="77777777" w:rsidR="003D7C1C" w:rsidRPr="003D7C1C" w:rsidRDefault="003D7C1C" w:rsidP="003D7C1C">
      <w:pPr>
        <w:widowControl w:val="0"/>
        <w:autoSpaceDE w:val="0"/>
        <w:autoSpaceDN w:val="0"/>
        <w:adjustRightInd w:val="0"/>
        <w:spacing w:after="0" w:line="360" w:lineRule="auto"/>
        <w:ind w:left="640" w:hanging="640"/>
        <w:rPr>
          <w:rFonts w:ascii="Arial" w:hAnsi="Arial" w:cs="Arial"/>
          <w:noProof/>
          <w:sz w:val="20"/>
        </w:rPr>
      </w:pPr>
      <w:r w:rsidRPr="003D7C1C">
        <w:rPr>
          <w:rFonts w:ascii="Arial" w:hAnsi="Arial" w:cs="Arial"/>
          <w:noProof/>
          <w:sz w:val="20"/>
        </w:rPr>
        <w:t xml:space="preserve">72. </w:t>
      </w:r>
      <w:r w:rsidRPr="003D7C1C">
        <w:rPr>
          <w:rFonts w:ascii="Arial" w:hAnsi="Arial" w:cs="Arial"/>
          <w:noProof/>
          <w:sz w:val="20"/>
        </w:rPr>
        <w:tab/>
      </w:r>
      <w:r w:rsidRPr="003D7C1C">
        <w:rPr>
          <w:rFonts w:ascii="Arial" w:hAnsi="Arial" w:cs="Arial"/>
          <w:b/>
          <w:bCs/>
          <w:noProof/>
          <w:sz w:val="20"/>
        </w:rPr>
        <w:t>World Medical Association</w:t>
      </w:r>
      <w:r w:rsidRPr="003D7C1C">
        <w:rPr>
          <w:rFonts w:ascii="Arial" w:hAnsi="Arial" w:cs="Arial"/>
          <w:noProof/>
          <w:sz w:val="20"/>
        </w:rPr>
        <w:t xml:space="preserve">. World Medical Association Declaration of Helsinki. Ethical principles for medical research involving human subjects. </w:t>
      </w:r>
      <w:r w:rsidRPr="003D7C1C">
        <w:rPr>
          <w:rFonts w:ascii="Arial" w:hAnsi="Arial" w:cs="Arial"/>
          <w:i/>
          <w:iCs/>
          <w:noProof/>
          <w:sz w:val="20"/>
        </w:rPr>
        <w:t>J Am Med Assoc</w:t>
      </w:r>
      <w:r w:rsidRPr="003D7C1C">
        <w:rPr>
          <w:rFonts w:ascii="Arial" w:hAnsi="Arial" w:cs="Arial"/>
          <w:noProof/>
          <w:sz w:val="20"/>
        </w:rPr>
        <w:t xml:space="preserve"> 310: 2191–2194, 2013.</w:t>
      </w:r>
    </w:p>
    <w:p w14:paraId="2EAF9CA6" w14:textId="14757D0C" w:rsidR="00A54A75" w:rsidRPr="008072C7" w:rsidRDefault="00BA63FF" w:rsidP="003D7C1C">
      <w:pPr>
        <w:widowControl w:val="0"/>
        <w:autoSpaceDE w:val="0"/>
        <w:autoSpaceDN w:val="0"/>
        <w:adjustRightInd w:val="0"/>
        <w:spacing w:after="0" w:line="360" w:lineRule="auto"/>
        <w:ind w:left="640" w:hanging="640"/>
        <w:rPr>
          <w:rFonts w:ascii="Arial" w:hAnsi="Arial" w:cs="Arial"/>
          <w:b/>
          <w:bCs/>
          <w:color w:val="000000" w:themeColor="text1"/>
          <w:sz w:val="20"/>
          <w:szCs w:val="20"/>
        </w:rPr>
        <w:sectPr w:rsidR="00A54A75" w:rsidRPr="008072C7" w:rsidSect="0043482D">
          <w:pgSz w:w="11900" w:h="16840"/>
          <w:pgMar w:top="1440" w:right="1440" w:bottom="1440" w:left="1440" w:header="708" w:footer="708" w:gutter="0"/>
          <w:lnNumType w:countBy="1" w:restart="continuous"/>
          <w:cols w:space="708"/>
          <w:docGrid w:linePitch="360"/>
        </w:sectPr>
      </w:pPr>
      <w:r w:rsidRPr="008072C7">
        <w:rPr>
          <w:rFonts w:ascii="Arial" w:hAnsi="Arial" w:cs="Arial"/>
          <w:b/>
          <w:bCs/>
          <w:color w:val="000000" w:themeColor="text1"/>
          <w:sz w:val="20"/>
          <w:szCs w:val="20"/>
        </w:rPr>
        <w:fldChar w:fldCharType="end"/>
      </w:r>
      <w:r w:rsidR="00A54A75" w:rsidRPr="008072C7">
        <w:rPr>
          <w:rFonts w:ascii="Arial" w:hAnsi="Arial" w:cs="Arial"/>
          <w:color w:val="000000" w:themeColor="text1"/>
          <w:sz w:val="20"/>
          <w:szCs w:val="20"/>
        </w:rPr>
        <w:tab/>
      </w:r>
    </w:p>
    <w:p w14:paraId="795BDA0E" w14:textId="77777777" w:rsidR="00A54A75" w:rsidRPr="008072C7" w:rsidRDefault="00A54A75" w:rsidP="00A54A75">
      <w:pPr>
        <w:spacing w:before="24" w:after="0" w:line="360" w:lineRule="auto"/>
        <w:rPr>
          <w:rFonts w:ascii="Arial" w:eastAsia="Arial" w:hAnsi="Arial" w:cs="Arial"/>
          <w:b/>
          <w:bCs/>
          <w:noProof/>
          <w:color w:val="000000" w:themeColor="text1"/>
          <w:sz w:val="20"/>
          <w:szCs w:val="20"/>
        </w:rPr>
      </w:pPr>
      <w:bookmarkStart w:id="0" w:name="1"/>
      <w:bookmarkEnd w:id="0"/>
      <w:r w:rsidRPr="008072C7">
        <w:rPr>
          <w:rFonts w:ascii="Arial" w:eastAsia="Arial" w:hAnsi="Arial" w:cs="Arial"/>
          <w:b/>
          <w:bCs/>
          <w:noProof/>
          <w:color w:val="000000" w:themeColor="text1"/>
          <w:sz w:val="20"/>
          <w:szCs w:val="20"/>
        </w:rPr>
        <w:lastRenderedPageBreak/>
        <w:t xml:space="preserve">Figures legends </w:t>
      </w:r>
    </w:p>
    <w:p w14:paraId="53C936E8" w14:textId="77777777" w:rsidR="00A54A75" w:rsidRPr="008072C7" w:rsidRDefault="00A54A75" w:rsidP="00A54A75">
      <w:pPr>
        <w:spacing w:after="0"/>
        <w:rPr>
          <w:rFonts w:ascii="ArialMT" w:eastAsia="ArialMT" w:hAnsi="ArialMT" w:cs="ArialMT"/>
          <w:noProof/>
          <w:color w:val="000000" w:themeColor="text1"/>
          <w:sz w:val="20"/>
          <w:szCs w:val="20"/>
        </w:rPr>
      </w:pPr>
    </w:p>
    <w:p w14:paraId="694C4ACE" w14:textId="77777777" w:rsidR="00A54A75" w:rsidRPr="008072C7" w:rsidRDefault="00A54A75" w:rsidP="00A54A75">
      <w:pPr>
        <w:rPr>
          <w:rFonts w:ascii="ArialMT" w:eastAsia="ArialMT" w:hAnsi="ArialMT" w:cs="ArialMT"/>
          <w:noProof/>
          <w:color w:val="000000" w:themeColor="text1"/>
          <w:sz w:val="20"/>
          <w:szCs w:val="20"/>
        </w:rPr>
      </w:pPr>
      <w:r w:rsidRPr="008072C7">
        <w:rPr>
          <w:rFonts w:ascii="Arial" w:eastAsia="Arial" w:hAnsi="Arial" w:cs="Arial"/>
          <w:b/>
          <w:bCs/>
          <w:noProof/>
          <w:color w:val="000000" w:themeColor="text1"/>
          <w:spacing w:val="-1"/>
          <w:sz w:val="20"/>
          <w:szCs w:val="20"/>
        </w:rPr>
        <w:t>Fi</w:t>
      </w:r>
      <w:r w:rsidRPr="008072C7">
        <w:rPr>
          <w:rFonts w:ascii="Arial" w:eastAsia="Arial" w:hAnsi="Arial" w:cs="Arial"/>
          <w:b/>
          <w:bCs/>
          <w:noProof/>
          <w:color w:val="000000" w:themeColor="text1"/>
          <w:sz w:val="20"/>
          <w:szCs w:val="20"/>
        </w:rPr>
        <w:t xml:space="preserve">gure 1. </w:t>
      </w:r>
      <w:r w:rsidRPr="008072C7">
        <w:rPr>
          <w:rFonts w:ascii="ArialMT" w:eastAsia="ArialMT" w:hAnsi="ArialMT" w:cs="ArialMT"/>
          <w:noProof/>
          <w:color w:val="000000" w:themeColor="text1"/>
          <w:sz w:val="20"/>
          <w:szCs w:val="20"/>
        </w:rPr>
        <w:t>Model demonstrating the potential mediating effect of beta-endorphin, 2-arachidonoylglycerol and discomfort on the relationship between exercise intervention and pressure pain threshold. M</w:t>
      </w:r>
      <w:r w:rsidRPr="008072C7">
        <w:rPr>
          <w:rFonts w:ascii="ArialMT" w:eastAsia="ArialMT" w:hAnsi="ArialMT" w:cs="ArialMT"/>
          <w:noProof/>
          <w:color w:val="000000" w:themeColor="text1"/>
          <w:sz w:val="20"/>
          <w:szCs w:val="20"/>
          <w:vertAlign w:val="subscript"/>
        </w:rPr>
        <w:t>1-3</w:t>
      </w:r>
      <w:r w:rsidRPr="008072C7">
        <w:rPr>
          <w:rFonts w:ascii="ArialMT" w:eastAsia="ArialMT" w:hAnsi="ArialMT" w:cs="ArialMT"/>
          <w:noProof/>
          <w:color w:val="000000" w:themeColor="text1"/>
          <w:sz w:val="20"/>
          <w:szCs w:val="20"/>
        </w:rPr>
        <w:t xml:space="preserve"> = mediator; A</w:t>
      </w:r>
      <w:r w:rsidRPr="008072C7">
        <w:rPr>
          <w:rFonts w:ascii="ArialMT" w:eastAsia="ArialMT" w:hAnsi="ArialMT" w:cs="ArialMT"/>
          <w:noProof/>
          <w:color w:val="000000" w:themeColor="text1"/>
          <w:sz w:val="20"/>
          <w:szCs w:val="20"/>
          <w:vertAlign w:val="subscript"/>
        </w:rPr>
        <w:t xml:space="preserve">1-3 </w:t>
      </w:r>
      <w:r w:rsidRPr="008072C7">
        <w:rPr>
          <w:rFonts w:ascii="ArialMT" w:eastAsia="ArialMT" w:hAnsi="ArialMT" w:cs="ArialMT"/>
          <w:noProof/>
          <w:color w:val="000000" w:themeColor="text1"/>
          <w:sz w:val="20"/>
          <w:szCs w:val="20"/>
        </w:rPr>
        <w:t>= effect of independent variable on the mediator; B</w:t>
      </w:r>
      <w:r w:rsidRPr="008072C7">
        <w:rPr>
          <w:rFonts w:ascii="ArialMT" w:eastAsia="ArialMT" w:hAnsi="ArialMT" w:cs="ArialMT"/>
          <w:noProof/>
          <w:color w:val="000000" w:themeColor="text1"/>
          <w:sz w:val="20"/>
          <w:szCs w:val="20"/>
          <w:vertAlign w:val="subscript"/>
        </w:rPr>
        <w:t>1-3</w:t>
      </w:r>
      <w:r w:rsidRPr="008072C7">
        <w:rPr>
          <w:rFonts w:ascii="ArialMT" w:eastAsia="ArialMT" w:hAnsi="ArialMT" w:cs="ArialMT"/>
          <w:noProof/>
          <w:color w:val="000000" w:themeColor="text1"/>
          <w:sz w:val="20"/>
          <w:szCs w:val="20"/>
        </w:rPr>
        <w:t xml:space="preserve"> = effect of mediator on dependent variable; C’ = direct effect. BE = beta-endorphin; 2AG = 2-arachidonoylglycerol; PPT = pressure pain threshold.</w:t>
      </w:r>
    </w:p>
    <w:p w14:paraId="2EDEA996" w14:textId="77777777" w:rsidR="00A54A75" w:rsidRPr="008072C7" w:rsidRDefault="00A54A75" w:rsidP="00A54A75">
      <w:pPr>
        <w:spacing w:after="0"/>
        <w:rPr>
          <w:rFonts w:ascii="ArialMT" w:eastAsia="ArialMT" w:hAnsi="ArialMT" w:cs="ArialMT"/>
          <w:noProof/>
          <w:color w:val="000000" w:themeColor="text1"/>
          <w:sz w:val="20"/>
          <w:szCs w:val="20"/>
        </w:rPr>
      </w:pPr>
      <w:r w:rsidRPr="008072C7">
        <w:rPr>
          <w:rFonts w:ascii="Arial" w:eastAsia="Arial" w:hAnsi="Arial" w:cs="Arial"/>
          <w:b/>
          <w:bCs/>
          <w:noProof/>
          <w:color w:val="000000" w:themeColor="text1"/>
          <w:spacing w:val="-1"/>
          <w:sz w:val="20"/>
          <w:szCs w:val="20"/>
        </w:rPr>
        <w:t>Fi</w:t>
      </w:r>
      <w:r w:rsidRPr="008072C7">
        <w:rPr>
          <w:rFonts w:ascii="Arial" w:eastAsia="Arial" w:hAnsi="Arial" w:cs="Arial"/>
          <w:b/>
          <w:bCs/>
          <w:noProof/>
          <w:color w:val="000000" w:themeColor="text1"/>
          <w:spacing w:val="3"/>
          <w:sz w:val="20"/>
          <w:szCs w:val="20"/>
        </w:rPr>
        <w:t xml:space="preserve">gure </w:t>
      </w:r>
      <w:r w:rsidRPr="008072C7">
        <w:rPr>
          <w:rFonts w:ascii="Arial" w:eastAsia="Arial" w:hAnsi="Arial" w:cs="Arial"/>
          <w:b/>
          <w:bCs/>
          <w:noProof/>
          <w:color w:val="000000" w:themeColor="text1"/>
          <w:spacing w:val="-2"/>
          <w:sz w:val="20"/>
          <w:szCs w:val="20"/>
        </w:rPr>
        <w:t>2</w:t>
      </w:r>
      <w:r w:rsidRPr="008072C7">
        <w:rPr>
          <w:rFonts w:ascii="Arial" w:eastAsia="Arial" w:hAnsi="Arial" w:cs="Arial"/>
          <w:b/>
          <w:bCs/>
          <w:noProof/>
          <w:color w:val="000000" w:themeColor="text1"/>
          <w:spacing w:val="9"/>
          <w:sz w:val="20"/>
          <w:szCs w:val="20"/>
        </w:rPr>
        <w:t xml:space="preserve">. </w:t>
      </w:r>
      <w:r w:rsidRPr="008072C7">
        <w:rPr>
          <w:rFonts w:ascii="Arial" w:eastAsia="Arial" w:hAnsi="Arial" w:cs="Arial"/>
          <w:noProof/>
          <w:color w:val="000000" w:themeColor="text1"/>
          <w:spacing w:val="9"/>
          <w:sz w:val="20"/>
          <w:szCs w:val="20"/>
        </w:rPr>
        <w:t>A-D) Mean ± SD at each timepoint and E-H) individual change in PPT, at each assessment site, for each experimental condition (n=12)</w:t>
      </w:r>
      <w:r w:rsidRPr="008072C7">
        <w:rPr>
          <w:rFonts w:ascii="ArialMT" w:eastAsia="ArialMT" w:hAnsi="ArialMT" w:cs="ArialMT"/>
          <w:noProof/>
          <w:color w:val="000000" w:themeColor="text1"/>
          <w:sz w:val="20"/>
          <w:szCs w:val="20"/>
        </w:rPr>
        <w:t xml:space="preserve">. </w:t>
      </w:r>
      <w:r w:rsidRPr="008072C7">
        <w:rPr>
          <w:rFonts w:ascii="ArialMT" w:eastAsia="ArialMT" w:hAnsi="ArialMT" w:cs="ArialMT"/>
          <w:noProof/>
          <w:color w:val="000000" w:themeColor="text1"/>
          <w:spacing w:val="-1"/>
          <w:sz w:val="20"/>
          <w:szCs w:val="20"/>
        </w:rPr>
        <w:t>† = significantly increased compared to pre</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z w:val="20"/>
          <w:szCs w:val="20"/>
        </w:rPr>
        <w:t xml:space="preserve">exercise (p&lt;0.01); </w:t>
      </w:r>
      <w:r w:rsidRPr="008072C7">
        <w:rPr>
          <w:rFonts w:ascii="ArialMT" w:eastAsia="ArialMT" w:hAnsi="ArialMT" w:cs="ArialMT"/>
          <w:noProof/>
          <w:color w:val="000000" w:themeColor="text1"/>
          <w:spacing w:val="1"/>
          <w:sz w:val="20"/>
          <w:szCs w:val="20"/>
        </w:rPr>
        <w:t xml:space="preserve">* = significantly greater than LLRE (p&lt;0.01); </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3"/>
          <w:sz w:val="20"/>
          <w:szCs w:val="20"/>
        </w:rPr>
        <w:t xml:space="preserve"> </w:t>
      </w:r>
      <w:r w:rsidRPr="008072C7">
        <w:rPr>
          <w:rFonts w:ascii="ArialMT" w:eastAsia="ArialMT" w:hAnsi="ArialMT" w:cs="ArialMT"/>
          <w:noProof/>
          <w:color w:val="000000" w:themeColor="text1"/>
          <w:spacing w:val="1"/>
          <w:sz w:val="20"/>
          <w:szCs w:val="20"/>
        </w:rPr>
        <w:t xml:space="preserve">= significantly greater than other conditions (p&lt;0.01); # </w:t>
      </w:r>
      <w:r w:rsidRPr="008072C7">
        <w:rPr>
          <w:rFonts w:ascii="ArialMT" w:eastAsia="ArialMT" w:hAnsi="ArialMT" w:cs="ArialMT"/>
          <w:noProof/>
          <w:color w:val="000000" w:themeColor="text1"/>
          <w:spacing w:val="2"/>
          <w:sz w:val="20"/>
          <w:szCs w:val="20"/>
        </w:rPr>
        <w:t xml:space="preserve">= significantly higher than LLRE and HLRE (p&lt;0.01). PPT; pressure pain threshold; LLRE; light load </w:t>
      </w:r>
      <w:r w:rsidRPr="008072C7">
        <w:rPr>
          <w:rFonts w:ascii="ArialMT" w:eastAsia="ArialMT" w:hAnsi="ArialMT" w:cs="ArialMT"/>
          <w:noProof/>
          <w:color w:val="000000" w:themeColor="text1"/>
          <w:spacing w:val="1"/>
          <w:sz w:val="20"/>
          <w:szCs w:val="20"/>
        </w:rPr>
        <w:t>resistance exercise; BFR40; blood flow restriction at 40% limb occlusion pressure; BFR80; blood fl</w:t>
      </w:r>
      <w:r w:rsidRPr="008072C7">
        <w:rPr>
          <w:rFonts w:ascii="ArialMT" w:eastAsia="ArialMT" w:hAnsi="ArialMT" w:cs="ArialMT"/>
          <w:noProof/>
          <w:color w:val="000000" w:themeColor="text1"/>
          <w:sz w:val="20"/>
          <w:szCs w:val="20"/>
        </w:rPr>
        <w:t xml:space="preserve">ow restriction at 80% limb occlusion pressure; HLRE; heavy load resistance exercise. </w:t>
      </w:r>
    </w:p>
    <w:p w14:paraId="2F1CB6C9" w14:textId="77777777" w:rsidR="00A54A75" w:rsidRPr="008072C7" w:rsidRDefault="00A54A75" w:rsidP="00A54A75">
      <w:pPr>
        <w:spacing w:after="0" w:line="360" w:lineRule="auto"/>
        <w:rPr>
          <w:rFonts w:ascii="ArialMT" w:eastAsia="ArialMT" w:hAnsi="ArialMT" w:cs="ArialMT"/>
          <w:noProof/>
          <w:color w:val="000000" w:themeColor="text1"/>
          <w:sz w:val="20"/>
          <w:szCs w:val="20"/>
        </w:rPr>
      </w:pPr>
    </w:p>
    <w:p w14:paraId="7B9D07F2" w14:textId="77777777" w:rsidR="00A54A75" w:rsidRPr="008072C7" w:rsidRDefault="00A54A75" w:rsidP="00A54A75">
      <w:pPr>
        <w:spacing w:after="0"/>
        <w:rPr>
          <w:rFonts w:ascii="Arial" w:eastAsia="Arial" w:hAnsi="Arial" w:cs="Arial"/>
          <w:b/>
          <w:bCs/>
          <w:noProof/>
          <w:color w:val="000000" w:themeColor="text1"/>
          <w:spacing w:val="-1"/>
          <w:sz w:val="20"/>
          <w:szCs w:val="20"/>
        </w:rPr>
      </w:pPr>
      <w:r w:rsidRPr="008072C7">
        <w:rPr>
          <w:rFonts w:ascii="Arial" w:eastAsia="Arial" w:hAnsi="Arial" w:cs="Arial"/>
          <w:b/>
          <w:bCs/>
          <w:noProof/>
          <w:color w:val="000000" w:themeColor="text1"/>
          <w:spacing w:val="-1"/>
          <w:sz w:val="20"/>
          <w:szCs w:val="20"/>
        </w:rPr>
        <w:t>Fi</w:t>
      </w:r>
      <w:r w:rsidRPr="008072C7">
        <w:rPr>
          <w:rFonts w:ascii="Arial" w:eastAsia="Arial" w:hAnsi="Arial" w:cs="Arial"/>
          <w:b/>
          <w:bCs/>
          <w:noProof/>
          <w:color w:val="000000" w:themeColor="text1"/>
          <w:spacing w:val="7"/>
          <w:sz w:val="20"/>
          <w:szCs w:val="20"/>
        </w:rPr>
        <w:t xml:space="preserve">gure </w:t>
      </w:r>
      <w:r w:rsidRPr="008072C7">
        <w:rPr>
          <w:rFonts w:ascii="Arial" w:eastAsia="Arial" w:hAnsi="Arial" w:cs="Arial"/>
          <w:b/>
          <w:bCs/>
          <w:noProof/>
          <w:color w:val="000000" w:themeColor="text1"/>
          <w:spacing w:val="-2"/>
          <w:sz w:val="20"/>
          <w:szCs w:val="20"/>
        </w:rPr>
        <w:t>3</w:t>
      </w:r>
      <w:r w:rsidRPr="008072C7">
        <w:rPr>
          <w:rFonts w:ascii="Arial" w:eastAsia="Arial" w:hAnsi="Arial" w:cs="Arial"/>
          <w:b/>
          <w:bCs/>
          <w:noProof/>
          <w:color w:val="000000" w:themeColor="text1"/>
          <w:spacing w:val="18"/>
          <w:sz w:val="20"/>
          <w:szCs w:val="20"/>
        </w:rPr>
        <w:t xml:space="preserve">. </w:t>
      </w:r>
      <w:r w:rsidRPr="008072C7">
        <w:rPr>
          <w:rFonts w:ascii="Arial" w:eastAsia="Arial" w:hAnsi="Arial" w:cs="Arial"/>
          <w:noProof/>
          <w:color w:val="000000" w:themeColor="text1"/>
          <w:spacing w:val="9"/>
          <w:sz w:val="20"/>
          <w:szCs w:val="20"/>
        </w:rPr>
        <w:t>A-B) Mean ± SD after each set of exercise and C-D) individual change in RPE and muscle discomfort for each experimental condition (n=12)</w:t>
      </w:r>
      <w:r w:rsidRPr="008072C7">
        <w:rPr>
          <w:rFonts w:ascii="ArialMT" w:eastAsia="ArialMT" w:hAnsi="ArialMT" w:cs="ArialMT"/>
          <w:noProof/>
          <w:color w:val="000000" w:themeColor="text1"/>
          <w:sz w:val="20"/>
          <w:szCs w:val="20"/>
        </w:rPr>
        <w:t xml:space="preserve">. </w:t>
      </w:r>
      <w:r w:rsidRPr="008072C7">
        <w:rPr>
          <w:rFonts w:ascii="ArialMT" w:eastAsia="ArialMT" w:hAnsi="ArialMT" w:cs="ArialMT"/>
          <w:noProof/>
          <w:color w:val="000000" w:themeColor="text1"/>
          <w:spacing w:val="33"/>
          <w:sz w:val="20"/>
          <w:szCs w:val="20"/>
        </w:rPr>
        <w:t xml:space="preserve">† </w:t>
      </w:r>
      <w:r w:rsidRPr="008072C7">
        <w:rPr>
          <w:rFonts w:ascii="ArialMT" w:eastAsia="ArialMT" w:hAnsi="ArialMT" w:cs="ArialMT"/>
          <w:noProof/>
          <w:color w:val="000000" w:themeColor="text1"/>
          <w:sz w:val="20"/>
          <w:szCs w:val="20"/>
        </w:rPr>
        <w:t xml:space="preserve">= </w:t>
      </w:r>
      <w:r w:rsidRPr="008072C7">
        <w:rPr>
          <w:rFonts w:ascii="ArialMT" w:eastAsia="ArialMT" w:hAnsi="ArialMT" w:cs="ArialMT"/>
          <w:noProof/>
          <w:color w:val="000000" w:themeColor="text1"/>
          <w:spacing w:val="-2"/>
          <w:sz w:val="20"/>
          <w:szCs w:val="20"/>
        </w:rPr>
        <w:t xml:space="preserve">significantly greater than LLRE (p&lt;0.01); ‡ = significantly greater </w:t>
      </w:r>
      <w:r w:rsidRPr="008072C7">
        <w:rPr>
          <w:rFonts w:ascii="ArialMT" w:eastAsia="ArialMT" w:hAnsi="ArialMT" w:cs="ArialMT"/>
          <w:noProof/>
          <w:color w:val="000000" w:themeColor="text1"/>
          <w:sz w:val="20"/>
          <w:szCs w:val="20"/>
        </w:rPr>
        <w:t>HLRE</w:t>
      </w:r>
      <w:r w:rsidRPr="008072C7">
        <w:rPr>
          <w:rFonts w:ascii="ArialMT" w:eastAsia="ArialMT" w:hAnsi="ArialMT" w:cs="ArialMT"/>
          <w:noProof/>
          <w:color w:val="000000" w:themeColor="text1"/>
          <w:spacing w:val="-14"/>
          <w:sz w:val="20"/>
          <w:szCs w:val="20"/>
        </w:rPr>
        <w:t xml:space="preserve"> </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1"/>
          <w:sz w:val="20"/>
          <w:szCs w:val="20"/>
        </w:rPr>
        <w:t xml:space="preserve">p&lt;0.01); # = significantly higher </w:t>
      </w:r>
      <w:r w:rsidRPr="008072C7">
        <w:rPr>
          <w:rFonts w:ascii="ArialMT" w:eastAsia="ArialMT" w:hAnsi="ArialMT" w:cs="ArialMT"/>
          <w:noProof/>
          <w:color w:val="000000" w:themeColor="text1"/>
          <w:sz w:val="20"/>
          <w:szCs w:val="20"/>
        </w:rPr>
        <w:t xml:space="preserve">than BFR40 (p&lt;0.01). RPE; rating of perceived exertion; LLRE; light load resistance exercise; BFR40; </w:t>
      </w:r>
      <w:r w:rsidRPr="008072C7">
        <w:rPr>
          <w:rFonts w:ascii="ArialMT" w:eastAsia="ArialMT" w:hAnsi="ArialMT" w:cs="ArialMT"/>
          <w:noProof/>
          <w:color w:val="000000" w:themeColor="text1"/>
          <w:spacing w:val="7"/>
          <w:sz w:val="20"/>
          <w:szCs w:val="20"/>
        </w:rPr>
        <w:t xml:space="preserve">blood </w:t>
      </w:r>
      <w:r w:rsidRPr="008072C7">
        <w:rPr>
          <w:rFonts w:ascii="ArialMT" w:eastAsia="ArialMT" w:hAnsi="ArialMT" w:cs="ArialMT"/>
          <w:noProof/>
          <w:color w:val="000000" w:themeColor="text1"/>
          <w:spacing w:val="9"/>
          <w:sz w:val="20"/>
          <w:szCs w:val="20"/>
        </w:rPr>
        <w:t xml:space="preserve">flow </w:t>
      </w:r>
      <w:r w:rsidRPr="008072C7">
        <w:rPr>
          <w:rFonts w:ascii="ArialMT" w:eastAsia="ArialMT" w:hAnsi="ArialMT" w:cs="ArialMT"/>
          <w:noProof/>
          <w:color w:val="000000" w:themeColor="text1"/>
          <w:spacing w:val="4"/>
          <w:sz w:val="20"/>
          <w:szCs w:val="20"/>
        </w:rPr>
        <w:t xml:space="preserve">restriction </w:t>
      </w:r>
      <w:r w:rsidRPr="008072C7">
        <w:rPr>
          <w:rFonts w:ascii="ArialMT" w:eastAsia="ArialMT" w:hAnsi="ArialMT" w:cs="ArialMT"/>
          <w:noProof/>
          <w:color w:val="000000" w:themeColor="text1"/>
          <w:spacing w:val="14"/>
          <w:sz w:val="20"/>
          <w:szCs w:val="20"/>
        </w:rPr>
        <w:t xml:space="preserve">at </w:t>
      </w:r>
      <w:r w:rsidRPr="008072C7">
        <w:rPr>
          <w:rFonts w:ascii="ArialMT" w:eastAsia="ArialMT" w:hAnsi="ArialMT" w:cs="ArialMT"/>
          <w:noProof/>
          <w:color w:val="000000" w:themeColor="text1"/>
          <w:spacing w:val="11"/>
          <w:sz w:val="20"/>
          <w:szCs w:val="20"/>
        </w:rPr>
        <w:t xml:space="preserve">40% </w:t>
      </w:r>
      <w:r w:rsidRPr="008072C7">
        <w:rPr>
          <w:rFonts w:ascii="ArialMT" w:eastAsia="ArialMT" w:hAnsi="ArialMT" w:cs="ArialMT"/>
          <w:noProof/>
          <w:color w:val="000000" w:themeColor="text1"/>
          <w:spacing w:val="9"/>
          <w:sz w:val="20"/>
          <w:szCs w:val="20"/>
        </w:rPr>
        <w:t xml:space="preserve">limb </w:t>
      </w:r>
      <w:r w:rsidRPr="008072C7">
        <w:rPr>
          <w:rFonts w:ascii="ArialMT" w:eastAsia="ArialMT" w:hAnsi="ArialMT" w:cs="ArialMT"/>
          <w:noProof/>
          <w:color w:val="000000" w:themeColor="text1"/>
          <w:spacing w:val="4"/>
          <w:sz w:val="20"/>
          <w:szCs w:val="20"/>
        </w:rPr>
        <w:t xml:space="preserve">occlusion pressure; </w:t>
      </w:r>
      <w:r w:rsidRPr="008072C7">
        <w:rPr>
          <w:rFonts w:ascii="ArialMT" w:eastAsia="ArialMT" w:hAnsi="ArialMT" w:cs="ArialMT"/>
          <w:noProof/>
          <w:color w:val="000000" w:themeColor="text1"/>
          <w:spacing w:val="6"/>
          <w:sz w:val="20"/>
          <w:szCs w:val="20"/>
        </w:rPr>
        <w:t xml:space="preserve">BFR80; </w:t>
      </w:r>
      <w:r w:rsidRPr="008072C7">
        <w:rPr>
          <w:rFonts w:ascii="ArialMT" w:eastAsia="ArialMT" w:hAnsi="ArialMT" w:cs="ArialMT"/>
          <w:noProof/>
          <w:color w:val="000000" w:themeColor="text1"/>
          <w:spacing w:val="7"/>
          <w:sz w:val="20"/>
          <w:szCs w:val="20"/>
        </w:rPr>
        <w:t xml:space="preserve">blood </w:t>
      </w:r>
      <w:r w:rsidRPr="008072C7">
        <w:rPr>
          <w:rFonts w:ascii="ArialMT" w:eastAsia="ArialMT" w:hAnsi="ArialMT" w:cs="ArialMT"/>
          <w:noProof/>
          <w:color w:val="000000" w:themeColor="text1"/>
          <w:spacing w:val="9"/>
          <w:sz w:val="20"/>
          <w:szCs w:val="20"/>
        </w:rPr>
        <w:t xml:space="preserve">flow </w:t>
      </w:r>
      <w:r w:rsidRPr="008072C7">
        <w:rPr>
          <w:rFonts w:ascii="ArialMT" w:eastAsia="ArialMT" w:hAnsi="ArialMT" w:cs="ArialMT"/>
          <w:noProof/>
          <w:color w:val="000000" w:themeColor="text1"/>
          <w:spacing w:val="4"/>
          <w:sz w:val="20"/>
          <w:szCs w:val="20"/>
        </w:rPr>
        <w:t xml:space="preserve">restriction </w:t>
      </w:r>
      <w:r w:rsidRPr="008072C7">
        <w:rPr>
          <w:rFonts w:ascii="ArialMT" w:eastAsia="ArialMT" w:hAnsi="ArialMT" w:cs="ArialMT"/>
          <w:noProof/>
          <w:color w:val="000000" w:themeColor="text1"/>
          <w:spacing w:val="14"/>
          <w:sz w:val="20"/>
          <w:szCs w:val="20"/>
        </w:rPr>
        <w:t xml:space="preserve">at </w:t>
      </w:r>
      <w:r w:rsidRPr="008072C7">
        <w:rPr>
          <w:rFonts w:ascii="ArialMT" w:eastAsia="ArialMT" w:hAnsi="ArialMT" w:cs="ArialMT"/>
          <w:noProof/>
          <w:color w:val="000000" w:themeColor="text1"/>
          <w:spacing w:val="11"/>
          <w:sz w:val="20"/>
          <w:szCs w:val="20"/>
        </w:rPr>
        <w:t xml:space="preserve">80% </w:t>
      </w:r>
      <w:r w:rsidRPr="008072C7">
        <w:rPr>
          <w:rFonts w:ascii="ArialMT" w:eastAsia="ArialMT" w:hAnsi="ArialMT" w:cs="ArialMT"/>
          <w:noProof/>
          <w:color w:val="000000" w:themeColor="text1"/>
          <w:sz w:val="20"/>
          <w:szCs w:val="20"/>
        </w:rPr>
        <w:t xml:space="preserve">limb occlusion pressure; HLRE; heavy load resistance exercise. </w:t>
      </w:r>
    </w:p>
    <w:p w14:paraId="5246C154" w14:textId="77777777" w:rsidR="00A54A75" w:rsidRPr="008072C7" w:rsidRDefault="00A54A75" w:rsidP="00A54A75">
      <w:pPr>
        <w:spacing w:after="0"/>
        <w:rPr>
          <w:rFonts w:ascii="ArialMT" w:eastAsia="ArialMT" w:hAnsi="ArialMT" w:cs="ArialMT"/>
          <w:noProof/>
          <w:color w:val="000000" w:themeColor="text1"/>
          <w:sz w:val="20"/>
          <w:szCs w:val="20"/>
        </w:rPr>
      </w:pPr>
    </w:p>
    <w:p w14:paraId="7F739B70" w14:textId="583835DD" w:rsidR="00A54A75" w:rsidRDefault="00A54A75" w:rsidP="00A54A75">
      <w:pPr>
        <w:spacing w:after="0"/>
        <w:rPr>
          <w:rFonts w:ascii="ArialMT" w:eastAsia="ArialMT" w:hAnsi="ArialMT" w:cs="ArialMT"/>
          <w:noProof/>
          <w:color w:val="000000" w:themeColor="text1"/>
          <w:sz w:val="20"/>
          <w:szCs w:val="20"/>
        </w:rPr>
      </w:pPr>
      <w:r w:rsidRPr="008072C7">
        <w:rPr>
          <w:rFonts w:ascii="Arial" w:eastAsia="Arial" w:hAnsi="Arial" w:cs="Arial"/>
          <w:b/>
          <w:bCs/>
          <w:noProof/>
          <w:color w:val="000000" w:themeColor="text1"/>
          <w:spacing w:val="-1"/>
          <w:sz w:val="20"/>
          <w:szCs w:val="20"/>
        </w:rPr>
        <w:t>Fi</w:t>
      </w:r>
      <w:r w:rsidRPr="008072C7">
        <w:rPr>
          <w:rFonts w:ascii="Arial" w:eastAsia="Arial" w:hAnsi="Arial" w:cs="Arial"/>
          <w:b/>
          <w:bCs/>
          <w:noProof/>
          <w:color w:val="000000" w:themeColor="text1"/>
          <w:spacing w:val="3"/>
          <w:sz w:val="20"/>
          <w:szCs w:val="20"/>
        </w:rPr>
        <w:t xml:space="preserve">gure </w:t>
      </w:r>
      <w:r w:rsidRPr="008072C7">
        <w:rPr>
          <w:rFonts w:ascii="Arial" w:eastAsia="Arial" w:hAnsi="Arial" w:cs="Arial"/>
          <w:b/>
          <w:bCs/>
          <w:noProof/>
          <w:color w:val="000000" w:themeColor="text1"/>
          <w:spacing w:val="-2"/>
          <w:sz w:val="20"/>
          <w:szCs w:val="20"/>
        </w:rPr>
        <w:t>4</w:t>
      </w:r>
      <w:r w:rsidRPr="008072C7">
        <w:rPr>
          <w:rFonts w:ascii="Arial" w:eastAsia="Arial" w:hAnsi="Arial" w:cs="Arial"/>
          <w:b/>
          <w:bCs/>
          <w:noProof/>
          <w:color w:val="000000" w:themeColor="text1"/>
          <w:spacing w:val="7"/>
          <w:sz w:val="20"/>
          <w:szCs w:val="20"/>
        </w:rPr>
        <w:t xml:space="preserve">. </w:t>
      </w:r>
      <w:r w:rsidRPr="008072C7">
        <w:rPr>
          <w:rFonts w:ascii="Arial" w:eastAsia="Arial" w:hAnsi="Arial" w:cs="Arial"/>
          <w:noProof/>
          <w:color w:val="000000" w:themeColor="text1"/>
          <w:spacing w:val="7"/>
          <w:sz w:val="20"/>
          <w:szCs w:val="20"/>
        </w:rPr>
        <w:t xml:space="preserve">A-B) Mean ± SD and C-D) individual change in </w:t>
      </w:r>
      <w:r w:rsidRPr="008072C7">
        <w:rPr>
          <w:rFonts w:ascii="ArialMT" w:eastAsia="ArialMT" w:hAnsi="ArialMT" w:cs="ArialMT"/>
          <w:noProof/>
          <w:color w:val="000000" w:themeColor="text1"/>
          <w:spacing w:val="2"/>
          <w:sz w:val="20"/>
          <w:szCs w:val="20"/>
        </w:rPr>
        <w:t>blood plasma concentration of beta</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2"/>
          <w:sz w:val="20"/>
          <w:szCs w:val="20"/>
        </w:rPr>
        <w:t>endorphin and 2</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1"/>
          <w:sz w:val="20"/>
          <w:szCs w:val="20"/>
        </w:rPr>
        <w:t xml:space="preserve">arachidonoylglycerol at </w:t>
      </w:r>
      <w:r w:rsidRPr="008072C7">
        <w:rPr>
          <w:rFonts w:ascii="ArialMT" w:eastAsia="ArialMT" w:hAnsi="ArialMT" w:cs="ArialMT"/>
          <w:noProof/>
          <w:color w:val="000000" w:themeColor="text1"/>
          <w:spacing w:val="-1"/>
          <w:sz w:val="20"/>
          <w:szCs w:val="20"/>
        </w:rPr>
        <w:t>pre</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1"/>
          <w:sz w:val="20"/>
          <w:szCs w:val="20"/>
        </w:rPr>
        <w:t>exercise, 5min and 24h post</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pacing w:val="1"/>
          <w:sz w:val="20"/>
          <w:szCs w:val="20"/>
        </w:rPr>
        <w:t>exercise for each condition (n=12). * = significantly different to pre</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z w:val="20"/>
          <w:szCs w:val="20"/>
        </w:rPr>
        <w:t xml:space="preserve">exercise </w:t>
      </w:r>
      <w:r w:rsidRPr="008072C7">
        <w:rPr>
          <w:rFonts w:ascii="ArialMT" w:eastAsia="ArialMT" w:hAnsi="ArialMT" w:cs="ArialMT"/>
          <w:noProof/>
          <w:color w:val="000000" w:themeColor="text1"/>
          <w:spacing w:val="2"/>
          <w:sz w:val="20"/>
          <w:szCs w:val="20"/>
        </w:rPr>
        <w:t xml:space="preserve">(p&lt;0.01); † = significantly greater than HLRE (p&lt;0.01). </w:t>
      </w:r>
      <w:r w:rsidRPr="008072C7">
        <w:rPr>
          <w:rFonts w:ascii="ArialMT" w:eastAsia="ArialMT" w:hAnsi="ArialMT" w:cs="ArialMT"/>
          <w:noProof/>
          <w:color w:val="000000" w:themeColor="text1"/>
          <w:spacing w:val="1"/>
          <w:sz w:val="20"/>
          <w:szCs w:val="20"/>
        </w:rPr>
        <w:t xml:space="preserve">LLRE; light load resistance exercise; BFR40; </w:t>
      </w:r>
      <w:r w:rsidRPr="008072C7">
        <w:rPr>
          <w:rFonts w:ascii="ArialMT" w:eastAsia="ArialMT" w:hAnsi="ArialMT" w:cs="ArialMT"/>
          <w:noProof/>
          <w:color w:val="000000" w:themeColor="text1"/>
          <w:spacing w:val="7"/>
          <w:sz w:val="20"/>
          <w:szCs w:val="20"/>
        </w:rPr>
        <w:t xml:space="preserve">blood </w:t>
      </w:r>
      <w:r w:rsidRPr="008072C7">
        <w:rPr>
          <w:rFonts w:ascii="ArialMT" w:eastAsia="ArialMT" w:hAnsi="ArialMT" w:cs="ArialMT"/>
          <w:noProof/>
          <w:color w:val="000000" w:themeColor="text1"/>
          <w:spacing w:val="9"/>
          <w:sz w:val="20"/>
          <w:szCs w:val="20"/>
        </w:rPr>
        <w:t xml:space="preserve">flow </w:t>
      </w:r>
      <w:r w:rsidRPr="008072C7">
        <w:rPr>
          <w:rFonts w:ascii="ArialMT" w:eastAsia="ArialMT" w:hAnsi="ArialMT" w:cs="ArialMT"/>
          <w:noProof/>
          <w:color w:val="000000" w:themeColor="text1"/>
          <w:spacing w:val="4"/>
          <w:sz w:val="20"/>
          <w:szCs w:val="20"/>
        </w:rPr>
        <w:t xml:space="preserve">restriction </w:t>
      </w:r>
      <w:r w:rsidRPr="008072C7">
        <w:rPr>
          <w:rFonts w:ascii="ArialMT" w:eastAsia="ArialMT" w:hAnsi="ArialMT" w:cs="ArialMT"/>
          <w:noProof/>
          <w:color w:val="000000" w:themeColor="text1"/>
          <w:spacing w:val="14"/>
          <w:sz w:val="20"/>
          <w:szCs w:val="20"/>
        </w:rPr>
        <w:t xml:space="preserve">at </w:t>
      </w:r>
      <w:r w:rsidRPr="008072C7">
        <w:rPr>
          <w:rFonts w:ascii="ArialMT" w:eastAsia="ArialMT" w:hAnsi="ArialMT" w:cs="ArialMT"/>
          <w:noProof/>
          <w:color w:val="000000" w:themeColor="text1"/>
          <w:spacing w:val="11"/>
          <w:sz w:val="20"/>
          <w:szCs w:val="20"/>
        </w:rPr>
        <w:t xml:space="preserve">40% </w:t>
      </w:r>
      <w:r w:rsidRPr="008072C7">
        <w:rPr>
          <w:rFonts w:ascii="ArialMT" w:eastAsia="ArialMT" w:hAnsi="ArialMT" w:cs="ArialMT"/>
          <w:noProof/>
          <w:color w:val="000000" w:themeColor="text1"/>
          <w:spacing w:val="9"/>
          <w:sz w:val="20"/>
          <w:szCs w:val="20"/>
        </w:rPr>
        <w:t xml:space="preserve">limb </w:t>
      </w:r>
      <w:r w:rsidRPr="008072C7">
        <w:rPr>
          <w:rFonts w:ascii="ArialMT" w:eastAsia="ArialMT" w:hAnsi="ArialMT" w:cs="ArialMT"/>
          <w:noProof/>
          <w:color w:val="000000" w:themeColor="text1"/>
          <w:spacing w:val="4"/>
          <w:sz w:val="20"/>
          <w:szCs w:val="20"/>
        </w:rPr>
        <w:t xml:space="preserve">occlusion pressure; </w:t>
      </w:r>
      <w:r w:rsidRPr="008072C7">
        <w:rPr>
          <w:rFonts w:ascii="ArialMT" w:eastAsia="ArialMT" w:hAnsi="ArialMT" w:cs="ArialMT"/>
          <w:noProof/>
          <w:color w:val="000000" w:themeColor="text1"/>
          <w:spacing w:val="6"/>
          <w:sz w:val="20"/>
          <w:szCs w:val="20"/>
        </w:rPr>
        <w:t xml:space="preserve">BFR80; </w:t>
      </w:r>
      <w:r w:rsidRPr="008072C7">
        <w:rPr>
          <w:rFonts w:ascii="ArialMT" w:eastAsia="ArialMT" w:hAnsi="ArialMT" w:cs="ArialMT"/>
          <w:noProof/>
          <w:color w:val="000000" w:themeColor="text1"/>
          <w:spacing w:val="7"/>
          <w:sz w:val="20"/>
          <w:szCs w:val="20"/>
        </w:rPr>
        <w:t xml:space="preserve">blood </w:t>
      </w:r>
      <w:r w:rsidRPr="008072C7">
        <w:rPr>
          <w:rFonts w:ascii="ArialMT" w:eastAsia="ArialMT" w:hAnsi="ArialMT" w:cs="ArialMT"/>
          <w:noProof/>
          <w:color w:val="000000" w:themeColor="text1"/>
          <w:spacing w:val="9"/>
          <w:sz w:val="20"/>
          <w:szCs w:val="20"/>
        </w:rPr>
        <w:t xml:space="preserve">flow </w:t>
      </w:r>
      <w:r w:rsidRPr="008072C7">
        <w:rPr>
          <w:rFonts w:ascii="ArialMT" w:eastAsia="ArialMT" w:hAnsi="ArialMT" w:cs="ArialMT"/>
          <w:noProof/>
          <w:color w:val="000000" w:themeColor="text1"/>
          <w:spacing w:val="4"/>
          <w:sz w:val="20"/>
          <w:szCs w:val="20"/>
        </w:rPr>
        <w:t xml:space="preserve">restriction </w:t>
      </w:r>
      <w:r w:rsidRPr="008072C7">
        <w:rPr>
          <w:rFonts w:ascii="ArialMT" w:eastAsia="ArialMT" w:hAnsi="ArialMT" w:cs="ArialMT"/>
          <w:noProof/>
          <w:color w:val="000000" w:themeColor="text1"/>
          <w:spacing w:val="14"/>
          <w:sz w:val="20"/>
          <w:szCs w:val="20"/>
        </w:rPr>
        <w:t xml:space="preserve">at </w:t>
      </w:r>
      <w:r w:rsidRPr="008072C7">
        <w:rPr>
          <w:rFonts w:ascii="ArialMT" w:eastAsia="ArialMT" w:hAnsi="ArialMT" w:cs="ArialMT"/>
          <w:noProof/>
          <w:color w:val="000000" w:themeColor="text1"/>
          <w:spacing w:val="11"/>
          <w:sz w:val="20"/>
          <w:szCs w:val="20"/>
        </w:rPr>
        <w:t xml:space="preserve">80% </w:t>
      </w:r>
      <w:r w:rsidRPr="008072C7">
        <w:rPr>
          <w:rFonts w:ascii="ArialMT" w:eastAsia="ArialMT" w:hAnsi="ArialMT" w:cs="ArialMT"/>
          <w:noProof/>
          <w:color w:val="000000" w:themeColor="text1"/>
          <w:sz w:val="20"/>
          <w:szCs w:val="20"/>
        </w:rPr>
        <w:t>limb occlusion pressure; HLRE; heavy load resistance exercise</w:t>
      </w:r>
      <w:r w:rsidRPr="008072C7">
        <w:rPr>
          <w:rFonts w:ascii="ArialMT" w:eastAsia="ArialMT" w:hAnsi="ArialMT" w:cs="ArialMT"/>
          <w:noProof/>
          <w:color w:val="000000" w:themeColor="text1"/>
          <w:spacing w:val="-2"/>
          <w:sz w:val="20"/>
          <w:szCs w:val="20"/>
        </w:rPr>
        <w:t>.</w:t>
      </w:r>
      <w:r w:rsidRPr="008072C7">
        <w:rPr>
          <w:rFonts w:ascii="ArialMT" w:eastAsia="ArialMT" w:hAnsi="ArialMT" w:cs="ArialMT"/>
          <w:noProof/>
          <w:color w:val="000000" w:themeColor="text1"/>
          <w:sz w:val="20"/>
          <w:szCs w:val="20"/>
        </w:rPr>
        <w:t xml:space="preserve"> </w:t>
      </w:r>
    </w:p>
    <w:p w14:paraId="7F773D3E" w14:textId="1C756B30" w:rsidR="00626ABC" w:rsidRDefault="00626ABC" w:rsidP="00A54A75">
      <w:pPr>
        <w:spacing w:after="0"/>
        <w:rPr>
          <w:rFonts w:ascii="ArialMT" w:eastAsia="ArialMT" w:hAnsi="ArialMT" w:cs="ArialMT"/>
          <w:noProof/>
          <w:color w:val="000000" w:themeColor="text1"/>
          <w:sz w:val="20"/>
          <w:szCs w:val="20"/>
        </w:rPr>
      </w:pPr>
    </w:p>
    <w:p w14:paraId="5F9DC70F" w14:textId="42EA7440" w:rsidR="00626ABC" w:rsidRDefault="00626ABC" w:rsidP="00A54A75">
      <w:pPr>
        <w:spacing w:after="0"/>
        <w:rPr>
          <w:rFonts w:ascii="ArialMT" w:eastAsia="ArialMT" w:hAnsi="ArialMT" w:cs="ArialMT"/>
          <w:noProof/>
          <w:color w:val="000000" w:themeColor="text1"/>
          <w:sz w:val="20"/>
          <w:szCs w:val="20"/>
        </w:rPr>
      </w:pPr>
    </w:p>
    <w:p w14:paraId="321D26C9" w14:textId="77777777" w:rsidR="00626ABC" w:rsidRDefault="00626ABC" w:rsidP="00A54A75">
      <w:pPr>
        <w:spacing w:after="0"/>
        <w:rPr>
          <w:rFonts w:ascii="ArialMT" w:eastAsia="ArialMT" w:hAnsi="ArialMT" w:cs="ArialMT"/>
          <w:noProof/>
          <w:color w:val="000000" w:themeColor="text1"/>
          <w:sz w:val="20"/>
          <w:szCs w:val="20"/>
        </w:rPr>
        <w:sectPr w:rsidR="00626ABC" w:rsidSect="00A54A75">
          <w:pgSz w:w="11900" w:h="16840"/>
          <w:pgMar w:top="1440" w:right="1363" w:bottom="1440" w:left="1440" w:header="708" w:footer="708" w:gutter="0"/>
          <w:cols w:space="720"/>
        </w:sectPr>
      </w:pPr>
    </w:p>
    <w:p w14:paraId="377A8102" w14:textId="2D4A2058" w:rsidR="00626ABC" w:rsidRDefault="00626ABC" w:rsidP="00626ABC">
      <w:pPr>
        <w:spacing w:after="0"/>
        <w:rPr>
          <w:rFonts w:ascii="ArialMT" w:eastAsia="ArialMT" w:hAnsi="ArialMT" w:cs="ArialMT"/>
          <w:b/>
          <w:bCs/>
          <w:noProof/>
          <w:color w:val="000000" w:themeColor="text1"/>
          <w:sz w:val="20"/>
          <w:szCs w:val="20"/>
        </w:rPr>
      </w:pPr>
      <w:r w:rsidRPr="00626ABC">
        <w:rPr>
          <w:rFonts w:ascii="ArialMT" w:eastAsia="ArialMT" w:hAnsi="ArialMT" w:cs="ArialMT"/>
          <w:b/>
          <w:bCs/>
          <w:noProof/>
          <w:color w:val="000000" w:themeColor="text1"/>
          <w:sz w:val="20"/>
          <w:szCs w:val="20"/>
        </w:rPr>
        <w:lastRenderedPageBreak/>
        <w:t>Table legends</w:t>
      </w:r>
    </w:p>
    <w:p w14:paraId="0FC7A17E" w14:textId="788B2A39" w:rsidR="00626ABC" w:rsidRDefault="00626ABC" w:rsidP="00626ABC">
      <w:pPr>
        <w:spacing w:after="0"/>
        <w:rPr>
          <w:rFonts w:ascii="ArialMT" w:eastAsia="ArialMT" w:hAnsi="ArialMT" w:cs="ArialMT"/>
          <w:b/>
          <w:bCs/>
          <w:noProof/>
          <w:color w:val="000000" w:themeColor="text1"/>
          <w:sz w:val="20"/>
          <w:szCs w:val="20"/>
        </w:rPr>
      </w:pPr>
    </w:p>
    <w:p w14:paraId="206EAD12" w14:textId="6D6DD705" w:rsidR="00626ABC" w:rsidRDefault="00626ABC" w:rsidP="00626ABC">
      <w:pPr>
        <w:rPr>
          <w:rFonts w:ascii="Arial" w:hAnsi="Arial" w:cs="Arial"/>
          <w:sz w:val="20"/>
          <w:szCs w:val="20"/>
        </w:rPr>
      </w:pPr>
      <w:r w:rsidRPr="004B3E5C">
        <w:rPr>
          <w:rFonts w:ascii="Arial" w:hAnsi="Arial" w:cs="Arial"/>
          <w:b/>
          <w:bCs/>
          <w:sz w:val="20"/>
          <w:szCs w:val="20"/>
        </w:rPr>
        <w:t xml:space="preserve">Table 1. </w:t>
      </w:r>
      <w:r w:rsidRPr="004B3E5C">
        <w:rPr>
          <w:rFonts w:ascii="Arial" w:hAnsi="Arial" w:cs="Arial"/>
          <w:sz w:val="20"/>
          <w:szCs w:val="20"/>
        </w:rPr>
        <w:t>Baseline blood plasma biomarker and pressure pain threshold values (Mean ± SD).</w:t>
      </w:r>
    </w:p>
    <w:p w14:paraId="2CAD7523" w14:textId="6550B914" w:rsidR="00626ABC" w:rsidRDefault="00626ABC" w:rsidP="00626ABC">
      <w:pPr>
        <w:rPr>
          <w:rFonts w:ascii="Arial" w:hAnsi="Arial" w:cs="Arial"/>
          <w:sz w:val="20"/>
          <w:szCs w:val="20"/>
        </w:rPr>
      </w:pPr>
      <w:r w:rsidRPr="004B3E5C">
        <w:rPr>
          <w:rFonts w:ascii="Arial" w:hAnsi="Arial" w:cs="Arial"/>
          <w:b/>
          <w:bCs/>
          <w:sz w:val="20"/>
          <w:szCs w:val="20"/>
        </w:rPr>
        <w:t xml:space="preserve">Table 2. </w:t>
      </w:r>
      <w:r w:rsidRPr="004B3E5C">
        <w:rPr>
          <w:rFonts w:ascii="Arial" w:hAnsi="Arial" w:cs="Arial"/>
          <w:sz w:val="20"/>
          <w:szCs w:val="20"/>
        </w:rPr>
        <w:t>Exercise parameters and BFR pressures (Mean ± SD).</w:t>
      </w:r>
    </w:p>
    <w:p w14:paraId="3C40A8D7"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b/>
          <w:bCs/>
          <w:sz w:val="21"/>
          <w:szCs w:val="21"/>
          <w:lang w:eastAsia="en-GB"/>
        </w:rPr>
        <w:t xml:space="preserve">Table 3. </w:t>
      </w:r>
      <w:r w:rsidRPr="00626ABC">
        <w:rPr>
          <w:rFonts w:ascii="Arial" w:eastAsia="Times New Roman" w:hAnsi="Arial" w:cs="Arial"/>
          <w:sz w:val="21"/>
          <w:szCs w:val="21"/>
          <w:lang w:eastAsia="en-GB"/>
        </w:rPr>
        <w:t>Coefficients, confidence intervals and significance statistics for mediation analyses.</w:t>
      </w:r>
    </w:p>
    <w:p w14:paraId="6412B1EC" w14:textId="77777777" w:rsidR="00626ABC" w:rsidRPr="004B3E5C" w:rsidRDefault="00626ABC" w:rsidP="00626ABC">
      <w:pPr>
        <w:rPr>
          <w:rFonts w:ascii="Arial" w:hAnsi="Arial" w:cs="Arial"/>
          <w:sz w:val="20"/>
          <w:szCs w:val="20"/>
        </w:rPr>
      </w:pPr>
    </w:p>
    <w:p w14:paraId="238AA179" w14:textId="77777777" w:rsidR="00626ABC" w:rsidRDefault="00626ABC" w:rsidP="00A54A75">
      <w:pPr>
        <w:spacing w:after="0"/>
        <w:rPr>
          <w:rFonts w:ascii="ArialMT" w:eastAsia="ArialMT" w:hAnsi="ArialMT" w:cs="ArialMT"/>
          <w:b/>
          <w:bCs/>
          <w:noProof/>
          <w:color w:val="000000" w:themeColor="text1"/>
          <w:sz w:val="20"/>
          <w:szCs w:val="20"/>
        </w:rPr>
      </w:pPr>
    </w:p>
    <w:p w14:paraId="6C3654DE" w14:textId="77777777" w:rsidR="00626ABC" w:rsidRDefault="00626ABC" w:rsidP="00A54A75">
      <w:pPr>
        <w:spacing w:after="0"/>
        <w:rPr>
          <w:rFonts w:ascii="ArialMT" w:eastAsia="ArialMT" w:hAnsi="ArialMT" w:cs="ArialMT"/>
          <w:b/>
          <w:bCs/>
          <w:noProof/>
          <w:color w:val="000000" w:themeColor="text1"/>
          <w:sz w:val="20"/>
          <w:szCs w:val="20"/>
        </w:rPr>
      </w:pPr>
    </w:p>
    <w:p w14:paraId="4534E7AD" w14:textId="18616A43" w:rsidR="00626ABC" w:rsidRDefault="00626ABC" w:rsidP="00A54A75">
      <w:pPr>
        <w:spacing w:after="0"/>
        <w:rPr>
          <w:rFonts w:ascii="ArialMT" w:eastAsia="ArialMT" w:hAnsi="ArialMT" w:cs="ArialMT"/>
          <w:b/>
          <w:bCs/>
          <w:noProof/>
          <w:color w:val="000000" w:themeColor="text1"/>
          <w:sz w:val="20"/>
          <w:szCs w:val="20"/>
        </w:rPr>
        <w:sectPr w:rsidR="00626ABC" w:rsidSect="00A54A75">
          <w:pgSz w:w="11900" w:h="16840"/>
          <w:pgMar w:top="1440" w:right="1363" w:bottom="1440" w:left="1440" w:header="708" w:footer="708" w:gutter="0"/>
          <w:cols w:space="720"/>
        </w:sectPr>
      </w:pPr>
    </w:p>
    <w:tbl>
      <w:tblPr>
        <w:tblStyle w:val="TableGrid"/>
        <w:tblpPr w:leftFromText="180" w:rightFromText="180" w:vertAnchor="text" w:horzAnchor="margin" w:tblpY="-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1523"/>
        <w:gridCol w:w="1082"/>
        <w:gridCol w:w="1082"/>
        <w:gridCol w:w="1084"/>
      </w:tblGrid>
      <w:tr w:rsidR="00626ABC" w:rsidRPr="004B3E5C" w14:paraId="22EFE086" w14:textId="77777777" w:rsidTr="00626ABC">
        <w:trPr>
          <w:trHeight w:val="289"/>
        </w:trPr>
        <w:tc>
          <w:tcPr>
            <w:tcW w:w="4250" w:type="dxa"/>
            <w:tcBorders>
              <w:top w:val="single" w:sz="18" w:space="0" w:color="000000"/>
              <w:bottom w:val="single" w:sz="18" w:space="0" w:color="000000"/>
            </w:tcBorders>
          </w:tcPr>
          <w:p w14:paraId="22A26CC3"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lastRenderedPageBreak/>
              <w:t>Baseline pressure pain threshold (kgf/cm</w:t>
            </w:r>
            <w:r w:rsidRPr="004B3E5C">
              <w:rPr>
                <w:rFonts w:ascii="Arial" w:hAnsi="Arial" w:cs="Arial"/>
                <w:b/>
                <w:bCs/>
                <w:sz w:val="20"/>
                <w:szCs w:val="20"/>
                <w:vertAlign w:val="superscript"/>
              </w:rPr>
              <w:t>2</w:t>
            </w:r>
            <w:r w:rsidRPr="004B3E5C">
              <w:rPr>
                <w:rFonts w:ascii="Arial" w:hAnsi="Arial" w:cs="Arial"/>
                <w:b/>
                <w:bCs/>
                <w:sz w:val="20"/>
                <w:szCs w:val="20"/>
              </w:rPr>
              <w:t>)</w:t>
            </w:r>
          </w:p>
        </w:tc>
        <w:tc>
          <w:tcPr>
            <w:tcW w:w="1523" w:type="dxa"/>
            <w:tcBorders>
              <w:top w:val="single" w:sz="18" w:space="0" w:color="000000"/>
              <w:bottom w:val="single" w:sz="18" w:space="0" w:color="000000"/>
            </w:tcBorders>
          </w:tcPr>
          <w:p w14:paraId="4C3330C8" w14:textId="77777777" w:rsidR="00626ABC" w:rsidRPr="004B3E5C" w:rsidRDefault="00626ABC" w:rsidP="00626ABC">
            <w:pPr>
              <w:spacing w:line="240" w:lineRule="auto"/>
              <w:rPr>
                <w:rFonts w:ascii="Arial" w:hAnsi="Arial" w:cs="Arial"/>
                <w:sz w:val="20"/>
                <w:szCs w:val="20"/>
              </w:rPr>
            </w:pPr>
          </w:p>
        </w:tc>
        <w:tc>
          <w:tcPr>
            <w:tcW w:w="1082" w:type="dxa"/>
            <w:tcBorders>
              <w:top w:val="single" w:sz="18" w:space="0" w:color="000000"/>
              <w:bottom w:val="single" w:sz="18" w:space="0" w:color="000000"/>
            </w:tcBorders>
          </w:tcPr>
          <w:p w14:paraId="62E34E7B" w14:textId="77777777" w:rsidR="00626ABC" w:rsidRPr="004B3E5C" w:rsidRDefault="00626ABC" w:rsidP="00626ABC">
            <w:pPr>
              <w:spacing w:line="240" w:lineRule="auto"/>
              <w:rPr>
                <w:rFonts w:ascii="Arial" w:hAnsi="Arial" w:cs="Arial"/>
                <w:b/>
                <w:bCs/>
                <w:sz w:val="20"/>
                <w:szCs w:val="20"/>
              </w:rPr>
            </w:pPr>
          </w:p>
        </w:tc>
        <w:tc>
          <w:tcPr>
            <w:tcW w:w="1082" w:type="dxa"/>
            <w:tcBorders>
              <w:top w:val="single" w:sz="18" w:space="0" w:color="000000"/>
              <w:bottom w:val="single" w:sz="18" w:space="0" w:color="000000"/>
            </w:tcBorders>
          </w:tcPr>
          <w:p w14:paraId="4546BF1E" w14:textId="77777777" w:rsidR="00626ABC" w:rsidRPr="004B3E5C" w:rsidRDefault="00626ABC" w:rsidP="00626ABC">
            <w:pPr>
              <w:spacing w:line="240" w:lineRule="auto"/>
              <w:rPr>
                <w:rFonts w:ascii="Arial" w:hAnsi="Arial" w:cs="Arial"/>
                <w:b/>
                <w:bCs/>
                <w:sz w:val="20"/>
                <w:szCs w:val="20"/>
              </w:rPr>
            </w:pPr>
          </w:p>
        </w:tc>
        <w:tc>
          <w:tcPr>
            <w:tcW w:w="1084" w:type="dxa"/>
            <w:tcBorders>
              <w:top w:val="single" w:sz="18" w:space="0" w:color="000000"/>
              <w:bottom w:val="single" w:sz="18" w:space="0" w:color="000000"/>
            </w:tcBorders>
          </w:tcPr>
          <w:p w14:paraId="461EB418" w14:textId="77777777" w:rsidR="00626ABC" w:rsidRPr="004B3E5C" w:rsidRDefault="00626ABC" w:rsidP="00626ABC">
            <w:pPr>
              <w:spacing w:line="240" w:lineRule="auto"/>
              <w:rPr>
                <w:rFonts w:ascii="Arial" w:hAnsi="Arial" w:cs="Arial"/>
                <w:b/>
                <w:bCs/>
                <w:sz w:val="20"/>
                <w:szCs w:val="20"/>
              </w:rPr>
            </w:pPr>
          </w:p>
        </w:tc>
      </w:tr>
      <w:tr w:rsidR="00626ABC" w:rsidRPr="004B3E5C" w14:paraId="33BE47FA" w14:textId="77777777" w:rsidTr="00626ABC">
        <w:trPr>
          <w:trHeight w:val="1448"/>
        </w:trPr>
        <w:tc>
          <w:tcPr>
            <w:tcW w:w="4250" w:type="dxa"/>
            <w:tcBorders>
              <w:top w:val="single" w:sz="18" w:space="0" w:color="000000"/>
            </w:tcBorders>
          </w:tcPr>
          <w:p w14:paraId="67854C6B"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Assessment site</w:t>
            </w:r>
          </w:p>
          <w:p w14:paraId="7FD1999B" w14:textId="77777777" w:rsidR="00626ABC" w:rsidRPr="004B3E5C" w:rsidRDefault="00626ABC" w:rsidP="00626ABC">
            <w:pPr>
              <w:spacing w:line="240" w:lineRule="auto"/>
              <w:ind w:left="182"/>
              <w:rPr>
                <w:rFonts w:ascii="Arial" w:hAnsi="Arial" w:cs="Arial"/>
                <w:sz w:val="20"/>
                <w:szCs w:val="20"/>
              </w:rPr>
            </w:pPr>
            <w:r w:rsidRPr="004B3E5C">
              <w:rPr>
                <w:rFonts w:ascii="Arial" w:hAnsi="Arial" w:cs="Arial"/>
                <w:sz w:val="20"/>
                <w:szCs w:val="20"/>
              </w:rPr>
              <w:t>Dominant quadriceps</w:t>
            </w:r>
          </w:p>
          <w:p w14:paraId="26FECF5D" w14:textId="77777777" w:rsidR="00626ABC" w:rsidRPr="004B3E5C" w:rsidRDefault="00626ABC" w:rsidP="00626ABC">
            <w:pPr>
              <w:spacing w:line="240" w:lineRule="auto"/>
              <w:ind w:left="179"/>
              <w:rPr>
                <w:rFonts w:ascii="Arial" w:hAnsi="Arial" w:cs="Arial"/>
                <w:sz w:val="20"/>
                <w:szCs w:val="20"/>
              </w:rPr>
            </w:pPr>
            <w:r w:rsidRPr="004B3E5C">
              <w:rPr>
                <w:rFonts w:ascii="Arial" w:hAnsi="Arial" w:cs="Arial"/>
                <w:sz w:val="20"/>
                <w:szCs w:val="20"/>
              </w:rPr>
              <w:t>Non-dominant quadriceps</w:t>
            </w:r>
          </w:p>
          <w:p w14:paraId="1865E699" w14:textId="77777777" w:rsidR="00626ABC" w:rsidRPr="004B3E5C" w:rsidRDefault="00626ABC" w:rsidP="00626ABC">
            <w:pPr>
              <w:spacing w:line="240" w:lineRule="auto"/>
              <w:ind w:left="179"/>
              <w:rPr>
                <w:rFonts w:ascii="Arial" w:hAnsi="Arial" w:cs="Arial"/>
                <w:sz w:val="20"/>
                <w:szCs w:val="20"/>
              </w:rPr>
            </w:pPr>
            <w:r w:rsidRPr="004B3E5C">
              <w:rPr>
                <w:rFonts w:ascii="Arial" w:hAnsi="Arial" w:cs="Arial"/>
                <w:sz w:val="20"/>
                <w:szCs w:val="20"/>
              </w:rPr>
              <w:t>Dominant biceps brachii</w:t>
            </w:r>
          </w:p>
          <w:p w14:paraId="184C3DD2" w14:textId="77777777" w:rsidR="00626ABC" w:rsidRPr="004B3E5C" w:rsidRDefault="00626ABC" w:rsidP="00626ABC">
            <w:pPr>
              <w:spacing w:line="240" w:lineRule="auto"/>
              <w:ind w:left="179"/>
              <w:rPr>
                <w:rFonts w:ascii="Arial" w:hAnsi="Arial" w:cs="Arial"/>
                <w:sz w:val="20"/>
                <w:szCs w:val="20"/>
              </w:rPr>
            </w:pPr>
            <w:r w:rsidRPr="004B3E5C">
              <w:rPr>
                <w:rFonts w:ascii="Arial" w:hAnsi="Arial" w:cs="Arial"/>
                <w:sz w:val="20"/>
                <w:szCs w:val="20"/>
              </w:rPr>
              <w:t>Non-dominant trapezius</w:t>
            </w:r>
          </w:p>
        </w:tc>
        <w:tc>
          <w:tcPr>
            <w:tcW w:w="1523" w:type="dxa"/>
            <w:tcBorders>
              <w:top w:val="single" w:sz="18" w:space="0" w:color="000000"/>
            </w:tcBorders>
          </w:tcPr>
          <w:p w14:paraId="3FEC6AA5"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Value</w:t>
            </w:r>
          </w:p>
          <w:p w14:paraId="6BC40F1C"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9.64 ± 2.32</w:t>
            </w:r>
          </w:p>
          <w:p w14:paraId="5B8496D6"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9.49 ± 2.54</w:t>
            </w:r>
          </w:p>
          <w:p w14:paraId="089B7EB7"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3.93 ± 1.27</w:t>
            </w:r>
          </w:p>
          <w:p w14:paraId="5058E655"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4.57 ± 1.20</w:t>
            </w:r>
          </w:p>
        </w:tc>
        <w:tc>
          <w:tcPr>
            <w:tcW w:w="1082" w:type="dxa"/>
            <w:tcBorders>
              <w:top w:val="single" w:sz="18" w:space="0" w:color="000000"/>
            </w:tcBorders>
          </w:tcPr>
          <w:p w14:paraId="7D891907"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ICC</w:t>
            </w:r>
          </w:p>
          <w:p w14:paraId="0F920CB2"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0.97</w:t>
            </w:r>
          </w:p>
          <w:p w14:paraId="70FDB28C"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0.96</w:t>
            </w:r>
          </w:p>
          <w:p w14:paraId="4FB7934E"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0.94</w:t>
            </w:r>
          </w:p>
          <w:p w14:paraId="509AE749"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0.95</w:t>
            </w:r>
          </w:p>
        </w:tc>
        <w:tc>
          <w:tcPr>
            <w:tcW w:w="1082" w:type="dxa"/>
            <w:tcBorders>
              <w:top w:val="single" w:sz="18" w:space="0" w:color="000000"/>
            </w:tcBorders>
          </w:tcPr>
          <w:p w14:paraId="61A7AE17"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SEM</w:t>
            </w:r>
          </w:p>
          <w:p w14:paraId="78CE88A3"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0.10</w:t>
            </w:r>
          </w:p>
          <w:p w14:paraId="265CBEB7"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0.12</w:t>
            </w:r>
          </w:p>
          <w:p w14:paraId="4F0D42BA"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0.21</w:t>
            </w:r>
          </w:p>
          <w:p w14:paraId="4AC5C804"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sz w:val="20"/>
                <w:szCs w:val="20"/>
              </w:rPr>
              <w:t>0.15</w:t>
            </w:r>
          </w:p>
        </w:tc>
        <w:tc>
          <w:tcPr>
            <w:tcW w:w="1084" w:type="dxa"/>
            <w:tcBorders>
              <w:top w:val="single" w:sz="18" w:space="0" w:color="000000"/>
            </w:tcBorders>
          </w:tcPr>
          <w:p w14:paraId="20971141"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MDC</w:t>
            </w:r>
          </w:p>
          <w:p w14:paraId="5E7DAF3F"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0.27</w:t>
            </w:r>
          </w:p>
          <w:p w14:paraId="16B8EC6A"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0.33</w:t>
            </w:r>
          </w:p>
          <w:p w14:paraId="4F5260E5"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0.58</w:t>
            </w:r>
          </w:p>
          <w:p w14:paraId="265C087C"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sz w:val="20"/>
                <w:szCs w:val="20"/>
              </w:rPr>
              <w:t>0.41</w:t>
            </w:r>
          </w:p>
        </w:tc>
      </w:tr>
      <w:tr w:rsidR="00626ABC" w:rsidRPr="004B3E5C" w14:paraId="3ACF95AD" w14:textId="77777777" w:rsidTr="00626ABC">
        <w:trPr>
          <w:trHeight w:val="306"/>
        </w:trPr>
        <w:tc>
          <w:tcPr>
            <w:tcW w:w="4250" w:type="dxa"/>
          </w:tcPr>
          <w:p w14:paraId="25DC0DE0" w14:textId="77777777" w:rsidR="00626ABC" w:rsidRPr="004B3E5C" w:rsidRDefault="00626ABC" w:rsidP="00626ABC">
            <w:pPr>
              <w:spacing w:line="240" w:lineRule="auto"/>
              <w:rPr>
                <w:rFonts w:ascii="Arial" w:hAnsi="Arial" w:cs="Arial"/>
                <w:b/>
                <w:bCs/>
                <w:sz w:val="20"/>
                <w:szCs w:val="20"/>
              </w:rPr>
            </w:pPr>
            <w:r w:rsidRPr="004B3E5C">
              <w:rPr>
                <w:rFonts w:ascii="Arial" w:hAnsi="Arial" w:cs="Arial"/>
                <w:b/>
                <w:bCs/>
                <w:sz w:val="20"/>
                <w:szCs w:val="20"/>
              </w:rPr>
              <w:t>Resting blood plasma markers</w:t>
            </w:r>
          </w:p>
        </w:tc>
        <w:tc>
          <w:tcPr>
            <w:tcW w:w="1523" w:type="dxa"/>
          </w:tcPr>
          <w:p w14:paraId="060D0BDE" w14:textId="77777777" w:rsidR="00626ABC" w:rsidRPr="004B3E5C" w:rsidRDefault="00626ABC" w:rsidP="00626ABC">
            <w:pPr>
              <w:spacing w:line="240" w:lineRule="auto"/>
              <w:rPr>
                <w:rFonts w:ascii="Arial" w:hAnsi="Arial" w:cs="Arial"/>
                <w:sz w:val="20"/>
                <w:szCs w:val="20"/>
              </w:rPr>
            </w:pPr>
          </w:p>
        </w:tc>
        <w:tc>
          <w:tcPr>
            <w:tcW w:w="1082" w:type="dxa"/>
          </w:tcPr>
          <w:p w14:paraId="3D8CEDAF" w14:textId="77777777" w:rsidR="00626ABC" w:rsidRPr="004B3E5C" w:rsidRDefault="00626ABC" w:rsidP="00626ABC">
            <w:pPr>
              <w:spacing w:line="240" w:lineRule="auto"/>
              <w:rPr>
                <w:rFonts w:ascii="Arial" w:hAnsi="Arial" w:cs="Arial"/>
                <w:b/>
                <w:bCs/>
                <w:sz w:val="20"/>
                <w:szCs w:val="20"/>
              </w:rPr>
            </w:pPr>
          </w:p>
        </w:tc>
        <w:tc>
          <w:tcPr>
            <w:tcW w:w="1082" w:type="dxa"/>
          </w:tcPr>
          <w:p w14:paraId="62872897" w14:textId="77777777" w:rsidR="00626ABC" w:rsidRPr="004B3E5C" w:rsidRDefault="00626ABC" w:rsidP="00626ABC">
            <w:pPr>
              <w:spacing w:line="240" w:lineRule="auto"/>
              <w:rPr>
                <w:rFonts w:ascii="Arial" w:hAnsi="Arial" w:cs="Arial"/>
                <w:b/>
                <w:bCs/>
                <w:sz w:val="20"/>
                <w:szCs w:val="20"/>
              </w:rPr>
            </w:pPr>
          </w:p>
        </w:tc>
        <w:tc>
          <w:tcPr>
            <w:tcW w:w="1084" w:type="dxa"/>
          </w:tcPr>
          <w:p w14:paraId="762D16C6" w14:textId="77777777" w:rsidR="00626ABC" w:rsidRPr="004B3E5C" w:rsidRDefault="00626ABC" w:rsidP="00626ABC">
            <w:pPr>
              <w:spacing w:line="240" w:lineRule="auto"/>
              <w:rPr>
                <w:rFonts w:ascii="Arial" w:hAnsi="Arial" w:cs="Arial"/>
                <w:b/>
                <w:bCs/>
                <w:sz w:val="20"/>
                <w:szCs w:val="20"/>
              </w:rPr>
            </w:pPr>
          </w:p>
        </w:tc>
      </w:tr>
      <w:tr w:rsidR="00626ABC" w:rsidRPr="004B3E5C" w14:paraId="1CCD9538" w14:textId="77777777" w:rsidTr="00626ABC">
        <w:trPr>
          <w:trHeight w:val="613"/>
        </w:trPr>
        <w:tc>
          <w:tcPr>
            <w:tcW w:w="4250" w:type="dxa"/>
            <w:tcBorders>
              <w:bottom w:val="single" w:sz="18" w:space="0" w:color="000000"/>
            </w:tcBorders>
          </w:tcPr>
          <w:p w14:paraId="48ADEF7B" w14:textId="77777777" w:rsidR="00626ABC" w:rsidRPr="004B3E5C" w:rsidRDefault="00626ABC" w:rsidP="00626ABC">
            <w:pPr>
              <w:spacing w:line="240" w:lineRule="auto"/>
              <w:ind w:left="176"/>
              <w:rPr>
                <w:rFonts w:ascii="Arial" w:hAnsi="Arial" w:cs="Arial"/>
                <w:sz w:val="20"/>
                <w:szCs w:val="20"/>
              </w:rPr>
            </w:pPr>
            <w:r w:rsidRPr="004B3E5C">
              <w:rPr>
                <w:rFonts w:ascii="Arial" w:hAnsi="Arial" w:cs="Arial"/>
                <w:sz w:val="20"/>
                <w:szCs w:val="20"/>
              </w:rPr>
              <w:t>BE concentration (pg/mL)</w:t>
            </w:r>
          </w:p>
          <w:p w14:paraId="53C90F29" w14:textId="77777777" w:rsidR="00626ABC" w:rsidRPr="004B3E5C" w:rsidRDefault="00626ABC" w:rsidP="00626ABC">
            <w:pPr>
              <w:spacing w:line="240" w:lineRule="auto"/>
              <w:ind w:left="176"/>
              <w:rPr>
                <w:rFonts w:ascii="Arial" w:hAnsi="Arial" w:cs="Arial"/>
                <w:b/>
                <w:bCs/>
                <w:sz w:val="20"/>
                <w:szCs w:val="20"/>
              </w:rPr>
            </w:pPr>
            <w:r w:rsidRPr="004B3E5C">
              <w:rPr>
                <w:rFonts w:ascii="Arial" w:hAnsi="Arial" w:cs="Arial"/>
                <w:sz w:val="20"/>
                <w:szCs w:val="20"/>
              </w:rPr>
              <w:t>2-AG concentration (ng/mL)</w:t>
            </w:r>
          </w:p>
        </w:tc>
        <w:tc>
          <w:tcPr>
            <w:tcW w:w="1523" w:type="dxa"/>
            <w:tcBorders>
              <w:bottom w:val="single" w:sz="18" w:space="0" w:color="000000"/>
            </w:tcBorders>
          </w:tcPr>
          <w:p w14:paraId="63576AB0" w14:textId="77777777" w:rsidR="00626ABC" w:rsidRPr="004B3E5C" w:rsidRDefault="00626ABC" w:rsidP="00626ABC">
            <w:pPr>
              <w:spacing w:line="240" w:lineRule="auto"/>
              <w:jc w:val="left"/>
              <w:rPr>
                <w:rFonts w:ascii="Arial" w:hAnsi="Arial" w:cs="Arial"/>
                <w:sz w:val="20"/>
                <w:szCs w:val="20"/>
              </w:rPr>
            </w:pPr>
            <w:r w:rsidRPr="004B3E5C">
              <w:rPr>
                <w:rFonts w:ascii="Arial" w:hAnsi="Arial" w:cs="Arial"/>
                <w:sz w:val="20"/>
                <w:szCs w:val="20"/>
              </w:rPr>
              <w:t>90.29 ± 16.98</w:t>
            </w:r>
          </w:p>
          <w:p w14:paraId="2BA4D720"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3.99 ± 0.78</w:t>
            </w:r>
          </w:p>
        </w:tc>
        <w:tc>
          <w:tcPr>
            <w:tcW w:w="1082" w:type="dxa"/>
            <w:tcBorders>
              <w:bottom w:val="single" w:sz="18" w:space="0" w:color="000000"/>
            </w:tcBorders>
          </w:tcPr>
          <w:p w14:paraId="6DDDC3C2" w14:textId="77777777" w:rsidR="00626ABC" w:rsidRPr="004B3E5C" w:rsidRDefault="00626ABC" w:rsidP="00626ABC">
            <w:pPr>
              <w:spacing w:line="240" w:lineRule="auto"/>
              <w:rPr>
                <w:rFonts w:ascii="Arial" w:hAnsi="Arial" w:cs="Arial"/>
                <w:sz w:val="20"/>
                <w:szCs w:val="20"/>
              </w:rPr>
            </w:pPr>
          </w:p>
          <w:p w14:paraId="6FABE136"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w:t>
            </w:r>
          </w:p>
        </w:tc>
        <w:tc>
          <w:tcPr>
            <w:tcW w:w="1082" w:type="dxa"/>
            <w:tcBorders>
              <w:bottom w:val="single" w:sz="18" w:space="0" w:color="000000"/>
            </w:tcBorders>
          </w:tcPr>
          <w:p w14:paraId="2FEBB8A6" w14:textId="77777777" w:rsidR="00626ABC" w:rsidRPr="004B3E5C" w:rsidRDefault="00626ABC" w:rsidP="00626ABC">
            <w:pPr>
              <w:spacing w:line="240" w:lineRule="auto"/>
              <w:rPr>
                <w:rFonts w:ascii="Arial" w:hAnsi="Arial" w:cs="Arial"/>
                <w:sz w:val="20"/>
                <w:szCs w:val="20"/>
              </w:rPr>
            </w:pPr>
          </w:p>
          <w:p w14:paraId="01177EAB"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w:t>
            </w:r>
          </w:p>
        </w:tc>
        <w:tc>
          <w:tcPr>
            <w:tcW w:w="1084" w:type="dxa"/>
            <w:tcBorders>
              <w:bottom w:val="single" w:sz="18" w:space="0" w:color="000000"/>
            </w:tcBorders>
          </w:tcPr>
          <w:p w14:paraId="7D6308BC" w14:textId="77777777" w:rsidR="00626ABC" w:rsidRPr="004B3E5C" w:rsidRDefault="00626ABC" w:rsidP="00626ABC">
            <w:pPr>
              <w:spacing w:line="240" w:lineRule="auto"/>
              <w:rPr>
                <w:rFonts w:ascii="Arial" w:hAnsi="Arial" w:cs="Arial"/>
                <w:sz w:val="20"/>
                <w:szCs w:val="20"/>
              </w:rPr>
            </w:pPr>
          </w:p>
          <w:p w14:paraId="5B53115A" w14:textId="77777777" w:rsidR="00626ABC" w:rsidRPr="004B3E5C" w:rsidRDefault="00626ABC" w:rsidP="00626ABC">
            <w:pPr>
              <w:spacing w:line="240" w:lineRule="auto"/>
              <w:rPr>
                <w:rFonts w:ascii="Arial" w:hAnsi="Arial" w:cs="Arial"/>
                <w:sz w:val="20"/>
                <w:szCs w:val="20"/>
              </w:rPr>
            </w:pPr>
            <w:r w:rsidRPr="004B3E5C">
              <w:rPr>
                <w:rFonts w:ascii="Arial" w:hAnsi="Arial" w:cs="Arial"/>
                <w:sz w:val="20"/>
                <w:szCs w:val="20"/>
              </w:rPr>
              <w:t>-</w:t>
            </w:r>
          </w:p>
        </w:tc>
      </w:tr>
    </w:tbl>
    <w:p w14:paraId="61D1E7BD" w14:textId="77777777" w:rsidR="00626ABC" w:rsidRPr="00E360C1" w:rsidRDefault="00626ABC" w:rsidP="00626ABC">
      <w:pPr>
        <w:spacing w:line="240" w:lineRule="auto"/>
        <w:ind w:right="-52"/>
        <w:rPr>
          <w:rFonts w:ascii="Arial" w:hAnsi="Arial" w:cs="Arial"/>
          <w:sz w:val="18"/>
          <w:szCs w:val="18"/>
        </w:rPr>
      </w:pPr>
      <w:r w:rsidRPr="00E360C1">
        <w:rPr>
          <w:rFonts w:ascii="Arial" w:hAnsi="Arial" w:cs="Arial"/>
          <w:sz w:val="18"/>
          <w:szCs w:val="18"/>
        </w:rPr>
        <w:t>ICC, intraclass correlation coefficient; SEM, standard error of measurement; MDC, minimal detectable change; BE, beta-endorphin; 2-AG, 2-arachidonoylglycerol.</w:t>
      </w:r>
    </w:p>
    <w:p w14:paraId="0DDFC98A" w14:textId="18FD3708" w:rsidR="00626ABC" w:rsidRPr="00626ABC" w:rsidRDefault="00626ABC" w:rsidP="00A54A75">
      <w:pPr>
        <w:spacing w:after="0"/>
        <w:rPr>
          <w:rFonts w:ascii="ArialMT" w:eastAsia="ArialMT" w:hAnsi="ArialMT" w:cs="ArialMT"/>
          <w:b/>
          <w:bCs/>
          <w:noProof/>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580"/>
        <w:gridCol w:w="1580"/>
        <w:gridCol w:w="1580"/>
        <w:gridCol w:w="1581"/>
      </w:tblGrid>
      <w:tr w:rsidR="00626ABC" w:rsidRPr="004B3E5C" w14:paraId="094748A0" w14:textId="77777777" w:rsidTr="00DC38DD">
        <w:tc>
          <w:tcPr>
            <w:tcW w:w="2689" w:type="dxa"/>
            <w:tcBorders>
              <w:top w:val="single" w:sz="18" w:space="0" w:color="000000"/>
              <w:bottom w:val="single" w:sz="18" w:space="0" w:color="000000"/>
            </w:tcBorders>
          </w:tcPr>
          <w:p w14:paraId="1BC9235E" w14:textId="77777777" w:rsidR="00626ABC" w:rsidRPr="004B3E5C" w:rsidRDefault="00626ABC" w:rsidP="00DC38DD">
            <w:pPr>
              <w:spacing w:line="240" w:lineRule="auto"/>
              <w:rPr>
                <w:rFonts w:ascii="Arial" w:hAnsi="Arial" w:cs="Arial"/>
                <w:b/>
                <w:bCs/>
                <w:sz w:val="20"/>
                <w:szCs w:val="20"/>
              </w:rPr>
            </w:pPr>
          </w:p>
        </w:tc>
        <w:tc>
          <w:tcPr>
            <w:tcW w:w="1580" w:type="dxa"/>
            <w:tcBorders>
              <w:top w:val="single" w:sz="18" w:space="0" w:color="000000"/>
              <w:bottom w:val="single" w:sz="18" w:space="0" w:color="000000"/>
            </w:tcBorders>
          </w:tcPr>
          <w:p w14:paraId="0E5E92C3" w14:textId="77777777" w:rsidR="00626ABC" w:rsidRPr="004B3E5C" w:rsidRDefault="00626ABC" w:rsidP="00DC38DD">
            <w:pPr>
              <w:spacing w:line="240" w:lineRule="auto"/>
              <w:rPr>
                <w:rFonts w:ascii="Arial" w:hAnsi="Arial" w:cs="Arial"/>
                <w:b/>
                <w:bCs/>
                <w:sz w:val="20"/>
                <w:szCs w:val="20"/>
              </w:rPr>
            </w:pPr>
            <w:r w:rsidRPr="004B3E5C">
              <w:rPr>
                <w:rFonts w:ascii="Arial" w:hAnsi="Arial" w:cs="Arial"/>
                <w:b/>
                <w:bCs/>
                <w:sz w:val="20"/>
                <w:szCs w:val="20"/>
              </w:rPr>
              <w:t>LLRE</w:t>
            </w:r>
          </w:p>
        </w:tc>
        <w:tc>
          <w:tcPr>
            <w:tcW w:w="1580" w:type="dxa"/>
            <w:tcBorders>
              <w:top w:val="single" w:sz="18" w:space="0" w:color="000000"/>
              <w:bottom w:val="single" w:sz="18" w:space="0" w:color="000000"/>
            </w:tcBorders>
          </w:tcPr>
          <w:p w14:paraId="5D30EC80" w14:textId="77777777" w:rsidR="00626ABC" w:rsidRPr="004B3E5C" w:rsidRDefault="00626ABC" w:rsidP="00DC38DD">
            <w:pPr>
              <w:spacing w:line="240" w:lineRule="auto"/>
              <w:rPr>
                <w:rFonts w:ascii="Arial" w:hAnsi="Arial" w:cs="Arial"/>
                <w:b/>
                <w:bCs/>
                <w:sz w:val="20"/>
                <w:szCs w:val="20"/>
              </w:rPr>
            </w:pPr>
            <w:r w:rsidRPr="004B3E5C">
              <w:rPr>
                <w:rFonts w:ascii="Arial" w:hAnsi="Arial" w:cs="Arial"/>
                <w:b/>
                <w:bCs/>
                <w:sz w:val="20"/>
                <w:szCs w:val="20"/>
              </w:rPr>
              <w:t>BFR40</w:t>
            </w:r>
          </w:p>
        </w:tc>
        <w:tc>
          <w:tcPr>
            <w:tcW w:w="1580" w:type="dxa"/>
            <w:tcBorders>
              <w:top w:val="single" w:sz="18" w:space="0" w:color="000000"/>
              <w:bottom w:val="single" w:sz="18" w:space="0" w:color="000000"/>
            </w:tcBorders>
          </w:tcPr>
          <w:p w14:paraId="38EDC40A" w14:textId="77777777" w:rsidR="00626ABC" w:rsidRPr="004B3E5C" w:rsidRDefault="00626ABC" w:rsidP="00DC38DD">
            <w:pPr>
              <w:spacing w:line="240" w:lineRule="auto"/>
              <w:rPr>
                <w:rFonts w:ascii="Arial" w:hAnsi="Arial" w:cs="Arial"/>
                <w:b/>
                <w:bCs/>
                <w:sz w:val="20"/>
                <w:szCs w:val="20"/>
              </w:rPr>
            </w:pPr>
            <w:r w:rsidRPr="004B3E5C">
              <w:rPr>
                <w:rFonts w:ascii="Arial" w:hAnsi="Arial" w:cs="Arial"/>
                <w:b/>
                <w:bCs/>
                <w:sz w:val="20"/>
                <w:szCs w:val="20"/>
              </w:rPr>
              <w:t>BFR80</w:t>
            </w:r>
          </w:p>
        </w:tc>
        <w:tc>
          <w:tcPr>
            <w:tcW w:w="1581" w:type="dxa"/>
            <w:tcBorders>
              <w:top w:val="single" w:sz="18" w:space="0" w:color="000000"/>
              <w:bottom w:val="single" w:sz="18" w:space="0" w:color="000000"/>
            </w:tcBorders>
          </w:tcPr>
          <w:p w14:paraId="14868FCC" w14:textId="77777777" w:rsidR="00626ABC" w:rsidRPr="004B3E5C" w:rsidRDefault="00626ABC" w:rsidP="00DC38DD">
            <w:pPr>
              <w:spacing w:line="240" w:lineRule="auto"/>
              <w:rPr>
                <w:rFonts w:ascii="Arial" w:hAnsi="Arial" w:cs="Arial"/>
                <w:b/>
                <w:bCs/>
                <w:sz w:val="20"/>
                <w:szCs w:val="20"/>
              </w:rPr>
            </w:pPr>
            <w:r w:rsidRPr="004B3E5C">
              <w:rPr>
                <w:rFonts w:ascii="Arial" w:hAnsi="Arial" w:cs="Arial"/>
                <w:b/>
                <w:bCs/>
                <w:sz w:val="20"/>
                <w:szCs w:val="20"/>
              </w:rPr>
              <w:t>HLRE</w:t>
            </w:r>
          </w:p>
        </w:tc>
      </w:tr>
      <w:tr w:rsidR="00626ABC" w:rsidRPr="004B3E5C" w14:paraId="7EF08D9A" w14:textId="77777777" w:rsidTr="00DC38DD">
        <w:tc>
          <w:tcPr>
            <w:tcW w:w="2689" w:type="dxa"/>
            <w:tcBorders>
              <w:top w:val="single" w:sz="18" w:space="0" w:color="000000"/>
              <w:bottom w:val="single" w:sz="18" w:space="0" w:color="000000"/>
            </w:tcBorders>
          </w:tcPr>
          <w:p w14:paraId="0EB9C87E"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1RM (kg)</w:t>
            </w:r>
          </w:p>
          <w:p w14:paraId="084D3D41"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Exercise load (kg)</w:t>
            </w:r>
          </w:p>
          <w:p w14:paraId="163391ED"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Exercise volume (kg)</w:t>
            </w:r>
          </w:p>
          <w:p w14:paraId="5371E41F"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BFR pressure (mmHg)</w:t>
            </w:r>
          </w:p>
          <w:p w14:paraId="53496DD9" w14:textId="77777777" w:rsidR="00626ABC" w:rsidRPr="004B3E5C" w:rsidRDefault="00626ABC" w:rsidP="00DC38DD">
            <w:pPr>
              <w:spacing w:line="240" w:lineRule="auto"/>
              <w:ind w:left="179"/>
              <w:rPr>
                <w:rFonts w:ascii="Arial" w:hAnsi="Arial" w:cs="Arial"/>
                <w:sz w:val="20"/>
                <w:szCs w:val="20"/>
              </w:rPr>
            </w:pPr>
            <w:r w:rsidRPr="004B3E5C">
              <w:rPr>
                <w:rFonts w:ascii="Arial" w:hAnsi="Arial" w:cs="Arial"/>
                <w:sz w:val="20"/>
                <w:szCs w:val="20"/>
              </w:rPr>
              <w:t>LOP</w:t>
            </w:r>
          </w:p>
          <w:p w14:paraId="43080FF3" w14:textId="77777777" w:rsidR="00626ABC" w:rsidRPr="004B3E5C" w:rsidRDefault="00626ABC" w:rsidP="00DC38DD">
            <w:pPr>
              <w:spacing w:line="240" w:lineRule="auto"/>
              <w:ind w:left="179"/>
              <w:rPr>
                <w:rFonts w:ascii="Arial" w:hAnsi="Arial" w:cs="Arial"/>
                <w:b/>
                <w:bCs/>
                <w:sz w:val="20"/>
                <w:szCs w:val="20"/>
              </w:rPr>
            </w:pPr>
            <w:r w:rsidRPr="004B3E5C">
              <w:rPr>
                <w:rFonts w:ascii="Arial" w:hAnsi="Arial" w:cs="Arial"/>
                <w:sz w:val="20"/>
                <w:szCs w:val="20"/>
              </w:rPr>
              <w:t>Exercising pressure</w:t>
            </w:r>
          </w:p>
        </w:tc>
        <w:tc>
          <w:tcPr>
            <w:tcW w:w="1580" w:type="dxa"/>
            <w:tcBorders>
              <w:top w:val="single" w:sz="18" w:space="0" w:color="000000"/>
              <w:bottom w:val="single" w:sz="18" w:space="0" w:color="000000"/>
            </w:tcBorders>
          </w:tcPr>
          <w:p w14:paraId="2758A942"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156 ± 52</w:t>
            </w:r>
          </w:p>
          <w:p w14:paraId="0F620380"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47 ± 16</w:t>
            </w:r>
          </w:p>
          <w:p w14:paraId="3E2CF3A8"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3516 ± 1168</w:t>
            </w:r>
          </w:p>
          <w:p w14:paraId="5D8C49AC" w14:textId="77777777" w:rsidR="00626ABC" w:rsidRPr="004B3E5C" w:rsidRDefault="00626ABC" w:rsidP="00DC38DD">
            <w:pPr>
              <w:spacing w:line="240" w:lineRule="auto"/>
              <w:rPr>
                <w:rFonts w:ascii="Arial" w:hAnsi="Arial" w:cs="Arial"/>
                <w:sz w:val="20"/>
                <w:szCs w:val="20"/>
              </w:rPr>
            </w:pPr>
          </w:p>
          <w:p w14:paraId="69F33CEC"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w:t>
            </w:r>
          </w:p>
          <w:p w14:paraId="33752A16"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w:t>
            </w:r>
          </w:p>
        </w:tc>
        <w:tc>
          <w:tcPr>
            <w:tcW w:w="1580" w:type="dxa"/>
            <w:tcBorders>
              <w:top w:val="single" w:sz="18" w:space="0" w:color="000000"/>
              <w:bottom w:val="single" w:sz="18" w:space="0" w:color="000000"/>
            </w:tcBorders>
          </w:tcPr>
          <w:p w14:paraId="30DC6D9A"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156 ± 52</w:t>
            </w:r>
          </w:p>
          <w:p w14:paraId="13657E18"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47 ± 16</w:t>
            </w:r>
          </w:p>
          <w:p w14:paraId="37A32DB2"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3516 ± 1168</w:t>
            </w:r>
          </w:p>
          <w:p w14:paraId="0A1CCA60" w14:textId="77777777" w:rsidR="00626ABC" w:rsidRPr="004B3E5C" w:rsidRDefault="00626ABC" w:rsidP="00DC38DD">
            <w:pPr>
              <w:spacing w:line="240" w:lineRule="auto"/>
              <w:rPr>
                <w:rFonts w:ascii="Arial" w:hAnsi="Arial" w:cs="Arial"/>
                <w:sz w:val="20"/>
                <w:szCs w:val="20"/>
              </w:rPr>
            </w:pPr>
          </w:p>
          <w:p w14:paraId="0D8C8E02"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200 ± 16</w:t>
            </w:r>
          </w:p>
          <w:p w14:paraId="6430A0FD"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80 ± 6</w:t>
            </w:r>
          </w:p>
        </w:tc>
        <w:tc>
          <w:tcPr>
            <w:tcW w:w="1580" w:type="dxa"/>
            <w:tcBorders>
              <w:top w:val="single" w:sz="18" w:space="0" w:color="000000"/>
              <w:bottom w:val="single" w:sz="18" w:space="0" w:color="000000"/>
            </w:tcBorders>
          </w:tcPr>
          <w:p w14:paraId="389D07F1"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156 ± 52</w:t>
            </w:r>
          </w:p>
          <w:p w14:paraId="7B466FF4"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47 ± 16</w:t>
            </w:r>
          </w:p>
          <w:p w14:paraId="5841E7D0"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3211 ± 1206</w:t>
            </w:r>
          </w:p>
          <w:p w14:paraId="73670049" w14:textId="77777777" w:rsidR="00626ABC" w:rsidRPr="004B3E5C" w:rsidRDefault="00626ABC" w:rsidP="00DC38DD">
            <w:pPr>
              <w:spacing w:line="240" w:lineRule="auto"/>
              <w:rPr>
                <w:rFonts w:ascii="Arial" w:hAnsi="Arial" w:cs="Arial"/>
                <w:b/>
                <w:bCs/>
                <w:sz w:val="20"/>
                <w:szCs w:val="20"/>
              </w:rPr>
            </w:pPr>
          </w:p>
          <w:p w14:paraId="5182D5AC"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197 ± 13</w:t>
            </w:r>
          </w:p>
          <w:p w14:paraId="234C09B8"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158 ± 10</w:t>
            </w:r>
            <w:r w:rsidRPr="004B3E5C">
              <w:rPr>
                <w:rFonts w:ascii="Arial" w:hAnsi="Arial" w:cs="Arial"/>
                <w:sz w:val="20"/>
                <w:szCs w:val="20"/>
                <w:vertAlign w:val="superscript"/>
              </w:rPr>
              <w:t>*</w:t>
            </w:r>
          </w:p>
        </w:tc>
        <w:tc>
          <w:tcPr>
            <w:tcW w:w="1581" w:type="dxa"/>
            <w:tcBorders>
              <w:top w:val="single" w:sz="18" w:space="0" w:color="000000"/>
              <w:bottom w:val="single" w:sz="18" w:space="0" w:color="000000"/>
            </w:tcBorders>
          </w:tcPr>
          <w:p w14:paraId="371D9057"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156 ± 52</w:t>
            </w:r>
          </w:p>
          <w:p w14:paraId="043731CD"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109 ± 36</w:t>
            </w:r>
            <w:r w:rsidRPr="004B3E5C">
              <w:rPr>
                <w:rFonts w:ascii="Arial" w:hAnsi="Arial" w:cs="Arial"/>
                <w:sz w:val="20"/>
                <w:szCs w:val="20"/>
                <w:vertAlign w:val="superscript"/>
              </w:rPr>
              <w:t>*</w:t>
            </w:r>
          </w:p>
          <w:p w14:paraId="547E30EE"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4375 ± 1454</w:t>
            </w:r>
            <w:r w:rsidRPr="004B3E5C">
              <w:rPr>
                <w:rFonts w:ascii="Arial" w:hAnsi="Arial" w:cs="Arial"/>
                <w:sz w:val="20"/>
                <w:szCs w:val="20"/>
                <w:vertAlign w:val="superscript"/>
              </w:rPr>
              <w:t>*</w:t>
            </w:r>
          </w:p>
          <w:p w14:paraId="082801CA" w14:textId="77777777" w:rsidR="00626ABC" w:rsidRPr="004B3E5C" w:rsidRDefault="00626ABC" w:rsidP="00DC38DD">
            <w:pPr>
              <w:spacing w:line="240" w:lineRule="auto"/>
              <w:rPr>
                <w:rFonts w:ascii="Arial" w:hAnsi="Arial" w:cs="Arial"/>
                <w:sz w:val="20"/>
                <w:szCs w:val="20"/>
              </w:rPr>
            </w:pPr>
          </w:p>
          <w:p w14:paraId="01D9685F" w14:textId="77777777" w:rsidR="00626ABC" w:rsidRPr="004B3E5C" w:rsidRDefault="00626ABC" w:rsidP="00DC38DD">
            <w:pPr>
              <w:spacing w:line="240" w:lineRule="auto"/>
              <w:rPr>
                <w:rFonts w:ascii="Arial" w:hAnsi="Arial" w:cs="Arial"/>
                <w:sz w:val="20"/>
                <w:szCs w:val="20"/>
              </w:rPr>
            </w:pPr>
            <w:r w:rsidRPr="004B3E5C">
              <w:rPr>
                <w:rFonts w:ascii="Arial" w:hAnsi="Arial" w:cs="Arial"/>
                <w:sz w:val="20"/>
                <w:szCs w:val="20"/>
              </w:rPr>
              <w:t>-</w:t>
            </w:r>
          </w:p>
          <w:p w14:paraId="0C85AAA7" w14:textId="77777777" w:rsidR="00626ABC" w:rsidRPr="004B3E5C" w:rsidRDefault="00626ABC" w:rsidP="00DC38DD">
            <w:pPr>
              <w:spacing w:line="240" w:lineRule="auto"/>
              <w:rPr>
                <w:rFonts w:ascii="Arial" w:hAnsi="Arial" w:cs="Arial"/>
                <w:b/>
                <w:bCs/>
                <w:sz w:val="20"/>
                <w:szCs w:val="20"/>
              </w:rPr>
            </w:pPr>
            <w:r w:rsidRPr="004B3E5C">
              <w:rPr>
                <w:rFonts w:ascii="Arial" w:hAnsi="Arial" w:cs="Arial"/>
                <w:sz w:val="20"/>
                <w:szCs w:val="20"/>
              </w:rPr>
              <w:t>-</w:t>
            </w:r>
          </w:p>
        </w:tc>
      </w:tr>
    </w:tbl>
    <w:p w14:paraId="6D7541F9" w14:textId="77777777" w:rsidR="00626ABC" w:rsidRPr="00E360C1" w:rsidRDefault="00626ABC" w:rsidP="00626ABC">
      <w:pPr>
        <w:spacing w:line="240" w:lineRule="auto"/>
        <w:ind w:right="-52"/>
        <w:rPr>
          <w:rFonts w:ascii="Arial" w:hAnsi="Arial" w:cs="Arial"/>
          <w:sz w:val="18"/>
          <w:szCs w:val="18"/>
        </w:rPr>
      </w:pPr>
      <w:r w:rsidRPr="00E360C1">
        <w:rPr>
          <w:rFonts w:ascii="Arial" w:hAnsi="Arial" w:cs="Arial"/>
          <w:sz w:val="18"/>
          <w:szCs w:val="18"/>
          <w:vertAlign w:val="superscript"/>
        </w:rPr>
        <w:t>*</w:t>
      </w:r>
      <w:r w:rsidRPr="00E360C1">
        <w:rPr>
          <w:rFonts w:ascii="Arial" w:hAnsi="Arial" w:cs="Arial"/>
          <w:sz w:val="18"/>
          <w:szCs w:val="18"/>
        </w:rPr>
        <w:t xml:space="preserve"> = significantly greater compared to other trials (p&lt;0.05). 1RM; One repetition maximum; BFR; Blood flow restriction; LOP; Limb occlusion pressure; LLRE; Light load resistance exercise; BFR40; Blood flow restriction exercise at 40% limb occlusion pressure; BFR80; Blood flow restriction exercise at 80% limb occlusion pressure; HLRE; Heavy load resistance exercise.</w:t>
      </w:r>
    </w:p>
    <w:p w14:paraId="5AD66FD1" w14:textId="2647A738" w:rsidR="00A54A75" w:rsidRDefault="00A54A75" w:rsidP="00A54A75">
      <w:pPr>
        <w:tabs>
          <w:tab w:val="left" w:pos="3544"/>
        </w:tabs>
        <w:rPr>
          <w:rFonts w:ascii="Arial" w:hAnsi="Arial" w:cs="Arial"/>
          <w:color w:val="000000" w:themeColor="text1"/>
          <w:sz w:val="20"/>
          <w:szCs w:val="20"/>
        </w:rPr>
      </w:pPr>
    </w:p>
    <w:p w14:paraId="25E6E570" w14:textId="25FCC837" w:rsidR="00626ABC" w:rsidRDefault="00626ABC" w:rsidP="00A54A75">
      <w:pPr>
        <w:tabs>
          <w:tab w:val="left" w:pos="3544"/>
        </w:tabs>
        <w:rPr>
          <w:rFonts w:ascii="Arial" w:hAnsi="Arial" w:cs="Arial"/>
          <w:color w:val="000000" w:themeColor="text1"/>
          <w:sz w:val="20"/>
          <w:szCs w:val="20"/>
        </w:rPr>
      </w:pPr>
    </w:p>
    <w:p w14:paraId="6D99A73E" w14:textId="3AB1D761" w:rsidR="00626ABC" w:rsidRDefault="00626ABC" w:rsidP="00A54A75">
      <w:pPr>
        <w:tabs>
          <w:tab w:val="left" w:pos="3544"/>
        </w:tabs>
        <w:rPr>
          <w:rFonts w:ascii="Arial" w:hAnsi="Arial" w:cs="Arial"/>
          <w:color w:val="000000" w:themeColor="text1"/>
          <w:sz w:val="20"/>
          <w:szCs w:val="20"/>
        </w:rPr>
      </w:pPr>
    </w:p>
    <w:p w14:paraId="53A086C5" w14:textId="505F07EF" w:rsidR="00626ABC" w:rsidRDefault="00626ABC" w:rsidP="00A54A75">
      <w:pPr>
        <w:tabs>
          <w:tab w:val="left" w:pos="3544"/>
        </w:tabs>
        <w:rPr>
          <w:rFonts w:ascii="Arial" w:hAnsi="Arial" w:cs="Arial"/>
          <w:color w:val="000000" w:themeColor="text1"/>
          <w:sz w:val="20"/>
          <w:szCs w:val="20"/>
        </w:rPr>
      </w:pPr>
    </w:p>
    <w:p w14:paraId="68C049E4" w14:textId="33DFA983" w:rsidR="00626ABC" w:rsidRDefault="00626ABC" w:rsidP="00A54A75">
      <w:pPr>
        <w:tabs>
          <w:tab w:val="left" w:pos="3544"/>
        </w:tabs>
        <w:rPr>
          <w:rFonts w:ascii="Arial" w:hAnsi="Arial" w:cs="Arial"/>
          <w:color w:val="000000" w:themeColor="text1"/>
          <w:sz w:val="20"/>
          <w:szCs w:val="20"/>
        </w:rPr>
      </w:pPr>
    </w:p>
    <w:p w14:paraId="2676DFD5" w14:textId="3975AEAB" w:rsidR="00626ABC" w:rsidRDefault="00626ABC" w:rsidP="00A54A75">
      <w:pPr>
        <w:tabs>
          <w:tab w:val="left" w:pos="3544"/>
        </w:tabs>
        <w:rPr>
          <w:rFonts w:ascii="Arial" w:hAnsi="Arial" w:cs="Arial"/>
          <w:color w:val="000000" w:themeColor="text1"/>
          <w:sz w:val="20"/>
          <w:szCs w:val="20"/>
        </w:rPr>
      </w:pPr>
    </w:p>
    <w:tbl>
      <w:tblPr>
        <w:tblStyle w:val="TableGrid"/>
        <w:tblpPr w:leftFromText="180" w:rightFromText="180" w:tblpY="4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263"/>
        <w:gridCol w:w="2263"/>
        <w:gridCol w:w="2263"/>
      </w:tblGrid>
      <w:tr w:rsidR="00626ABC" w:rsidRPr="00626ABC" w14:paraId="0421509E" w14:textId="77777777" w:rsidTr="00DC38DD">
        <w:trPr>
          <w:trHeight w:val="503"/>
        </w:trPr>
        <w:tc>
          <w:tcPr>
            <w:tcW w:w="2192" w:type="dxa"/>
            <w:tcBorders>
              <w:top w:val="single" w:sz="18" w:space="0" w:color="auto"/>
              <w:bottom w:val="single" w:sz="18" w:space="0" w:color="auto"/>
            </w:tcBorders>
          </w:tcPr>
          <w:p w14:paraId="0E2E595D"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lastRenderedPageBreak/>
              <w:t>Outcome measure</w:t>
            </w:r>
          </w:p>
        </w:tc>
        <w:tc>
          <w:tcPr>
            <w:tcW w:w="2263" w:type="dxa"/>
            <w:tcBorders>
              <w:top w:val="single" w:sz="18" w:space="0" w:color="auto"/>
              <w:bottom w:val="single" w:sz="18" w:space="0" w:color="auto"/>
            </w:tcBorders>
          </w:tcPr>
          <w:p w14:paraId="23270B5F"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t>Total effect (C path)</w:t>
            </w:r>
          </w:p>
        </w:tc>
        <w:tc>
          <w:tcPr>
            <w:tcW w:w="2263" w:type="dxa"/>
            <w:tcBorders>
              <w:top w:val="single" w:sz="18" w:space="0" w:color="auto"/>
              <w:bottom w:val="single" w:sz="18" w:space="0" w:color="auto"/>
            </w:tcBorders>
          </w:tcPr>
          <w:p w14:paraId="2BEBF309"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t>Direct effect (Path C’)</w:t>
            </w:r>
          </w:p>
        </w:tc>
        <w:tc>
          <w:tcPr>
            <w:tcW w:w="2263" w:type="dxa"/>
            <w:tcBorders>
              <w:top w:val="single" w:sz="18" w:space="0" w:color="auto"/>
              <w:bottom w:val="single" w:sz="18" w:space="0" w:color="auto"/>
            </w:tcBorders>
          </w:tcPr>
          <w:p w14:paraId="15D76A9A"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t>Indirect effect (Path A+B)</w:t>
            </w:r>
          </w:p>
        </w:tc>
      </w:tr>
      <w:tr w:rsidR="00626ABC" w:rsidRPr="00626ABC" w14:paraId="19C709B8" w14:textId="77777777" w:rsidTr="00DC38DD">
        <w:trPr>
          <w:trHeight w:val="260"/>
        </w:trPr>
        <w:tc>
          <w:tcPr>
            <w:tcW w:w="2192" w:type="dxa"/>
            <w:tcBorders>
              <w:top w:val="single" w:sz="18" w:space="0" w:color="auto"/>
              <w:bottom w:val="single" w:sz="18" w:space="0" w:color="auto"/>
            </w:tcBorders>
          </w:tcPr>
          <w:p w14:paraId="0D1E797F"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p>
          <w:p w14:paraId="6527A42C"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t>Beta-endorphin</w:t>
            </w:r>
          </w:p>
          <w:p w14:paraId="3CD21E2D"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LLRE (Constant)</w:t>
            </w:r>
          </w:p>
          <w:p w14:paraId="63DC774B"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BFR40</w:t>
            </w:r>
          </w:p>
          <w:p w14:paraId="1BD95503"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BFR80</w:t>
            </w:r>
          </w:p>
          <w:p w14:paraId="7B9F029E"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HLRE</w:t>
            </w:r>
          </w:p>
          <w:p w14:paraId="1E345FE3"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5A4F3DF0"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r w:rsidRPr="00626ABC">
              <w:rPr>
                <w:rFonts w:ascii="Arial" w:eastAsia="Times New Roman" w:hAnsi="Arial" w:cs="Arial"/>
                <w:b/>
                <w:bCs/>
                <w:sz w:val="21"/>
                <w:szCs w:val="21"/>
                <w:lang w:eastAsia="en-GB"/>
              </w:rPr>
              <w:t>Muscle discomfort</w:t>
            </w:r>
          </w:p>
          <w:p w14:paraId="2D07FC0D"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LLRE (Constant)</w:t>
            </w:r>
          </w:p>
          <w:p w14:paraId="265D4CBA"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BFR40</w:t>
            </w:r>
          </w:p>
          <w:p w14:paraId="6455326A"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BFR80</w:t>
            </w:r>
          </w:p>
          <w:p w14:paraId="337C0B36"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HLRE</w:t>
            </w:r>
          </w:p>
          <w:p w14:paraId="38C6F660" w14:textId="77777777" w:rsidR="00626ABC" w:rsidRPr="00626ABC" w:rsidRDefault="00626ABC" w:rsidP="00626ABC">
            <w:pPr>
              <w:spacing w:after="0" w:line="240" w:lineRule="auto"/>
              <w:jc w:val="left"/>
              <w:rPr>
                <w:rFonts w:ascii="Arial" w:eastAsia="Times New Roman" w:hAnsi="Arial" w:cs="Arial"/>
                <w:b/>
                <w:bCs/>
                <w:sz w:val="21"/>
                <w:szCs w:val="21"/>
                <w:lang w:eastAsia="en-GB"/>
              </w:rPr>
            </w:pPr>
          </w:p>
        </w:tc>
        <w:tc>
          <w:tcPr>
            <w:tcW w:w="2263" w:type="dxa"/>
            <w:tcBorders>
              <w:top w:val="single" w:sz="18" w:space="0" w:color="auto"/>
              <w:bottom w:val="single" w:sz="18" w:space="0" w:color="auto"/>
            </w:tcBorders>
          </w:tcPr>
          <w:p w14:paraId="43E69FF6"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0193671B"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0EE715E8"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5240275E"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2.35 (1.01, 3.68)*</w:t>
            </w:r>
          </w:p>
          <w:p w14:paraId="02332E6F"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3.64 (2.31, 4.98)*</w:t>
            </w:r>
          </w:p>
          <w:p w14:paraId="00891C10"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1.62 (0.29, 2.96)*</w:t>
            </w:r>
          </w:p>
          <w:p w14:paraId="27064D16"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37C8031A"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0F2BD966"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203FCADD"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2.35 (1.01, 3.68)*</w:t>
            </w:r>
          </w:p>
          <w:p w14:paraId="4A564B96"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3.64 (2.31, 4.98)*</w:t>
            </w:r>
          </w:p>
          <w:p w14:paraId="6B9EA862"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1.62 (0.29, 2.96)*</w:t>
            </w:r>
          </w:p>
        </w:tc>
        <w:tc>
          <w:tcPr>
            <w:tcW w:w="2263" w:type="dxa"/>
            <w:tcBorders>
              <w:top w:val="single" w:sz="18" w:space="0" w:color="auto"/>
              <w:bottom w:val="single" w:sz="18" w:space="0" w:color="auto"/>
            </w:tcBorders>
          </w:tcPr>
          <w:p w14:paraId="40AEB136"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08D136F8"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5D366D1B"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0C049AAD"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-0.34 (-2.60, 1.91)</w:t>
            </w:r>
          </w:p>
          <w:p w14:paraId="27AE879C"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0.78 (-1.57, 3.14)</w:t>
            </w:r>
          </w:p>
          <w:p w14:paraId="6D953E51"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1.09 (-0.20, 2.38)</w:t>
            </w:r>
          </w:p>
          <w:p w14:paraId="118490AE"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25AF2261"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4AC69B6F"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4045D401"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-0.54 (-1.81, 0.74)</w:t>
            </w:r>
          </w:p>
          <w:p w14:paraId="51E30CAB"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-2.78 (-4.84, -0.60</w:t>
            </w:r>
          </w:p>
          <w:p w14:paraId="0E69E1F4"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1.30 (0.92, 1.69)</w:t>
            </w:r>
          </w:p>
        </w:tc>
        <w:tc>
          <w:tcPr>
            <w:tcW w:w="2263" w:type="dxa"/>
            <w:tcBorders>
              <w:top w:val="single" w:sz="18" w:space="0" w:color="auto"/>
              <w:bottom w:val="single" w:sz="18" w:space="0" w:color="auto"/>
            </w:tcBorders>
          </w:tcPr>
          <w:p w14:paraId="0F0DFB5A"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26705788"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3EDAB9D9"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68189192"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2.68 (0.99, 5.68)*</w:t>
            </w:r>
          </w:p>
          <w:p w14:paraId="119582C8"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2.86 (1.10, 6.09)*</w:t>
            </w:r>
          </w:p>
          <w:p w14:paraId="2FC6E5FC"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0.54 (0.18, 1.23)*</w:t>
            </w:r>
          </w:p>
          <w:p w14:paraId="7C71B847"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31B783CA"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6847A9EE" w14:textId="77777777" w:rsidR="00626ABC" w:rsidRPr="00626ABC" w:rsidRDefault="00626ABC" w:rsidP="00626ABC">
            <w:pPr>
              <w:spacing w:after="0" w:line="240" w:lineRule="auto"/>
              <w:jc w:val="left"/>
              <w:rPr>
                <w:rFonts w:ascii="Arial" w:eastAsia="Times New Roman" w:hAnsi="Arial" w:cs="Arial"/>
                <w:sz w:val="21"/>
                <w:szCs w:val="21"/>
                <w:lang w:eastAsia="en-GB"/>
              </w:rPr>
            </w:pPr>
          </w:p>
          <w:p w14:paraId="204F0F97"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2.88 (1.31, 5.12)*</w:t>
            </w:r>
          </w:p>
          <w:p w14:paraId="1415DE90"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6.36 (3.74, 9.24)*</w:t>
            </w:r>
          </w:p>
          <w:p w14:paraId="2607F176" w14:textId="77777777" w:rsidR="00626ABC" w:rsidRPr="00626ABC" w:rsidRDefault="00626ABC" w:rsidP="00626ABC">
            <w:pPr>
              <w:spacing w:after="0" w:line="240" w:lineRule="auto"/>
              <w:jc w:val="left"/>
              <w:rPr>
                <w:rFonts w:ascii="Arial" w:eastAsia="Times New Roman" w:hAnsi="Arial" w:cs="Arial"/>
                <w:sz w:val="21"/>
                <w:szCs w:val="21"/>
                <w:lang w:eastAsia="en-GB"/>
              </w:rPr>
            </w:pPr>
            <w:r w:rsidRPr="00626ABC">
              <w:rPr>
                <w:rFonts w:ascii="Arial" w:eastAsia="Times New Roman" w:hAnsi="Arial" w:cs="Arial"/>
                <w:sz w:val="21"/>
                <w:szCs w:val="21"/>
                <w:lang w:eastAsia="en-GB"/>
              </w:rPr>
              <w:t>0.33 (-0.27, 1.04)</w:t>
            </w:r>
          </w:p>
        </w:tc>
      </w:tr>
    </w:tbl>
    <w:p w14:paraId="36D35AD7" w14:textId="77777777" w:rsidR="00626ABC" w:rsidRDefault="00626ABC" w:rsidP="00626ABC">
      <w:pPr>
        <w:spacing w:after="0" w:line="240" w:lineRule="auto"/>
        <w:rPr>
          <w:rFonts w:ascii="Arial" w:eastAsia="Times New Roman" w:hAnsi="Arial" w:cs="Arial"/>
          <w:b/>
          <w:bCs/>
          <w:sz w:val="21"/>
          <w:szCs w:val="21"/>
          <w:lang w:eastAsia="en-GB"/>
        </w:rPr>
      </w:pPr>
    </w:p>
    <w:p w14:paraId="5D340A7B" w14:textId="61709364" w:rsidR="00626ABC" w:rsidRPr="00626ABC" w:rsidRDefault="00626ABC" w:rsidP="00626ABC">
      <w:pPr>
        <w:spacing w:after="0" w:line="240" w:lineRule="auto"/>
        <w:rPr>
          <w:rFonts w:ascii="Arial" w:eastAsia="Times New Roman" w:hAnsi="Arial" w:cs="Arial"/>
          <w:sz w:val="21"/>
          <w:szCs w:val="21"/>
          <w:lang w:eastAsia="en-GB"/>
        </w:rPr>
      </w:pPr>
      <w:r w:rsidRPr="00626ABC">
        <w:rPr>
          <w:rFonts w:ascii="Arial" w:eastAsia="Times New Roman" w:hAnsi="Arial" w:cs="Arial"/>
          <w:sz w:val="21"/>
          <w:szCs w:val="21"/>
          <w:lang w:eastAsia="en-GB"/>
        </w:rPr>
        <w:t>* = p&lt;0.05. LLRE; light load resistance exercise; BFR40; blood flow restriction at 40% limb occlusion pressure; BFR80; blood flow restriction at 80% limb occlusion pressure; HLRE; heavy load resistance exercise.</w:t>
      </w:r>
    </w:p>
    <w:p w14:paraId="72BAAA1D" w14:textId="77777777" w:rsidR="00626ABC" w:rsidRDefault="00626ABC" w:rsidP="00A54A75">
      <w:pPr>
        <w:tabs>
          <w:tab w:val="left" w:pos="3544"/>
        </w:tabs>
        <w:rPr>
          <w:rFonts w:ascii="Arial" w:hAnsi="Arial" w:cs="Arial"/>
          <w:color w:val="000000" w:themeColor="text1"/>
          <w:sz w:val="20"/>
          <w:szCs w:val="20"/>
        </w:rPr>
      </w:pPr>
    </w:p>
    <w:p w14:paraId="7AD5719D" w14:textId="77777777" w:rsidR="00626ABC" w:rsidRDefault="00626ABC" w:rsidP="00A54A75">
      <w:pPr>
        <w:tabs>
          <w:tab w:val="left" w:pos="3544"/>
        </w:tabs>
        <w:rPr>
          <w:rFonts w:ascii="Arial" w:hAnsi="Arial" w:cs="Arial"/>
          <w:color w:val="000000" w:themeColor="text1"/>
          <w:sz w:val="20"/>
          <w:szCs w:val="20"/>
        </w:rPr>
      </w:pPr>
    </w:p>
    <w:p w14:paraId="6B8D6CAE" w14:textId="77777777" w:rsidR="00626ABC" w:rsidRDefault="00626ABC" w:rsidP="00626ABC">
      <w:pPr>
        <w:tabs>
          <w:tab w:val="left" w:pos="1642"/>
        </w:tabs>
        <w:rPr>
          <w:rFonts w:ascii="Arial" w:hAnsi="Arial" w:cs="Arial"/>
          <w:color w:val="000000" w:themeColor="text1"/>
          <w:sz w:val="20"/>
          <w:szCs w:val="20"/>
        </w:rPr>
        <w:sectPr w:rsidR="00626ABC" w:rsidSect="00A54A75">
          <w:pgSz w:w="11900" w:h="16840"/>
          <w:pgMar w:top="1440" w:right="1363" w:bottom="1440" w:left="1440" w:header="708" w:footer="708" w:gutter="0"/>
          <w:cols w:space="720"/>
        </w:sectPr>
      </w:pPr>
      <w:r>
        <w:rPr>
          <w:rFonts w:ascii="Arial" w:hAnsi="Arial" w:cs="Arial"/>
          <w:color w:val="000000" w:themeColor="text1"/>
          <w:sz w:val="20"/>
          <w:szCs w:val="20"/>
        </w:rPr>
        <w:tab/>
      </w:r>
    </w:p>
    <w:p w14:paraId="36065553" w14:textId="045FD57A" w:rsidR="00626ABC" w:rsidRDefault="00626ABC" w:rsidP="00626ABC">
      <w:pPr>
        <w:tabs>
          <w:tab w:val="left" w:pos="1642"/>
        </w:tabs>
        <w:rPr>
          <w:rFonts w:ascii="Arial" w:hAnsi="Arial" w:cs="Arial"/>
          <w:color w:val="000000" w:themeColor="text1"/>
          <w:sz w:val="20"/>
          <w:szCs w:val="20"/>
        </w:rPr>
      </w:pPr>
    </w:p>
    <w:p w14:paraId="3020E887" w14:textId="48525341" w:rsidR="00626ABC" w:rsidRPr="00626ABC" w:rsidRDefault="00626ABC" w:rsidP="00626ABC">
      <w:pPr>
        <w:tabs>
          <w:tab w:val="left" w:pos="1642"/>
        </w:tabs>
        <w:rPr>
          <w:rFonts w:ascii="Arial" w:hAnsi="Arial" w:cs="Arial"/>
          <w:sz w:val="20"/>
          <w:szCs w:val="20"/>
        </w:rPr>
        <w:sectPr w:rsidR="00626ABC" w:rsidRPr="00626ABC" w:rsidSect="00A54A75">
          <w:pgSz w:w="11900" w:h="16840"/>
          <w:pgMar w:top="1440" w:right="1363" w:bottom="1440" w:left="1440" w:header="708" w:footer="708" w:gutter="0"/>
          <w:cols w:space="720"/>
        </w:sectPr>
      </w:pPr>
      <w:r>
        <w:rPr>
          <w:rFonts w:ascii="Arial" w:hAnsi="Arial" w:cs="Arial"/>
          <w:sz w:val="20"/>
          <w:szCs w:val="20"/>
        </w:rPr>
        <w:tab/>
      </w:r>
      <w:r>
        <w:rPr>
          <w:rFonts w:ascii="Arial" w:hAnsi="Arial" w:cs="Arial"/>
          <w:noProof/>
          <w:sz w:val="20"/>
          <w:szCs w:val="20"/>
        </w:rPr>
        <w:drawing>
          <wp:inline distT="0" distB="0" distL="0" distR="0" wp14:anchorId="1950B670" wp14:editId="6B2672EB">
            <wp:extent cx="5776595" cy="3793490"/>
            <wp:effectExtent l="0" t="0" r="1905" b="381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2-27 at 16.15.22.png"/>
                    <pic:cNvPicPr/>
                  </pic:nvPicPr>
                  <pic:blipFill>
                    <a:blip r:embed="rId11">
                      <a:extLst>
                        <a:ext uri="{28A0092B-C50C-407E-A947-70E740481C1C}">
                          <a14:useLocalDpi xmlns:a14="http://schemas.microsoft.com/office/drawing/2010/main" val="0"/>
                        </a:ext>
                      </a:extLst>
                    </a:blip>
                    <a:stretch>
                      <a:fillRect/>
                    </a:stretch>
                  </pic:blipFill>
                  <pic:spPr>
                    <a:xfrm>
                      <a:off x="0" y="0"/>
                      <a:ext cx="5776595" cy="3793490"/>
                    </a:xfrm>
                    <a:prstGeom prst="rect">
                      <a:avLst/>
                    </a:prstGeom>
                  </pic:spPr>
                </pic:pic>
              </a:graphicData>
            </a:graphic>
          </wp:inline>
        </w:drawing>
      </w:r>
      <w:bookmarkStart w:id="1" w:name="_GoBack"/>
      <w:bookmarkEnd w:id="1"/>
    </w:p>
    <w:p w14:paraId="23A6FB24" w14:textId="43F510BC" w:rsidR="00626ABC" w:rsidRDefault="00626ABC" w:rsidP="00A54A75">
      <w:pPr>
        <w:tabs>
          <w:tab w:val="left" w:pos="3544"/>
        </w:tabs>
        <w:rPr>
          <w:rFonts w:ascii="Arial" w:hAnsi="Arial" w:cs="Arial"/>
          <w:color w:val="000000" w:themeColor="text1"/>
          <w:sz w:val="20"/>
          <w:szCs w:val="20"/>
        </w:rPr>
      </w:pPr>
      <w:r>
        <w:rPr>
          <w:rFonts w:eastAsia="Times New Roman" w:cs="Times New Roman"/>
          <w:noProof/>
          <w:color w:val="000000"/>
          <w:sz w:val="24"/>
        </w:rPr>
        <w:lastRenderedPageBreak/>
        <w:drawing>
          <wp:anchor distT="0" distB="0" distL="114300" distR="114300" simplePos="0" relativeHeight="251659264" behindDoc="1" locked="0" layoutInCell="1" allowOverlap="1" wp14:anchorId="5B9D30F2" wp14:editId="386B8968">
            <wp:simplePos x="0" y="0"/>
            <wp:positionH relativeFrom="page">
              <wp:posOffset>457200</wp:posOffset>
            </wp:positionH>
            <wp:positionV relativeFrom="page">
              <wp:posOffset>457200</wp:posOffset>
            </wp:positionV>
            <wp:extent cx="6273800" cy="96266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3800" cy="9626600"/>
                    </a:xfrm>
                    <a:prstGeom prst="rect">
                      <a:avLst/>
                    </a:prstGeom>
                    <a:noFill/>
                  </pic:spPr>
                </pic:pic>
              </a:graphicData>
            </a:graphic>
            <wp14:sizeRelH relativeFrom="page">
              <wp14:pctWidth>0</wp14:pctWidth>
            </wp14:sizeRelH>
            <wp14:sizeRelV relativeFrom="page">
              <wp14:pctHeight>0</wp14:pctHeight>
            </wp14:sizeRelV>
          </wp:anchor>
        </w:drawing>
      </w:r>
    </w:p>
    <w:p w14:paraId="2B8FD577" w14:textId="33D1CBB1" w:rsidR="00626ABC" w:rsidRPr="00626ABC" w:rsidRDefault="00626ABC" w:rsidP="00626ABC">
      <w:pPr>
        <w:rPr>
          <w:rFonts w:ascii="Arial" w:hAnsi="Arial" w:cs="Arial"/>
          <w:sz w:val="20"/>
          <w:szCs w:val="20"/>
        </w:rPr>
      </w:pPr>
    </w:p>
    <w:p w14:paraId="12800EA9" w14:textId="55BF1633" w:rsidR="00626ABC" w:rsidRPr="00626ABC" w:rsidRDefault="00626ABC" w:rsidP="00626ABC">
      <w:pPr>
        <w:rPr>
          <w:rFonts w:ascii="Arial" w:hAnsi="Arial" w:cs="Arial"/>
          <w:sz w:val="20"/>
          <w:szCs w:val="20"/>
        </w:rPr>
      </w:pPr>
    </w:p>
    <w:p w14:paraId="1EC39432" w14:textId="50190AB2" w:rsidR="00626ABC" w:rsidRPr="00626ABC" w:rsidRDefault="00626ABC" w:rsidP="00626ABC">
      <w:pPr>
        <w:rPr>
          <w:rFonts w:ascii="Arial" w:hAnsi="Arial" w:cs="Arial"/>
          <w:sz w:val="20"/>
          <w:szCs w:val="20"/>
        </w:rPr>
      </w:pPr>
    </w:p>
    <w:p w14:paraId="6BBC21E8" w14:textId="2B6DB9EB" w:rsidR="00626ABC" w:rsidRPr="00626ABC" w:rsidRDefault="00626ABC" w:rsidP="00626ABC">
      <w:pPr>
        <w:rPr>
          <w:rFonts w:ascii="Arial" w:hAnsi="Arial" w:cs="Arial"/>
          <w:sz w:val="20"/>
          <w:szCs w:val="20"/>
        </w:rPr>
      </w:pPr>
    </w:p>
    <w:p w14:paraId="2B8230EF" w14:textId="3C9BFC05" w:rsidR="00626ABC" w:rsidRPr="00626ABC" w:rsidRDefault="00626ABC" w:rsidP="00626ABC">
      <w:pPr>
        <w:rPr>
          <w:rFonts w:ascii="Arial" w:hAnsi="Arial" w:cs="Arial"/>
          <w:sz w:val="20"/>
          <w:szCs w:val="20"/>
        </w:rPr>
      </w:pPr>
    </w:p>
    <w:p w14:paraId="47201253" w14:textId="346BD112" w:rsidR="00626ABC" w:rsidRDefault="00626ABC" w:rsidP="00626ABC">
      <w:pPr>
        <w:rPr>
          <w:rFonts w:ascii="Arial" w:hAnsi="Arial" w:cs="Arial"/>
          <w:color w:val="000000" w:themeColor="text1"/>
          <w:sz w:val="20"/>
          <w:szCs w:val="20"/>
        </w:rPr>
      </w:pPr>
    </w:p>
    <w:p w14:paraId="27406DFE" w14:textId="6DC86391" w:rsidR="00626ABC" w:rsidRDefault="00626ABC" w:rsidP="00626ABC">
      <w:pPr>
        <w:rPr>
          <w:rFonts w:ascii="Arial" w:hAnsi="Arial" w:cs="Arial"/>
          <w:color w:val="000000" w:themeColor="text1"/>
          <w:sz w:val="20"/>
          <w:szCs w:val="20"/>
        </w:rPr>
      </w:pPr>
    </w:p>
    <w:p w14:paraId="3BA097A7" w14:textId="1AE6C3C0" w:rsidR="00626ABC" w:rsidRDefault="00626ABC" w:rsidP="00626ABC">
      <w:pPr>
        <w:jc w:val="right"/>
        <w:rPr>
          <w:rFonts w:ascii="Arial" w:hAnsi="Arial" w:cs="Arial"/>
          <w:sz w:val="20"/>
          <w:szCs w:val="20"/>
        </w:rPr>
      </w:pPr>
    </w:p>
    <w:p w14:paraId="21F06DAD" w14:textId="1FAC3FEB" w:rsidR="00626ABC" w:rsidRDefault="00626ABC" w:rsidP="00626ABC">
      <w:pPr>
        <w:jc w:val="right"/>
        <w:rPr>
          <w:rFonts w:ascii="Arial" w:hAnsi="Arial" w:cs="Arial"/>
          <w:sz w:val="20"/>
          <w:szCs w:val="20"/>
        </w:rPr>
      </w:pPr>
    </w:p>
    <w:p w14:paraId="2E1CEB72" w14:textId="26813C6C" w:rsidR="00626ABC" w:rsidRDefault="00626ABC" w:rsidP="00626ABC">
      <w:pPr>
        <w:jc w:val="right"/>
        <w:rPr>
          <w:rFonts w:ascii="Arial" w:hAnsi="Arial" w:cs="Arial"/>
          <w:sz w:val="20"/>
          <w:szCs w:val="20"/>
        </w:rPr>
      </w:pPr>
    </w:p>
    <w:p w14:paraId="46F7C411" w14:textId="2A2988EF" w:rsidR="00626ABC" w:rsidRDefault="00626ABC" w:rsidP="00626ABC">
      <w:pPr>
        <w:jc w:val="right"/>
        <w:rPr>
          <w:rFonts w:ascii="Arial" w:hAnsi="Arial" w:cs="Arial"/>
          <w:sz w:val="20"/>
          <w:szCs w:val="20"/>
        </w:rPr>
      </w:pPr>
    </w:p>
    <w:p w14:paraId="1676FA9D" w14:textId="6D791EF1" w:rsidR="00626ABC" w:rsidRDefault="00626ABC" w:rsidP="00626ABC">
      <w:pPr>
        <w:jc w:val="right"/>
        <w:rPr>
          <w:rFonts w:ascii="Arial" w:hAnsi="Arial" w:cs="Arial"/>
          <w:sz w:val="20"/>
          <w:szCs w:val="20"/>
        </w:rPr>
      </w:pPr>
    </w:p>
    <w:p w14:paraId="5AA4EF72" w14:textId="0482D7D6" w:rsidR="00626ABC" w:rsidRDefault="00626ABC" w:rsidP="00626ABC">
      <w:pPr>
        <w:jc w:val="right"/>
        <w:rPr>
          <w:rFonts w:ascii="Arial" w:hAnsi="Arial" w:cs="Arial"/>
          <w:sz w:val="20"/>
          <w:szCs w:val="20"/>
        </w:rPr>
      </w:pPr>
    </w:p>
    <w:p w14:paraId="2A9EE40A" w14:textId="2C9F2F6C" w:rsidR="00626ABC" w:rsidRDefault="00626ABC" w:rsidP="00626ABC">
      <w:pPr>
        <w:jc w:val="right"/>
        <w:rPr>
          <w:rFonts w:ascii="Arial" w:hAnsi="Arial" w:cs="Arial"/>
          <w:sz w:val="20"/>
          <w:szCs w:val="20"/>
        </w:rPr>
      </w:pPr>
    </w:p>
    <w:p w14:paraId="71EB0944" w14:textId="60CF5709" w:rsidR="00626ABC" w:rsidRDefault="00626ABC" w:rsidP="00626ABC">
      <w:pPr>
        <w:jc w:val="right"/>
        <w:rPr>
          <w:rFonts w:ascii="Arial" w:hAnsi="Arial" w:cs="Arial"/>
          <w:sz w:val="20"/>
          <w:szCs w:val="20"/>
        </w:rPr>
      </w:pPr>
    </w:p>
    <w:p w14:paraId="0D4ACC50" w14:textId="098CDCF4" w:rsidR="00626ABC" w:rsidRDefault="00626ABC" w:rsidP="00626ABC">
      <w:pPr>
        <w:jc w:val="right"/>
        <w:rPr>
          <w:rFonts w:ascii="Arial" w:hAnsi="Arial" w:cs="Arial"/>
          <w:sz w:val="20"/>
          <w:szCs w:val="20"/>
        </w:rPr>
      </w:pPr>
    </w:p>
    <w:p w14:paraId="7C051F7B" w14:textId="6B959D47" w:rsidR="00626ABC" w:rsidRDefault="00626ABC" w:rsidP="00626ABC">
      <w:pPr>
        <w:jc w:val="right"/>
        <w:rPr>
          <w:rFonts w:ascii="Arial" w:hAnsi="Arial" w:cs="Arial"/>
          <w:sz w:val="20"/>
          <w:szCs w:val="20"/>
        </w:rPr>
      </w:pPr>
    </w:p>
    <w:p w14:paraId="65BFA6B3" w14:textId="046B0F40" w:rsidR="00626ABC" w:rsidRDefault="00626ABC" w:rsidP="00626ABC">
      <w:pPr>
        <w:jc w:val="right"/>
        <w:rPr>
          <w:rFonts w:ascii="Arial" w:hAnsi="Arial" w:cs="Arial"/>
          <w:sz w:val="20"/>
          <w:szCs w:val="20"/>
        </w:rPr>
      </w:pPr>
    </w:p>
    <w:p w14:paraId="1A34C525" w14:textId="757BED70" w:rsidR="00626ABC" w:rsidRDefault="00626ABC" w:rsidP="00626ABC">
      <w:pPr>
        <w:jc w:val="right"/>
        <w:rPr>
          <w:rFonts w:ascii="Arial" w:hAnsi="Arial" w:cs="Arial"/>
          <w:sz w:val="20"/>
          <w:szCs w:val="20"/>
        </w:rPr>
      </w:pPr>
    </w:p>
    <w:p w14:paraId="58A67B9B" w14:textId="77777777" w:rsidR="00626ABC" w:rsidRDefault="00626ABC" w:rsidP="00626ABC">
      <w:pPr>
        <w:tabs>
          <w:tab w:val="left" w:pos="278"/>
        </w:tabs>
        <w:rPr>
          <w:rFonts w:ascii="Arial" w:hAnsi="Arial" w:cs="Arial"/>
          <w:sz w:val="20"/>
          <w:szCs w:val="20"/>
        </w:rPr>
        <w:sectPr w:rsidR="00626ABC" w:rsidSect="00626ABC">
          <w:pgSz w:w="11900" w:h="16840"/>
          <w:pgMar w:top="720" w:right="720" w:bottom="720" w:left="720" w:header="708" w:footer="708" w:gutter="0"/>
          <w:cols w:space="720"/>
          <w:docGrid w:linePitch="299"/>
        </w:sectPr>
      </w:pPr>
    </w:p>
    <w:p w14:paraId="522C5314" w14:textId="54AEE843" w:rsidR="00626ABC" w:rsidRDefault="00626ABC" w:rsidP="00626ABC">
      <w:pPr>
        <w:tabs>
          <w:tab w:val="left" w:pos="278"/>
        </w:tabs>
        <w:rPr>
          <w:rFonts w:ascii="Arial" w:hAnsi="Arial" w:cs="Arial"/>
          <w:sz w:val="20"/>
          <w:szCs w:val="20"/>
        </w:rPr>
      </w:pPr>
      <w:r>
        <w:rPr>
          <w:rFonts w:eastAsia="Times New Roman" w:cs="Times New Roman"/>
          <w:noProof/>
          <w:color w:val="000000"/>
          <w:sz w:val="24"/>
        </w:rPr>
        <w:lastRenderedPageBreak/>
        <w:drawing>
          <wp:anchor distT="0" distB="0" distL="114300" distR="114300" simplePos="0" relativeHeight="251661312" behindDoc="1" locked="0" layoutInCell="1" allowOverlap="1" wp14:anchorId="1AEA97A2" wp14:editId="40D208F8">
            <wp:simplePos x="0" y="0"/>
            <wp:positionH relativeFrom="page">
              <wp:posOffset>457200</wp:posOffset>
            </wp:positionH>
            <wp:positionV relativeFrom="page">
              <wp:posOffset>457200</wp:posOffset>
            </wp:positionV>
            <wp:extent cx="8420100" cy="6057900"/>
            <wp:effectExtent l="0" t="0" r="0" b="0"/>
            <wp:wrapNone/>
            <wp:docPr id="3"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0100" cy="6057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p>
    <w:p w14:paraId="551127D5" w14:textId="0E31F9E3" w:rsidR="00626ABC" w:rsidRPr="00626ABC" w:rsidRDefault="00626ABC" w:rsidP="00626ABC">
      <w:pPr>
        <w:rPr>
          <w:rFonts w:ascii="Arial" w:hAnsi="Arial" w:cs="Arial"/>
          <w:sz w:val="20"/>
          <w:szCs w:val="20"/>
        </w:rPr>
      </w:pPr>
    </w:p>
    <w:p w14:paraId="2E4C3555" w14:textId="3CA6DCBD" w:rsidR="00626ABC" w:rsidRPr="00626ABC" w:rsidRDefault="00626ABC" w:rsidP="00626ABC">
      <w:pPr>
        <w:rPr>
          <w:rFonts w:ascii="Arial" w:hAnsi="Arial" w:cs="Arial"/>
          <w:sz w:val="20"/>
          <w:szCs w:val="20"/>
        </w:rPr>
      </w:pPr>
    </w:p>
    <w:p w14:paraId="686F16D9" w14:textId="08CC7B05" w:rsidR="00626ABC" w:rsidRPr="00626ABC" w:rsidRDefault="00626ABC" w:rsidP="00626ABC">
      <w:pPr>
        <w:rPr>
          <w:rFonts w:ascii="Arial" w:hAnsi="Arial" w:cs="Arial"/>
          <w:sz w:val="20"/>
          <w:szCs w:val="20"/>
        </w:rPr>
      </w:pPr>
    </w:p>
    <w:p w14:paraId="27982FC8" w14:textId="146DD1A4" w:rsidR="00626ABC" w:rsidRPr="00626ABC" w:rsidRDefault="00626ABC" w:rsidP="00626ABC">
      <w:pPr>
        <w:rPr>
          <w:rFonts w:ascii="Arial" w:hAnsi="Arial" w:cs="Arial"/>
          <w:sz w:val="20"/>
          <w:szCs w:val="20"/>
        </w:rPr>
      </w:pPr>
    </w:p>
    <w:p w14:paraId="54104D14" w14:textId="1069E391" w:rsidR="00626ABC" w:rsidRPr="00626ABC" w:rsidRDefault="00626ABC" w:rsidP="00626ABC">
      <w:pPr>
        <w:rPr>
          <w:rFonts w:ascii="Arial" w:hAnsi="Arial" w:cs="Arial"/>
          <w:sz w:val="20"/>
          <w:szCs w:val="20"/>
        </w:rPr>
      </w:pPr>
    </w:p>
    <w:p w14:paraId="494BE959" w14:textId="0043D39A" w:rsidR="00626ABC" w:rsidRPr="00626ABC" w:rsidRDefault="00626ABC" w:rsidP="00626ABC">
      <w:pPr>
        <w:rPr>
          <w:rFonts w:ascii="Arial" w:hAnsi="Arial" w:cs="Arial"/>
          <w:sz w:val="20"/>
          <w:szCs w:val="20"/>
        </w:rPr>
      </w:pPr>
    </w:p>
    <w:p w14:paraId="45196D5F" w14:textId="7B85B8B7" w:rsidR="00626ABC" w:rsidRPr="00626ABC" w:rsidRDefault="00626ABC" w:rsidP="00626ABC">
      <w:pPr>
        <w:rPr>
          <w:rFonts w:ascii="Arial" w:hAnsi="Arial" w:cs="Arial"/>
          <w:sz w:val="20"/>
          <w:szCs w:val="20"/>
        </w:rPr>
      </w:pPr>
    </w:p>
    <w:p w14:paraId="540C3F96" w14:textId="74F0481D" w:rsidR="00626ABC" w:rsidRPr="00626ABC" w:rsidRDefault="00626ABC" w:rsidP="00626ABC">
      <w:pPr>
        <w:rPr>
          <w:rFonts w:ascii="Arial" w:hAnsi="Arial" w:cs="Arial"/>
          <w:sz w:val="20"/>
          <w:szCs w:val="20"/>
        </w:rPr>
      </w:pPr>
    </w:p>
    <w:p w14:paraId="410B6C95" w14:textId="6E516745" w:rsidR="00626ABC" w:rsidRPr="00626ABC" w:rsidRDefault="00626ABC" w:rsidP="00626ABC">
      <w:pPr>
        <w:rPr>
          <w:rFonts w:ascii="Arial" w:hAnsi="Arial" w:cs="Arial"/>
          <w:sz w:val="20"/>
          <w:szCs w:val="20"/>
        </w:rPr>
      </w:pPr>
    </w:p>
    <w:p w14:paraId="43F3A56C" w14:textId="751DF4AD" w:rsidR="00626ABC" w:rsidRPr="00626ABC" w:rsidRDefault="00626ABC" w:rsidP="00626ABC">
      <w:pPr>
        <w:rPr>
          <w:rFonts w:ascii="Arial" w:hAnsi="Arial" w:cs="Arial"/>
          <w:sz w:val="20"/>
          <w:szCs w:val="20"/>
        </w:rPr>
      </w:pPr>
    </w:p>
    <w:p w14:paraId="194085E3" w14:textId="5B5D24D0" w:rsidR="00626ABC" w:rsidRPr="00626ABC" w:rsidRDefault="00626ABC" w:rsidP="00626ABC">
      <w:pPr>
        <w:rPr>
          <w:rFonts w:ascii="Arial" w:hAnsi="Arial" w:cs="Arial"/>
          <w:sz w:val="20"/>
          <w:szCs w:val="20"/>
        </w:rPr>
      </w:pPr>
    </w:p>
    <w:p w14:paraId="1F5A271E" w14:textId="609B5E6C" w:rsidR="00626ABC" w:rsidRDefault="00626ABC" w:rsidP="00626ABC">
      <w:pPr>
        <w:rPr>
          <w:rFonts w:ascii="Arial" w:hAnsi="Arial" w:cs="Arial"/>
          <w:sz w:val="20"/>
          <w:szCs w:val="20"/>
        </w:rPr>
      </w:pPr>
    </w:p>
    <w:p w14:paraId="43823BBD" w14:textId="3E757150" w:rsidR="00626ABC" w:rsidRDefault="00626ABC" w:rsidP="00626ABC">
      <w:pPr>
        <w:tabs>
          <w:tab w:val="left" w:pos="13137"/>
        </w:tabs>
        <w:rPr>
          <w:rFonts w:ascii="Arial" w:hAnsi="Arial" w:cs="Arial"/>
          <w:sz w:val="20"/>
          <w:szCs w:val="20"/>
        </w:rPr>
      </w:pPr>
      <w:r>
        <w:rPr>
          <w:rFonts w:ascii="Arial" w:hAnsi="Arial" w:cs="Arial"/>
          <w:sz w:val="20"/>
          <w:szCs w:val="20"/>
        </w:rPr>
        <w:tab/>
      </w:r>
    </w:p>
    <w:p w14:paraId="3A88F164" w14:textId="2F821B1C" w:rsidR="00626ABC" w:rsidRPr="00626ABC" w:rsidRDefault="00626ABC" w:rsidP="00626ABC">
      <w:pPr>
        <w:tabs>
          <w:tab w:val="left" w:pos="13137"/>
        </w:tabs>
        <w:rPr>
          <w:rFonts w:ascii="Arial" w:hAnsi="Arial" w:cs="Arial"/>
          <w:sz w:val="20"/>
          <w:szCs w:val="20"/>
        </w:rPr>
      </w:pPr>
      <w:r>
        <w:rPr>
          <w:rFonts w:eastAsia="Times New Roman" w:cs="Times New Roman"/>
          <w:noProof/>
          <w:color w:val="000000"/>
          <w:sz w:val="24"/>
        </w:rPr>
        <w:lastRenderedPageBreak/>
        <w:drawing>
          <wp:anchor distT="0" distB="0" distL="114300" distR="114300" simplePos="0" relativeHeight="251663360" behindDoc="1" locked="0" layoutInCell="1" allowOverlap="1" wp14:anchorId="2D56BE04" wp14:editId="70B55725">
            <wp:simplePos x="0" y="0"/>
            <wp:positionH relativeFrom="page">
              <wp:posOffset>457200</wp:posOffset>
            </wp:positionH>
            <wp:positionV relativeFrom="page">
              <wp:posOffset>457200</wp:posOffset>
            </wp:positionV>
            <wp:extent cx="9017000" cy="6273800"/>
            <wp:effectExtent l="0" t="0" r="0" b="0"/>
            <wp:wrapNone/>
            <wp:docPr id="4" name="Picture 4"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7000" cy="6273800"/>
                    </a:xfrm>
                    <a:prstGeom prst="rect">
                      <a:avLst/>
                    </a:prstGeom>
                    <a:noFill/>
                  </pic:spPr>
                </pic:pic>
              </a:graphicData>
            </a:graphic>
            <wp14:sizeRelH relativeFrom="page">
              <wp14:pctWidth>0</wp14:pctWidth>
            </wp14:sizeRelH>
            <wp14:sizeRelV relativeFrom="page">
              <wp14:pctHeight>0</wp14:pctHeight>
            </wp14:sizeRelV>
          </wp:anchor>
        </w:drawing>
      </w:r>
    </w:p>
    <w:sectPr w:rsidR="00626ABC" w:rsidRPr="00626ABC" w:rsidSect="00626ABC">
      <w:pgSz w:w="16840" w:h="11900" w:orient="landscape"/>
      <w:pgMar w:top="720" w:right="720" w:bottom="720" w:left="72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3DD8A" w14:textId="77777777" w:rsidR="00D50625" w:rsidRDefault="00D50625">
      <w:pPr>
        <w:spacing w:line="240" w:lineRule="auto"/>
      </w:pPr>
      <w:r>
        <w:separator/>
      </w:r>
    </w:p>
  </w:endnote>
  <w:endnote w:type="continuationSeparator" w:id="0">
    <w:p w14:paraId="2398B30D" w14:textId="77777777" w:rsidR="00D50625" w:rsidRDefault="00D506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2596146"/>
      <w:docPartObj>
        <w:docPartGallery w:val="Page Numbers (Bottom of Page)"/>
        <w:docPartUnique/>
      </w:docPartObj>
    </w:sdtPr>
    <w:sdtEndPr>
      <w:rPr>
        <w:rStyle w:val="PageNumber"/>
      </w:rPr>
    </w:sdtEndPr>
    <w:sdtContent>
      <w:p w14:paraId="642B21E2" w14:textId="77777777" w:rsidR="004E5ABD" w:rsidRDefault="004E5ABD" w:rsidP="007560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BFB490" w14:textId="77777777" w:rsidR="004E5ABD" w:rsidRDefault="004E5ABD" w:rsidP="007560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8"/>
        <w:szCs w:val="28"/>
      </w:rPr>
      <w:id w:val="-1231697058"/>
      <w:docPartObj>
        <w:docPartGallery w:val="Page Numbers (Bottom of Page)"/>
        <w:docPartUnique/>
      </w:docPartObj>
    </w:sdtPr>
    <w:sdtEndPr>
      <w:rPr>
        <w:rStyle w:val="PageNumber"/>
        <w:color w:val="000000" w:themeColor="text1"/>
        <w:sz w:val="20"/>
        <w:szCs w:val="20"/>
      </w:rPr>
    </w:sdtEndPr>
    <w:sdtContent>
      <w:p w14:paraId="4F5E79A4" w14:textId="77777777" w:rsidR="004E5ABD" w:rsidRPr="0018343D" w:rsidRDefault="004E5ABD" w:rsidP="00756005">
        <w:pPr>
          <w:pStyle w:val="Footer"/>
          <w:framePr w:wrap="none" w:vAnchor="text" w:hAnchor="margin" w:xAlign="right" w:y="1"/>
          <w:rPr>
            <w:rStyle w:val="PageNumber"/>
            <w:sz w:val="20"/>
            <w:szCs w:val="20"/>
          </w:rPr>
        </w:pPr>
        <w:r w:rsidRPr="0018343D">
          <w:rPr>
            <w:rStyle w:val="PageNumber"/>
            <w:sz w:val="20"/>
            <w:szCs w:val="20"/>
          </w:rPr>
          <w:fldChar w:fldCharType="begin"/>
        </w:r>
        <w:r w:rsidRPr="0018343D">
          <w:rPr>
            <w:rStyle w:val="PageNumber"/>
            <w:sz w:val="20"/>
            <w:szCs w:val="20"/>
          </w:rPr>
          <w:instrText xml:space="preserve"> PAGE </w:instrText>
        </w:r>
        <w:r w:rsidRPr="0018343D">
          <w:rPr>
            <w:rStyle w:val="PageNumber"/>
            <w:sz w:val="20"/>
            <w:szCs w:val="20"/>
          </w:rPr>
          <w:fldChar w:fldCharType="separate"/>
        </w:r>
        <w:r w:rsidRPr="0018343D">
          <w:rPr>
            <w:rStyle w:val="PageNumber"/>
            <w:noProof/>
            <w:sz w:val="20"/>
            <w:szCs w:val="20"/>
          </w:rPr>
          <w:t>2</w:t>
        </w:r>
        <w:r w:rsidRPr="0018343D">
          <w:rPr>
            <w:rStyle w:val="PageNumber"/>
            <w:sz w:val="20"/>
            <w:szCs w:val="20"/>
          </w:rPr>
          <w:fldChar w:fldCharType="end"/>
        </w:r>
      </w:p>
    </w:sdtContent>
  </w:sdt>
  <w:p w14:paraId="766D7B4A" w14:textId="77777777" w:rsidR="004E5ABD" w:rsidRPr="00C51041" w:rsidRDefault="004E5ABD" w:rsidP="00756005">
    <w:pPr>
      <w:pStyle w:val="Footer"/>
      <w:ind w:right="360"/>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0D062" w14:textId="77777777" w:rsidR="00D50625" w:rsidRDefault="00D50625">
      <w:pPr>
        <w:spacing w:line="240" w:lineRule="auto"/>
      </w:pPr>
      <w:r>
        <w:separator/>
      </w:r>
    </w:p>
  </w:footnote>
  <w:footnote w:type="continuationSeparator" w:id="0">
    <w:p w14:paraId="0DAD1917" w14:textId="77777777" w:rsidR="00D50625" w:rsidRDefault="00D506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319"/>
    <w:multiLevelType w:val="multilevel"/>
    <w:tmpl w:val="95405CA4"/>
    <w:styleLink w:val="Researchquestions"/>
    <w:lvl w:ilvl="0">
      <w:start w:val="1"/>
      <w:numFmt w:val="decimal"/>
      <w:lvlText w:val="RQ%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976185"/>
    <w:multiLevelType w:val="hybridMultilevel"/>
    <w:tmpl w:val="E1623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884A97"/>
    <w:multiLevelType w:val="hybridMultilevel"/>
    <w:tmpl w:val="216C83B4"/>
    <w:lvl w:ilvl="0" w:tplc="B210B1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0B641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A4D1F63"/>
    <w:multiLevelType w:val="hybridMultilevel"/>
    <w:tmpl w:val="B792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757119"/>
    <w:multiLevelType w:val="hybridMultilevel"/>
    <w:tmpl w:val="D3C25D8A"/>
    <w:lvl w:ilvl="0" w:tplc="F722986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18"/>
    <w:rsid w:val="00001033"/>
    <w:rsid w:val="0000138A"/>
    <w:rsid w:val="00003773"/>
    <w:rsid w:val="00004C59"/>
    <w:rsid w:val="00007A5C"/>
    <w:rsid w:val="00007F3B"/>
    <w:rsid w:val="000112E3"/>
    <w:rsid w:val="0001462C"/>
    <w:rsid w:val="00014C4E"/>
    <w:rsid w:val="000165B4"/>
    <w:rsid w:val="000168D8"/>
    <w:rsid w:val="00024071"/>
    <w:rsid w:val="00024415"/>
    <w:rsid w:val="0002598C"/>
    <w:rsid w:val="00032337"/>
    <w:rsid w:val="0003531C"/>
    <w:rsid w:val="00036D91"/>
    <w:rsid w:val="00040F0F"/>
    <w:rsid w:val="00051881"/>
    <w:rsid w:val="000524B7"/>
    <w:rsid w:val="000525DE"/>
    <w:rsid w:val="000539D3"/>
    <w:rsid w:val="00053DE5"/>
    <w:rsid w:val="00054A8F"/>
    <w:rsid w:val="00056CCF"/>
    <w:rsid w:val="00063719"/>
    <w:rsid w:val="00063D0C"/>
    <w:rsid w:val="00064C9F"/>
    <w:rsid w:val="000777B1"/>
    <w:rsid w:val="00080A77"/>
    <w:rsid w:val="00080CEA"/>
    <w:rsid w:val="00081B8B"/>
    <w:rsid w:val="000852F0"/>
    <w:rsid w:val="0008660F"/>
    <w:rsid w:val="0008757A"/>
    <w:rsid w:val="000908AE"/>
    <w:rsid w:val="00094E97"/>
    <w:rsid w:val="000A4F7E"/>
    <w:rsid w:val="000A531E"/>
    <w:rsid w:val="000A7C89"/>
    <w:rsid w:val="000B2723"/>
    <w:rsid w:val="000B7193"/>
    <w:rsid w:val="000C14F5"/>
    <w:rsid w:val="000C3734"/>
    <w:rsid w:val="000D3F61"/>
    <w:rsid w:val="000D7A5B"/>
    <w:rsid w:val="000E3580"/>
    <w:rsid w:val="000E708E"/>
    <w:rsid w:val="000F282F"/>
    <w:rsid w:val="000F29E2"/>
    <w:rsid w:val="000F2CDF"/>
    <w:rsid w:val="000F32C2"/>
    <w:rsid w:val="000F40D5"/>
    <w:rsid w:val="000F42EE"/>
    <w:rsid w:val="000F603F"/>
    <w:rsid w:val="00100142"/>
    <w:rsid w:val="00100ECF"/>
    <w:rsid w:val="00102461"/>
    <w:rsid w:val="001124DD"/>
    <w:rsid w:val="001164F7"/>
    <w:rsid w:val="00117600"/>
    <w:rsid w:val="001224E5"/>
    <w:rsid w:val="00124220"/>
    <w:rsid w:val="00124B92"/>
    <w:rsid w:val="0013388E"/>
    <w:rsid w:val="00134039"/>
    <w:rsid w:val="001356FF"/>
    <w:rsid w:val="0013798A"/>
    <w:rsid w:val="00137E6A"/>
    <w:rsid w:val="00142E18"/>
    <w:rsid w:val="00145ECB"/>
    <w:rsid w:val="00152BD0"/>
    <w:rsid w:val="00157D24"/>
    <w:rsid w:val="0016530E"/>
    <w:rsid w:val="00166CE7"/>
    <w:rsid w:val="001703F0"/>
    <w:rsid w:val="00171CCD"/>
    <w:rsid w:val="00175BB8"/>
    <w:rsid w:val="00183033"/>
    <w:rsid w:val="0018343D"/>
    <w:rsid w:val="00183688"/>
    <w:rsid w:val="00184E0D"/>
    <w:rsid w:val="001860E7"/>
    <w:rsid w:val="0018694C"/>
    <w:rsid w:val="001920AF"/>
    <w:rsid w:val="00193B6A"/>
    <w:rsid w:val="001A264A"/>
    <w:rsid w:val="001A2C87"/>
    <w:rsid w:val="001A5262"/>
    <w:rsid w:val="001A5744"/>
    <w:rsid w:val="001B24F8"/>
    <w:rsid w:val="001B7719"/>
    <w:rsid w:val="001B7A0F"/>
    <w:rsid w:val="001C0910"/>
    <w:rsid w:val="001D1AE3"/>
    <w:rsid w:val="001D21C1"/>
    <w:rsid w:val="001E5F2A"/>
    <w:rsid w:val="001E78FB"/>
    <w:rsid w:val="00203B8D"/>
    <w:rsid w:val="002050E8"/>
    <w:rsid w:val="00210F35"/>
    <w:rsid w:val="002154C5"/>
    <w:rsid w:val="002163E0"/>
    <w:rsid w:val="00220353"/>
    <w:rsid w:val="002222BD"/>
    <w:rsid w:val="00224FA4"/>
    <w:rsid w:val="00225605"/>
    <w:rsid w:val="002311D8"/>
    <w:rsid w:val="00234593"/>
    <w:rsid w:val="00235ED8"/>
    <w:rsid w:val="00240061"/>
    <w:rsid w:val="00245AB8"/>
    <w:rsid w:val="00253822"/>
    <w:rsid w:val="00253DC8"/>
    <w:rsid w:val="002552DF"/>
    <w:rsid w:val="00257F20"/>
    <w:rsid w:val="0026193A"/>
    <w:rsid w:val="00261E70"/>
    <w:rsid w:val="00263AF1"/>
    <w:rsid w:val="00263D56"/>
    <w:rsid w:val="002659D7"/>
    <w:rsid w:val="00267221"/>
    <w:rsid w:val="00273173"/>
    <w:rsid w:val="0027350A"/>
    <w:rsid w:val="00281804"/>
    <w:rsid w:val="00286E9F"/>
    <w:rsid w:val="00291837"/>
    <w:rsid w:val="00292FC6"/>
    <w:rsid w:val="002961EF"/>
    <w:rsid w:val="00296A5E"/>
    <w:rsid w:val="002A0F57"/>
    <w:rsid w:val="002A2F9C"/>
    <w:rsid w:val="002A5A51"/>
    <w:rsid w:val="002B1757"/>
    <w:rsid w:val="002B4272"/>
    <w:rsid w:val="002B7455"/>
    <w:rsid w:val="002B75B4"/>
    <w:rsid w:val="002C176E"/>
    <w:rsid w:val="002C367C"/>
    <w:rsid w:val="002D0E3A"/>
    <w:rsid w:val="002D7666"/>
    <w:rsid w:val="002E18B8"/>
    <w:rsid w:val="002E5879"/>
    <w:rsid w:val="002E629B"/>
    <w:rsid w:val="002F0D8E"/>
    <w:rsid w:val="002F2583"/>
    <w:rsid w:val="002F41B9"/>
    <w:rsid w:val="002F713A"/>
    <w:rsid w:val="003008AE"/>
    <w:rsid w:val="003051AB"/>
    <w:rsid w:val="00307D42"/>
    <w:rsid w:val="00312B2B"/>
    <w:rsid w:val="00312C86"/>
    <w:rsid w:val="003138F7"/>
    <w:rsid w:val="003151B8"/>
    <w:rsid w:val="00322129"/>
    <w:rsid w:val="003247BB"/>
    <w:rsid w:val="003251E9"/>
    <w:rsid w:val="00325CCB"/>
    <w:rsid w:val="003402D0"/>
    <w:rsid w:val="00343665"/>
    <w:rsid w:val="00343D72"/>
    <w:rsid w:val="003512BE"/>
    <w:rsid w:val="003530F4"/>
    <w:rsid w:val="00362ECA"/>
    <w:rsid w:val="00365A23"/>
    <w:rsid w:val="00370038"/>
    <w:rsid w:val="003733B8"/>
    <w:rsid w:val="0037426D"/>
    <w:rsid w:val="003810AB"/>
    <w:rsid w:val="00383442"/>
    <w:rsid w:val="0039224B"/>
    <w:rsid w:val="0039403F"/>
    <w:rsid w:val="003953A4"/>
    <w:rsid w:val="003A2A43"/>
    <w:rsid w:val="003A35C8"/>
    <w:rsid w:val="003A756E"/>
    <w:rsid w:val="003A7A44"/>
    <w:rsid w:val="003B12D3"/>
    <w:rsid w:val="003B3D8F"/>
    <w:rsid w:val="003C2F93"/>
    <w:rsid w:val="003C72FE"/>
    <w:rsid w:val="003D2B04"/>
    <w:rsid w:val="003D67BD"/>
    <w:rsid w:val="003D6DB9"/>
    <w:rsid w:val="003D7C1C"/>
    <w:rsid w:val="003E19E1"/>
    <w:rsid w:val="003E2890"/>
    <w:rsid w:val="003E3195"/>
    <w:rsid w:val="003E635F"/>
    <w:rsid w:val="003E6D52"/>
    <w:rsid w:val="003E7A0C"/>
    <w:rsid w:val="003F3F4F"/>
    <w:rsid w:val="003F6358"/>
    <w:rsid w:val="00402739"/>
    <w:rsid w:val="0040305E"/>
    <w:rsid w:val="0040409F"/>
    <w:rsid w:val="00406C19"/>
    <w:rsid w:val="004118C2"/>
    <w:rsid w:val="00413413"/>
    <w:rsid w:val="004139EA"/>
    <w:rsid w:val="00413B62"/>
    <w:rsid w:val="00421849"/>
    <w:rsid w:val="004232DC"/>
    <w:rsid w:val="004243B7"/>
    <w:rsid w:val="00424D1B"/>
    <w:rsid w:val="00424E15"/>
    <w:rsid w:val="004261ED"/>
    <w:rsid w:val="0042728C"/>
    <w:rsid w:val="00430F0E"/>
    <w:rsid w:val="0043482D"/>
    <w:rsid w:val="00435F95"/>
    <w:rsid w:val="00436EF4"/>
    <w:rsid w:val="00437D55"/>
    <w:rsid w:val="004427AC"/>
    <w:rsid w:val="00450EF6"/>
    <w:rsid w:val="00451A6E"/>
    <w:rsid w:val="004549C0"/>
    <w:rsid w:val="004648D8"/>
    <w:rsid w:val="00465199"/>
    <w:rsid w:val="00467598"/>
    <w:rsid w:val="004719A3"/>
    <w:rsid w:val="004755A0"/>
    <w:rsid w:val="00476D7D"/>
    <w:rsid w:val="0048106B"/>
    <w:rsid w:val="00483D9D"/>
    <w:rsid w:val="00485C87"/>
    <w:rsid w:val="00490C11"/>
    <w:rsid w:val="00495BB0"/>
    <w:rsid w:val="00497FC6"/>
    <w:rsid w:val="004A1801"/>
    <w:rsid w:val="004A3DAA"/>
    <w:rsid w:val="004A6C30"/>
    <w:rsid w:val="004A6F76"/>
    <w:rsid w:val="004A7B2A"/>
    <w:rsid w:val="004B3E5C"/>
    <w:rsid w:val="004C40D8"/>
    <w:rsid w:val="004C4352"/>
    <w:rsid w:val="004C60D7"/>
    <w:rsid w:val="004C7982"/>
    <w:rsid w:val="004D310F"/>
    <w:rsid w:val="004D3537"/>
    <w:rsid w:val="004D432E"/>
    <w:rsid w:val="004D54F0"/>
    <w:rsid w:val="004D6462"/>
    <w:rsid w:val="004D7583"/>
    <w:rsid w:val="004E0F5D"/>
    <w:rsid w:val="004E192F"/>
    <w:rsid w:val="004E5ABD"/>
    <w:rsid w:val="004F0AAB"/>
    <w:rsid w:val="004F0CB0"/>
    <w:rsid w:val="004F11CF"/>
    <w:rsid w:val="004F1C8B"/>
    <w:rsid w:val="004F5E7B"/>
    <w:rsid w:val="004F5F65"/>
    <w:rsid w:val="005001C7"/>
    <w:rsid w:val="00500D10"/>
    <w:rsid w:val="00503430"/>
    <w:rsid w:val="00504281"/>
    <w:rsid w:val="005101A6"/>
    <w:rsid w:val="00511EB0"/>
    <w:rsid w:val="005123EE"/>
    <w:rsid w:val="00516744"/>
    <w:rsid w:val="00521F51"/>
    <w:rsid w:val="0052254C"/>
    <w:rsid w:val="00523DF1"/>
    <w:rsid w:val="0052529E"/>
    <w:rsid w:val="005256DB"/>
    <w:rsid w:val="005317AC"/>
    <w:rsid w:val="0053250D"/>
    <w:rsid w:val="005405AE"/>
    <w:rsid w:val="00541E62"/>
    <w:rsid w:val="00547E62"/>
    <w:rsid w:val="005503F5"/>
    <w:rsid w:val="00553DED"/>
    <w:rsid w:val="00554FD7"/>
    <w:rsid w:val="00555A57"/>
    <w:rsid w:val="005601A7"/>
    <w:rsid w:val="00561917"/>
    <w:rsid w:val="00562BD7"/>
    <w:rsid w:val="00581729"/>
    <w:rsid w:val="0058175B"/>
    <w:rsid w:val="00581918"/>
    <w:rsid w:val="0058250D"/>
    <w:rsid w:val="00594C00"/>
    <w:rsid w:val="00594FD8"/>
    <w:rsid w:val="00595A43"/>
    <w:rsid w:val="00597B5B"/>
    <w:rsid w:val="005A0026"/>
    <w:rsid w:val="005A0159"/>
    <w:rsid w:val="005A16AF"/>
    <w:rsid w:val="005A4C0D"/>
    <w:rsid w:val="005A5968"/>
    <w:rsid w:val="005A6535"/>
    <w:rsid w:val="005B52F8"/>
    <w:rsid w:val="005B6123"/>
    <w:rsid w:val="005B69B5"/>
    <w:rsid w:val="005C0056"/>
    <w:rsid w:val="005C4753"/>
    <w:rsid w:val="005C52AA"/>
    <w:rsid w:val="005C5B9E"/>
    <w:rsid w:val="005D1456"/>
    <w:rsid w:val="005D4B97"/>
    <w:rsid w:val="005D4E6F"/>
    <w:rsid w:val="005E084C"/>
    <w:rsid w:val="005E11A1"/>
    <w:rsid w:val="005E17C2"/>
    <w:rsid w:val="005E6BE6"/>
    <w:rsid w:val="005E7148"/>
    <w:rsid w:val="005F0F21"/>
    <w:rsid w:val="0060009D"/>
    <w:rsid w:val="00603035"/>
    <w:rsid w:val="00603DC6"/>
    <w:rsid w:val="00604B6B"/>
    <w:rsid w:val="00605373"/>
    <w:rsid w:val="00607258"/>
    <w:rsid w:val="0061550E"/>
    <w:rsid w:val="00617AF5"/>
    <w:rsid w:val="006206E4"/>
    <w:rsid w:val="00621411"/>
    <w:rsid w:val="006253D1"/>
    <w:rsid w:val="00626ABC"/>
    <w:rsid w:val="00627AB3"/>
    <w:rsid w:val="006334A9"/>
    <w:rsid w:val="00637F33"/>
    <w:rsid w:val="00641196"/>
    <w:rsid w:val="0064266D"/>
    <w:rsid w:val="00645408"/>
    <w:rsid w:val="0065126A"/>
    <w:rsid w:val="0065241A"/>
    <w:rsid w:val="00652F21"/>
    <w:rsid w:val="00653E7D"/>
    <w:rsid w:val="0065408D"/>
    <w:rsid w:val="006555EE"/>
    <w:rsid w:val="006578FC"/>
    <w:rsid w:val="00660542"/>
    <w:rsid w:val="0066709D"/>
    <w:rsid w:val="006678DF"/>
    <w:rsid w:val="006709E5"/>
    <w:rsid w:val="00671DE2"/>
    <w:rsid w:val="00673CE3"/>
    <w:rsid w:val="00674503"/>
    <w:rsid w:val="00676457"/>
    <w:rsid w:val="00684FA4"/>
    <w:rsid w:val="0068525F"/>
    <w:rsid w:val="00687DD9"/>
    <w:rsid w:val="00690A2E"/>
    <w:rsid w:val="00691B91"/>
    <w:rsid w:val="00691FC1"/>
    <w:rsid w:val="00693F2A"/>
    <w:rsid w:val="00697E24"/>
    <w:rsid w:val="00697EB4"/>
    <w:rsid w:val="006A1526"/>
    <w:rsid w:val="006A7C42"/>
    <w:rsid w:val="006B4CD8"/>
    <w:rsid w:val="006B6F5D"/>
    <w:rsid w:val="006B7753"/>
    <w:rsid w:val="006C1A07"/>
    <w:rsid w:val="006C1FE6"/>
    <w:rsid w:val="006C4CD0"/>
    <w:rsid w:val="006C5B30"/>
    <w:rsid w:val="006C624B"/>
    <w:rsid w:val="006C6371"/>
    <w:rsid w:val="006D0966"/>
    <w:rsid w:val="006E0082"/>
    <w:rsid w:val="006E12D1"/>
    <w:rsid w:val="006E29C4"/>
    <w:rsid w:val="006E3AA0"/>
    <w:rsid w:val="006E58D9"/>
    <w:rsid w:val="006F18D8"/>
    <w:rsid w:val="006F3D96"/>
    <w:rsid w:val="006F41C4"/>
    <w:rsid w:val="00701E23"/>
    <w:rsid w:val="0070635B"/>
    <w:rsid w:val="00706DAA"/>
    <w:rsid w:val="0071319F"/>
    <w:rsid w:val="00725333"/>
    <w:rsid w:val="007257ED"/>
    <w:rsid w:val="0073129C"/>
    <w:rsid w:val="00733531"/>
    <w:rsid w:val="00733A54"/>
    <w:rsid w:val="00735A5D"/>
    <w:rsid w:val="00745190"/>
    <w:rsid w:val="00745A1E"/>
    <w:rsid w:val="00750194"/>
    <w:rsid w:val="00753382"/>
    <w:rsid w:val="007545DB"/>
    <w:rsid w:val="007558F4"/>
    <w:rsid w:val="00756005"/>
    <w:rsid w:val="00757517"/>
    <w:rsid w:val="00757BD2"/>
    <w:rsid w:val="0076143B"/>
    <w:rsid w:val="00763547"/>
    <w:rsid w:val="00763ADE"/>
    <w:rsid w:val="00776646"/>
    <w:rsid w:val="007774C2"/>
    <w:rsid w:val="00784A23"/>
    <w:rsid w:val="0078592E"/>
    <w:rsid w:val="00785E4E"/>
    <w:rsid w:val="007929E7"/>
    <w:rsid w:val="00793598"/>
    <w:rsid w:val="00794A28"/>
    <w:rsid w:val="00794A33"/>
    <w:rsid w:val="007A27F9"/>
    <w:rsid w:val="007A40C4"/>
    <w:rsid w:val="007B2AE0"/>
    <w:rsid w:val="007B505B"/>
    <w:rsid w:val="007C02A3"/>
    <w:rsid w:val="007C3184"/>
    <w:rsid w:val="007C3CBF"/>
    <w:rsid w:val="007D1EB8"/>
    <w:rsid w:val="007D37BE"/>
    <w:rsid w:val="007D7E02"/>
    <w:rsid w:val="007E3C4D"/>
    <w:rsid w:val="007E4447"/>
    <w:rsid w:val="007E655B"/>
    <w:rsid w:val="007E7A28"/>
    <w:rsid w:val="007F013A"/>
    <w:rsid w:val="007F113A"/>
    <w:rsid w:val="007F2A55"/>
    <w:rsid w:val="007F37E6"/>
    <w:rsid w:val="007F6F85"/>
    <w:rsid w:val="00801263"/>
    <w:rsid w:val="00802742"/>
    <w:rsid w:val="0080443D"/>
    <w:rsid w:val="00806249"/>
    <w:rsid w:val="008072C7"/>
    <w:rsid w:val="008100C0"/>
    <w:rsid w:val="00810D22"/>
    <w:rsid w:val="008161D1"/>
    <w:rsid w:val="00817555"/>
    <w:rsid w:val="00821A0E"/>
    <w:rsid w:val="00822976"/>
    <w:rsid w:val="00822C1C"/>
    <w:rsid w:val="00823B6B"/>
    <w:rsid w:val="00823D23"/>
    <w:rsid w:val="00825392"/>
    <w:rsid w:val="00831255"/>
    <w:rsid w:val="008328C1"/>
    <w:rsid w:val="008445BB"/>
    <w:rsid w:val="00844A95"/>
    <w:rsid w:val="00845D34"/>
    <w:rsid w:val="00846028"/>
    <w:rsid w:val="0084649B"/>
    <w:rsid w:val="008519DB"/>
    <w:rsid w:val="00861388"/>
    <w:rsid w:val="00862C6A"/>
    <w:rsid w:val="008666A2"/>
    <w:rsid w:val="0087265F"/>
    <w:rsid w:val="00872DCD"/>
    <w:rsid w:val="008741D9"/>
    <w:rsid w:val="00876915"/>
    <w:rsid w:val="0087726F"/>
    <w:rsid w:val="00880499"/>
    <w:rsid w:val="00883937"/>
    <w:rsid w:val="008859CB"/>
    <w:rsid w:val="00890CD7"/>
    <w:rsid w:val="00897CEC"/>
    <w:rsid w:val="008A0481"/>
    <w:rsid w:val="008A13EB"/>
    <w:rsid w:val="008A3043"/>
    <w:rsid w:val="008A5B2D"/>
    <w:rsid w:val="008A7557"/>
    <w:rsid w:val="008B0BCC"/>
    <w:rsid w:val="008B4FDD"/>
    <w:rsid w:val="008D4730"/>
    <w:rsid w:val="008D4B95"/>
    <w:rsid w:val="008D4F6F"/>
    <w:rsid w:val="008E2455"/>
    <w:rsid w:val="008E2BA7"/>
    <w:rsid w:val="008F6E96"/>
    <w:rsid w:val="008F7B0F"/>
    <w:rsid w:val="009025F0"/>
    <w:rsid w:val="009073CD"/>
    <w:rsid w:val="00907696"/>
    <w:rsid w:val="00911460"/>
    <w:rsid w:val="0091705B"/>
    <w:rsid w:val="009229BA"/>
    <w:rsid w:val="0092336D"/>
    <w:rsid w:val="00927D89"/>
    <w:rsid w:val="009315E1"/>
    <w:rsid w:val="009344A1"/>
    <w:rsid w:val="009375A3"/>
    <w:rsid w:val="0093760B"/>
    <w:rsid w:val="00947715"/>
    <w:rsid w:val="00961AD5"/>
    <w:rsid w:val="009627FF"/>
    <w:rsid w:val="00963A44"/>
    <w:rsid w:val="0096627E"/>
    <w:rsid w:val="009675E0"/>
    <w:rsid w:val="009700D1"/>
    <w:rsid w:val="00975B53"/>
    <w:rsid w:val="009774DA"/>
    <w:rsid w:val="009777DE"/>
    <w:rsid w:val="00981CA3"/>
    <w:rsid w:val="009840DF"/>
    <w:rsid w:val="00985F53"/>
    <w:rsid w:val="00986352"/>
    <w:rsid w:val="00992B0A"/>
    <w:rsid w:val="00992E06"/>
    <w:rsid w:val="0099353A"/>
    <w:rsid w:val="009A4417"/>
    <w:rsid w:val="009A5E91"/>
    <w:rsid w:val="009B1079"/>
    <w:rsid w:val="009B16EC"/>
    <w:rsid w:val="009B178D"/>
    <w:rsid w:val="009B2829"/>
    <w:rsid w:val="009C17AE"/>
    <w:rsid w:val="009D272E"/>
    <w:rsid w:val="009D29D6"/>
    <w:rsid w:val="009E13AD"/>
    <w:rsid w:val="009E14A4"/>
    <w:rsid w:val="009E2547"/>
    <w:rsid w:val="009E4A52"/>
    <w:rsid w:val="009E508E"/>
    <w:rsid w:val="009E5730"/>
    <w:rsid w:val="009F111D"/>
    <w:rsid w:val="009F305A"/>
    <w:rsid w:val="009F3CFD"/>
    <w:rsid w:val="009F3F97"/>
    <w:rsid w:val="009F7DCA"/>
    <w:rsid w:val="00A02AAD"/>
    <w:rsid w:val="00A038C6"/>
    <w:rsid w:val="00A0772C"/>
    <w:rsid w:val="00A10BF2"/>
    <w:rsid w:val="00A31C0F"/>
    <w:rsid w:val="00A32890"/>
    <w:rsid w:val="00A34030"/>
    <w:rsid w:val="00A34997"/>
    <w:rsid w:val="00A44F1D"/>
    <w:rsid w:val="00A54A75"/>
    <w:rsid w:val="00A5559C"/>
    <w:rsid w:val="00A568EF"/>
    <w:rsid w:val="00A61E9B"/>
    <w:rsid w:val="00A637B4"/>
    <w:rsid w:val="00A6544A"/>
    <w:rsid w:val="00A679E4"/>
    <w:rsid w:val="00A76768"/>
    <w:rsid w:val="00A76CC2"/>
    <w:rsid w:val="00A80736"/>
    <w:rsid w:val="00A81DA8"/>
    <w:rsid w:val="00A828A1"/>
    <w:rsid w:val="00A902D4"/>
    <w:rsid w:val="00A91DB4"/>
    <w:rsid w:val="00A92FC6"/>
    <w:rsid w:val="00A93A3B"/>
    <w:rsid w:val="00A955D5"/>
    <w:rsid w:val="00A96936"/>
    <w:rsid w:val="00AA269E"/>
    <w:rsid w:val="00AA3D79"/>
    <w:rsid w:val="00AA4406"/>
    <w:rsid w:val="00AA5F43"/>
    <w:rsid w:val="00AA6C48"/>
    <w:rsid w:val="00AA72E6"/>
    <w:rsid w:val="00AB0579"/>
    <w:rsid w:val="00AB1FEC"/>
    <w:rsid w:val="00AB50C4"/>
    <w:rsid w:val="00AB7C67"/>
    <w:rsid w:val="00AC0F1B"/>
    <w:rsid w:val="00AC1ECF"/>
    <w:rsid w:val="00AC2CA6"/>
    <w:rsid w:val="00AC3457"/>
    <w:rsid w:val="00AC36C1"/>
    <w:rsid w:val="00AC637D"/>
    <w:rsid w:val="00AD0857"/>
    <w:rsid w:val="00AD3193"/>
    <w:rsid w:val="00AD5A22"/>
    <w:rsid w:val="00AD60A7"/>
    <w:rsid w:val="00AD630B"/>
    <w:rsid w:val="00AD66B7"/>
    <w:rsid w:val="00AE017E"/>
    <w:rsid w:val="00AE0F19"/>
    <w:rsid w:val="00AE1318"/>
    <w:rsid w:val="00AE23B7"/>
    <w:rsid w:val="00AE33EB"/>
    <w:rsid w:val="00AE3C1B"/>
    <w:rsid w:val="00AE4309"/>
    <w:rsid w:val="00AE5D52"/>
    <w:rsid w:val="00AF1330"/>
    <w:rsid w:val="00AF2242"/>
    <w:rsid w:val="00AF2BA0"/>
    <w:rsid w:val="00AF5096"/>
    <w:rsid w:val="00AF6F2C"/>
    <w:rsid w:val="00AF77BA"/>
    <w:rsid w:val="00B011F3"/>
    <w:rsid w:val="00B06A98"/>
    <w:rsid w:val="00B06B00"/>
    <w:rsid w:val="00B11115"/>
    <w:rsid w:val="00B163A5"/>
    <w:rsid w:val="00B17968"/>
    <w:rsid w:val="00B20E11"/>
    <w:rsid w:val="00B227F4"/>
    <w:rsid w:val="00B231E6"/>
    <w:rsid w:val="00B23A41"/>
    <w:rsid w:val="00B27A3C"/>
    <w:rsid w:val="00B31350"/>
    <w:rsid w:val="00B36CCF"/>
    <w:rsid w:val="00B372CD"/>
    <w:rsid w:val="00B4001C"/>
    <w:rsid w:val="00B410C5"/>
    <w:rsid w:val="00B412F3"/>
    <w:rsid w:val="00B41DC0"/>
    <w:rsid w:val="00B45093"/>
    <w:rsid w:val="00B451A5"/>
    <w:rsid w:val="00B473E5"/>
    <w:rsid w:val="00B505ED"/>
    <w:rsid w:val="00B6293D"/>
    <w:rsid w:val="00B736EF"/>
    <w:rsid w:val="00B77804"/>
    <w:rsid w:val="00B81E6F"/>
    <w:rsid w:val="00B8331C"/>
    <w:rsid w:val="00B97FA7"/>
    <w:rsid w:val="00BA18AE"/>
    <w:rsid w:val="00BA30FD"/>
    <w:rsid w:val="00BA63FF"/>
    <w:rsid w:val="00BC45F8"/>
    <w:rsid w:val="00BD0F85"/>
    <w:rsid w:val="00BD3459"/>
    <w:rsid w:val="00BD396F"/>
    <w:rsid w:val="00BD3A6B"/>
    <w:rsid w:val="00BD6DB9"/>
    <w:rsid w:val="00BE2D7C"/>
    <w:rsid w:val="00BE441A"/>
    <w:rsid w:val="00BF35AC"/>
    <w:rsid w:val="00C00816"/>
    <w:rsid w:val="00C03C75"/>
    <w:rsid w:val="00C04BB5"/>
    <w:rsid w:val="00C10CA1"/>
    <w:rsid w:val="00C13C26"/>
    <w:rsid w:val="00C17880"/>
    <w:rsid w:val="00C232F0"/>
    <w:rsid w:val="00C26ABE"/>
    <w:rsid w:val="00C31C75"/>
    <w:rsid w:val="00C33703"/>
    <w:rsid w:val="00C35303"/>
    <w:rsid w:val="00C35922"/>
    <w:rsid w:val="00C51041"/>
    <w:rsid w:val="00C51855"/>
    <w:rsid w:val="00C544BB"/>
    <w:rsid w:val="00C57DDF"/>
    <w:rsid w:val="00C61A28"/>
    <w:rsid w:val="00C674DA"/>
    <w:rsid w:val="00C677F9"/>
    <w:rsid w:val="00C709E5"/>
    <w:rsid w:val="00C72879"/>
    <w:rsid w:val="00C76074"/>
    <w:rsid w:val="00C9218B"/>
    <w:rsid w:val="00C93639"/>
    <w:rsid w:val="00C96E29"/>
    <w:rsid w:val="00C97EE0"/>
    <w:rsid w:val="00CA3286"/>
    <w:rsid w:val="00CA4C99"/>
    <w:rsid w:val="00CA7198"/>
    <w:rsid w:val="00CA73A9"/>
    <w:rsid w:val="00CB01D6"/>
    <w:rsid w:val="00CB2069"/>
    <w:rsid w:val="00CB20BE"/>
    <w:rsid w:val="00CB46E3"/>
    <w:rsid w:val="00CB6CEE"/>
    <w:rsid w:val="00CB7090"/>
    <w:rsid w:val="00CC0501"/>
    <w:rsid w:val="00CC058E"/>
    <w:rsid w:val="00CC2ADD"/>
    <w:rsid w:val="00CC2DD8"/>
    <w:rsid w:val="00CC3F8D"/>
    <w:rsid w:val="00CC6F62"/>
    <w:rsid w:val="00CC7367"/>
    <w:rsid w:val="00CD229B"/>
    <w:rsid w:val="00CD365D"/>
    <w:rsid w:val="00CD467D"/>
    <w:rsid w:val="00CD6004"/>
    <w:rsid w:val="00CD693F"/>
    <w:rsid w:val="00CE0605"/>
    <w:rsid w:val="00CE0EF5"/>
    <w:rsid w:val="00CE1DF3"/>
    <w:rsid w:val="00CE28DD"/>
    <w:rsid w:val="00CE3AC8"/>
    <w:rsid w:val="00CE3CA3"/>
    <w:rsid w:val="00CF3299"/>
    <w:rsid w:val="00CF5C6B"/>
    <w:rsid w:val="00D022FD"/>
    <w:rsid w:val="00D04235"/>
    <w:rsid w:val="00D04420"/>
    <w:rsid w:val="00D068AB"/>
    <w:rsid w:val="00D0697B"/>
    <w:rsid w:val="00D11265"/>
    <w:rsid w:val="00D12EF0"/>
    <w:rsid w:val="00D16ECF"/>
    <w:rsid w:val="00D24000"/>
    <w:rsid w:val="00D240C8"/>
    <w:rsid w:val="00D243ED"/>
    <w:rsid w:val="00D253FC"/>
    <w:rsid w:val="00D36897"/>
    <w:rsid w:val="00D3695A"/>
    <w:rsid w:val="00D40BB1"/>
    <w:rsid w:val="00D40C12"/>
    <w:rsid w:val="00D442D5"/>
    <w:rsid w:val="00D45F1B"/>
    <w:rsid w:val="00D467B7"/>
    <w:rsid w:val="00D50625"/>
    <w:rsid w:val="00D56060"/>
    <w:rsid w:val="00D56663"/>
    <w:rsid w:val="00D578B5"/>
    <w:rsid w:val="00D60666"/>
    <w:rsid w:val="00D61725"/>
    <w:rsid w:val="00D63FF6"/>
    <w:rsid w:val="00D7574D"/>
    <w:rsid w:val="00D775A2"/>
    <w:rsid w:val="00D80CD4"/>
    <w:rsid w:val="00D81038"/>
    <w:rsid w:val="00D82E96"/>
    <w:rsid w:val="00D86C06"/>
    <w:rsid w:val="00DA6129"/>
    <w:rsid w:val="00DA7FAD"/>
    <w:rsid w:val="00DB0596"/>
    <w:rsid w:val="00DB0760"/>
    <w:rsid w:val="00DB26C5"/>
    <w:rsid w:val="00DB4A20"/>
    <w:rsid w:val="00DC0215"/>
    <w:rsid w:val="00DC43AC"/>
    <w:rsid w:val="00DC507D"/>
    <w:rsid w:val="00DD4BD3"/>
    <w:rsid w:val="00DE014A"/>
    <w:rsid w:val="00DE0CBB"/>
    <w:rsid w:val="00DE13A5"/>
    <w:rsid w:val="00DE250F"/>
    <w:rsid w:val="00DE49AE"/>
    <w:rsid w:val="00DF4239"/>
    <w:rsid w:val="00DF464E"/>
    <w:rsid w:val="00DF4788"/>
    <w:rsid w:val="00DF4D76"/>
    <w:rsid w:val="00DF5A7F"/>
    <w:rsid w:val="00E045BB"/>
    <w:rsid w:val="00E04BC8"/>
    <w:rsid w:val="00E076B2"/>
    <w:rsid w:val="00E11D3E"/>
    <w:rsid w:val="00E133BE"/>
    <w:rsid w:val="00E14318"/>
    <w:rsid w:val="00E1521B"/>
    <w:rsid w:val="00E220D3"/>
    <w:rsid w:val="00E232B9"/>
    <w:rsid w:val="00E245BE"/>
    <w:rsid w:val="00E25FC2"/>
    <w:rsid w:val="00E3050A"/>
    <w:rsid w:val="00E30A26"/>
    <w:rsid w:val="00E30CC8"/>
    <w:rsid w:val="00E355F2"/>
    <w:rsid w:val="00E35790"/>
    <w:rsid w:val="00E360C1"/>
    <w:rsid w:val="00E36BD8"/>
    <w:rsid w:val="00E37E62"/>
    <w:rsid w:val="00E43A74"/>
    <w:rsid w:val="00E43BD3"/>
    <w:rsid w:val="00E45DB8"/>
    <w:rsid w:val="00E50109"/>
    <w:rsid w:val="00E519AA"/>
    <w:rsid w:val="00E53797"/>
    <w:rsid w:val="00E55899"/>
    <w:rsid w:val="00E55FEE"/>
    <w:rsid w:val="00E60EA4"/>
    <w:rsid w:val="00E62A15"/>
    <w:rsid w:val="00E63F9A"/>
    <w:rsid w:val="00E64C69"/>
    <w:rsid w:val="00E66A42"/>
    <w:rsid w:val="00E67B3D"/>
    <w:rsid w:val="00E67F9E"/>
    <w:rsid w:val="00E73895"/>
    <w:rsid w:val="00E86565"/>
    <w:rsid w:val="00E86D2C"/>
    <w:rsid w:val="00E9188C"/>
    <w:rsid w:val="00E92CAE"/>
    <w:rsid w:val="00E97E82"/>
    <w:rsid w:val="00EA2FC7"/>
    <w:rsid w:val="00EA41DE"/>
    <w:rsid w:val="00EA4DDA"/>
    <w:rsid w:val="00EB1BC3"/>
    <w:rsid w:val="00EB244A"/>
    <w:rsid w:val="00EC17E4"/>
    <w:rsid w:val="00EC2058"/>
    <w:rsid w:val="00EC2AC4"/>
    <w:rsid w:val="00ED3898"/>
    <w:rsid w:val="00ED3EDE"/>
    <w:rsid w:val="00ED5A1B"/>
    <w:rsid w:val="00EE41E9"/>
    <w:rsid w:val="00EE5585"/>
    <w:rsid w:val="00EF2189"/>
    <w:rsid w:val="00EF3FDC"/>
    <w:rsid w:val="00F0110C"/>
    <w:rsid w:val="00F01E3C"/>
    <w:rsid w:val="00F03269"/>
    <w:rsid w:val="00F06109"/>
    <w:rsid w:val="00F13489"/>
    <w:rsid w:val="00F144A7"/>
    <w:rsid w:val="00F2167E"/>
    <w:rsid w:val="00F21F75"/>
    <w:rsid w:val="00F269A6"/>
    <w:rsid w:val="00F316F5"/>
    <w:rsid w:val="00F33DF6"/>
    <w:rsid w:val="00F35405"/>
    <w:rsid w:val="00F364ED"/>
    <w:rsid w:val="00F417A9"/>
    <w:rsid w:val="00F441E7"/>
    <w:rsid w:val="00F51F37"/>
    <w:rsid w:val="00F57C80"/>
    <w:rsid w:val="00F62691"/>
    <w:rsid w:val="00F66D15"/>
    <w:rsid w:val="00F705CA"/>
    <w:rsid w:val="00F7375C"/>
    <w:rsid w:val="00F76578"/>
    <w:rsid w:val="00F77815"/>
    <w:rsid w:val="00F83C3A"/>
    <w:rsid w:val="00F86A76"/>
    <w:rsid w:val="00F86F57"/>
    <w:rsid w:val="00FA2EA5"/>
    <w:rsid w:val="00FB0C35"/>
    <w:rsid w:val="00FB5180"/>
    <w:rsid w:val="00FC0F14"/>
    <w:rsid w:val="00FC15B7"/>
    <w:rsid w:val="00FC6499"/>
    <w:rsid w:val="00FC7C23"/>
    <w:rsid w:val="00FD046A"/>
    <w:rsid w:val="00FD638D"/>
    <w:rsid w:val="00FE0C23"/>
    <w:rsid w:val="00FE20C8"/>
    <w:rsid w:val="00FE3205"/>
    <w:rsid w:val="00FE4D9F"/>
    <w:rsid w:val="00FE57CE"/>
    <w:rsid w:val="00FE7260"/>
    <w:rsid w:val="00FF01DD"/>
    <w:rsid w:val="00FF3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B537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General text"/>
    <w:qFormat/>
    <w:rsid w:val="00476D7D"/>
    <w:pPr>
      <w:spacing w:after="240" w:line="480" w:lineRule="auto"/>
      <w:jc w:val="both"/>
    </w:pPr>
    <w:rPr>
      <w:rFonts w:ascii="Times New Roman" w:hAnsi="Times New Roman"/>
      <w:sz w:val="22"/>
      <w:lang w:val="en-GB"/>
    </w:rPr>
  </w:style>
  <w:style w:type="paragraph" w:styleId="Heading1">
    <w:name w:val="heading 1"/>
    <w:aliases w:val="Chapters"/>
    <w:link w:val="Heading1Char"/>
    <w:uiPriority w:val="9"/>
    <w:qFormat/>
    <w:rsid w:val="007E7A28"/>
    <w:pPr>
      <w:keepNext/>
      <w:keepLines/>
      <w:spacing w:before="240"/>
      <w:jc w:val="both"/>
      <w:outlineLvl w:val="0"/>
    </w:pPr>
    <w:rPr>
      <w:rFonts w:ascii="Times New Roman" w:eastAsiaTheme="majorEastAsia" w:hAnsi="Times New Roman" w:cs="Times New Roman (Headings CS)"/>
      <w:b/>
      <w:color w:val="000000" w:themeColor="text1"/>
      <w:sz w:val="32"/>
      <w:szCs w:val="32"/>
      <w:lang w:val="en-GB"/>
    </w:rPr>
  </w:style>
  <w:style w:type="paragraph" w:styleId="Heading2">
    <w:name w:val="heading 2"/>
    <w:basedOn w:val="Normal"/>
    <w:next w:val="Normal"/>
    <w:link w:val="Heading2Char"/>
    <w:uiPriority w:val="9"/>
    <w:unhideWhenUsed/>
    <w:qFormat/>
    <w:rsid w:val="00476D7D"/>
    <w:pPr>
      <w:keepNext/>
      <w:keepLines/>
      <w:outlineLvl w:val="1"/>
    </w:pPr>
    <w:rPr>
      <w:rFonts w:eastAsiaTheme="majorEastAsia" w:cstheme="majorBidi"/>
      <w:b/>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s Char"/>
    <w:basedOn w:val="DefaultParagraphFont"/>
    <w:link w:val="Heading1"/>
    <w:uiPriority w:val="9"/>
    <w:rsid w:val="007E7A28"/>
    <w:rPr>
      <w:rFonts w:ascii="Times New Roman" w:eastAsiaTheme="majorEastAsia" w:hAnsi="Times New Roman" w:cs="Times New Roman (Headings CS)"/>
      <w:b/>
      <w:color w:val="000000" w:themeColor="text1"/>
      <w:sz w:val="32"/>
      <w:szCs w:val="32"/>
      <w:lang w:val="en-GB"/>
    </w:rPr>
  </w:style>
  <w:style w:type="paragraph" w:styleId="Title">
    <w:name w:val="Title"/>
    <w:aliases w:val="Section headings"/>
    <w:next w:val="Normal"/>
    <w:link w:val="TitleChar"/>
    <w:uiPriority w:val="10"/>
    <w:qFormat/>
    <w:rsid w:val="007E7A28"/>
    <w:pPr>
      <w:contextualSpacing/>
      <w:jc w:val="both"/>
    </w:pPr>
    <w:rPr>
      <w:rFonts w:ascii="Times New Roman" w:eastAsiaTheme="majorEastAsia" w:hAnsi="Times New Roman" w:cstheme="majorBidi"/>
      <w:i/>
      <w:spacing w:val="-10"/>
      <w:kern w:val="28"/>
      <w:sz w:val="22"/>
      <w:szCs w:val="56"/>
      <w:lang w:val="en-GB"/>
    </w:rPr>
  </w:style>
  <w:style w:type="character" w:customStyle="1" w:styleId="TitleChar">
    <w:name w:val="Title Char"/>
    <w:aliases w:val="Section headings Char"/>
    <w:basedOn w:val="DefaultParagraphFont"/>
    <w:link w:val="Title"/>
    <w:uiPriority w:val="10"/>
    <w:rsid w:val="007E7A28"/>
    <w:rPr>
      <w:rFonts w:ascii="Times New Roman" w:eastAsiaTheme="majorEastAsia" w:hAnsi="Times New Roman" w:cstheme="majorBidi"/>
      <w:i/>
      <w:spacing w:val="-10"/>
      <w:kern w:val="28"/>
      <w:sz w:val="22"/>
      <w:szCs w:val="56"/>
      <w:lang w:val="en-GB"/>
    </w:rPr>
  </w:style>
  <w:style w:type="table" w:styleId="TableSimple1">
    <w:name w:val="Table Simple 1"/>
    <w:aliases w:val="Tables"/>
    <w:basedOn w:val="PlainTable1"/>
    <w:uiPriority w:val="99"/>
    <w:semiHidden/>
    <w:unhideWhenUsed/>
    <w:rsid w:val="00DA6129"/>
    <w:rPr>
      <w:sz w:val="18"/>
      <w:szCs w:val="20"/>
      <w:lang w:val="en-GB" w:eastAsia="en-GB"/>
    </w:rPr>
    <w:tblPr>
      <w:tblBorders>
        <w:top w:val="single" w:sz="4" w:space="0" w:color="000000" w:themeColor="text1"/>
        <w:bottom w:val="single" w:sz="4" w:space="0" w:color="000000" w:themeColor="text1"/>
      </w:tblBorders>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aliases w:val="Thesis tables"/>
    <w:basedOn w:val="TableNormal"/>
    <w:uiPriority w:val="41"/>
    <w:rsid w:val="00FC7C23"/>
    <w:rPr>
      <w:rFonts w:ascii="Times New Roman" w:hAnsi="Times New Roman"/>
      <w:sz w:val="20"/>
    </w:rPr>
    <w:tblPr>
      <w:tblStyleRowBandSize w:val="1"/>
      <w:tblStyleColBandSize w:val="1"/>
      <w:tblBorders>
        <w:top w:val="single" w:sz="4" w:space="0" w:color="000000"/>
        <w:bottom w:val="single" w:sz="4" w:space="0" w:color="000000"/>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
    <w:name w:val="Table"/>
    <w:basedOn w:val="TableNormal"/>
    <w:uiPriority w:val="99"/>
    <w:rsid w:val="00FC7C23"/>
    <w:rPr>
      <w:rFonts w:ascii="Times New Roman" w:hAnsi="Times New Roman"/>
      <w:color w:val="000000" w:themeColor="text1"/>
      <w:sz w:val="18"/>
    </w:rPr>
    <w:tblPr>
      <w:tblBorders>
        <w:top w:val="single" w:sz="4" w:space="0" w:color="000000" w:themeColor="text1"/>
        <w:bottom w:val="single" w:sz="4" w:space="0" w:color="000000" w:themeColor="text1"/>
      </w:tblBorders>
    </w:tblPr>
  </w:style>
  <w:style w:type="numbering" w:customStyle="1" w:styleId="Researchquestions">
    <w:name w:val="Research questions"/>
    <w:basedOn w:val="NoList"/>
    <w:uiPriority w:val="99"/>
    <w:rsid w:val="00CC2DD8"/>
    <w:pPr>
      <w:numPr>
        <w:numId w:val="1"/>
      </w:numPr>
    </w:pPr>
  </w:style>
  <w:style w:type="paragraph" w:styleId="Footer">
    <w:name w:val="footer"/>
    <w:basedOn w:val="Normal"/>
    <w:link w:val="FooterChar"/>
    <w:uiPriority w:val="99"/>
    <w:unhideWhenUsed/>
    <w:rsid w:val="00183688"/>
    <w:pPr>
      <w:tabs>
        <w:tab w:val="center" w:pos="4513"/>
        <w:tab w:val="right" w:pos="9026"/>
      </w:tabs>
      <w:spacing w:line="240" w:lineRule="auto"/>
    </w:pPr>
  </w:style>
  <w:style w:type="character" w:customStyle="1" w:styleId="FooterChar">
    <w:name w:val="Footer Char"/>
    <w:basedOn w:val="DefaultParagraphFont"/>
    <w:link w:val="Footer"/>
    <w:uiPriority w:val="99"/>
    <w:rsid w:val="00183688"/>
    <w:rPr>
      <w:rFonts w:ascii="Times New Roman" w:hAnsi="Times New Roman"/>
      <w:sz w:val="22"/>
      <w:lang w:val="en-GB"/>
    </w:rPr>
  </w:style>
  <w:style w:type="character" w:styleId="PageNumber">
    <w:name w:val="page number"/>
    <w:basedOn w:val="DefaultParagraphFont"/>
    <w:uiPriority w:val="99"/>
    <w:semiHidden/>
    <w:unhideWhenUsed/>
    <w:rsid w:val="00183688"/>
  </w:style>
  <w:style w:type="character" w:styleId="Hyperlink">
    <w:name w:val="Hyperlink"/>
    <w:basedOn w:val="DefaultParagraphFont"/>
    <w:uiPriority w:val="99"/>
    <w:unhideWhenUsed/>
    <w:rsid w:val="00CB2069"/>
    <w:rPr>
      <w:color w:val="0563C1" w:themeColor="hyperlink"/>
      <w:u w:val="single"/>
    </w:rPr>
  </w:style>
  <w:style w:type="character" w:styleId="UnresolvedMention">
    <w:name w:val="Unresolved Mention"/>
    <w:basedOn w:val="DefaultParagraphFont"/>
    <w:uiPriority w:val="99"/>
    <w:rsid w:val="00CB2069"/>
    <w:rPr>
      <w:color w:val="605E5C"/>
      <w:shd w:val="clear" w:color="auto" w:fill="E1DFDD"/>
    </w:rPr>
  </w:style>
  <w:style w:type="paragraph" w:styleId="Header">
    <w:name w:val="header"/>
    <w:basedOn w:val="Normal"/>
    <w:link w:val="HeaderChar"/>
    <w:uiPriority w:val="99"/>
    <w:unhideWhenUsed/>
    <w:rsid w:val="00476D7D"/>
    <w:pPr>
      <w:tabs>
        <w:tab w:val="center" w:pos="4513"/>
        <w:tab w:val="right" w:pos="9026"/>
      </w:tabs>
      <w:spacing w:after="360" w:line="240" w:lineRule="auto"/>
    </w:pPr>
    <w:rPr>
      <w:b/>
    </w:rPr>
  </w:style>
  <w:style w:type="character" w:customStyle="1" w:styleId="HeaderChar">
    <w:name w:val="Header Char"/>
    <w:basedOn w:val="DefaultParagraphFont"/>
    <w:link w:val="Header"/>
    <w:uiPriority w:val="99"/>
    <w:rsid w:val="00476D7D"/>
    <w:rPr>
      <w:rFonts w:ascii="Times New Roman" w:hAnsi="Times New Roman"/>
      <w:b/>
      <w:sz w:val="22"/>
      <w:lang w:val="en-GB"/>
    </w:rPr>
  </w:style>
  <w:style w:type="paragraph" w:styleId="NoSpacing">
    <w:name w:val="No Spacing"/>
    <w:uiPriority w:val="1"/>
    <w:qFormat/>
    <w:rsid w:val="00A96936"/>
    <w:rPr>
      <w:rFonts w:eastAsiaTheme="minorEastAsia"/>
      <w:sz w:val="22"/>
      <w:szCs w:val="22"/>
      <w:lang w:eastAsia="zh-CN"/>
    </w:rPr>
  </w:style>
  <w:style w:type="table" w:styleId="TableGrid">
    <w:name w:val="Table Grid"/>
    <w:basedOn w:val="TableNormal"/>
    <w:uiPriority w:val="39"/>
    <w:rsid w:val="00C35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DB4"/>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1860E7"/>
    <w:pPr>
      <w:ind w:left="720"/>
      <w:contextualSpacing/>
    </w:pPr>
  </w:style>
  <w:style w:type="paragraph" w:styleId="NormalWeb">
    <w:name w:val="Normal (Web)"/>
    <w:basedOn w:val="Normal"/>
    <w:uiPriority w:val="99"/>
    <w:semiHidden/>
    <w:unhideWhenUsed/>
    <w:rsid w:val="00B06B00"/>
    <w:pPr>
      <w:spacing w:before="100" w:beforeAutospacing="1" w:after="100" w:afterAutospacing="1" w:line="240" w:lineRule="auto"/>
      <w:jc w:val="left"/>
    </w:pPr>
    <w:rPr>
      <w:rFonts w:eastAsia="Times New Roman" w:cs="Times New Roman"/>
      <w:sz w:val="24"/>
      <w:lang w:eastAsia="en-GB"/>
    </w:rPr>
  </w:style>
  <w:style w:type="character" w:styleId="Strong">
    <w:name w:val="Strong"/>
    <w:basedOn w:val="DefaultParagraphFont"/>
    <w:uiPriority w:val="22"/>
    <w:qFormat/>
    <w:rsid w:val="00476D7D"/>
    <w:rPr>
      <w:b/>
      <w:bCs/>
    </w:rPr>
  </w:style>
  <w:style w:type="character" w:customStyle="1" w:styleId="Heading2Char">
    <w:name w:val="Heading 2 Char"/>
    <w:basedOn w:val="DefaultParagraphFont"/>
    <w:link w:val="Heading2"/>
    <w:uiPriority w:val="9"/>
    <w:rsid w:val="00476D7D"/>
    <w:rPr>
      <w:rFonts w:ascii="Times New Roman" w:eastAsiaTheme="majorEastAsia" w:hAnsi="Times New Roman" w:cstheme="majorBidi"/>
      <w:b/>
      <w:color w:val="000000" w:themeColor="text1"/>
      <w:sz w:val="22"/>
      <w:szCs w:val="26"/>
      <w:lang w:val="en-GB"/>
    </w:rPr>
  </w:style>
  <w:style w:type="character" w:styleId="LineNumber">
    <w:name w:val="line number"/>
    <w:basedOn w:val="DefaultParagraphFont"/>
    <w:uiPriority w:val="99"/>
    <w:semiHidden/>
    <w:unhideWhenUsed/>
    <w:rsid w:val="00AA6C48"/>
  </w:style>
  <w:style w:type="paragraph" w:styleId="BalloonText">
    <w:name w:val="Balloon Text"/>
    <w:basedOn w:val="Normal"/>
    <w:link w:val="BalloonTextChar"/>
    <w:uiPriority w:val="99"/>
    <w:semiHidden/>
    <w:unhideWhenUsed/>
    <w:rsid w:val="00FD046A"/>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FD046A"/>
    <w:rPr>
      <w:rFonts w:ascii="Times New Roman" w:hAnsi="Times New Roman" w:cs="Times New Roman"/>
      <w:sz w:val="18"/>
      <w:szCs w:val="18"/>
      <w:lang w:val="en-GB"/>
    </w:rPr>
  </w:style>
  <w:style w:type="character" w:customStyle="1" w:styleId="apple-converted-space">
    <w:name w:val="apple-converted-space"/>
    <w:basedOn w:val="DefaultParagraphFont"/>
    <w:rsid w:val="00F417A9"/>
  </w:style>
  <w:style w:type="character" w:styleId="Emphasis">
    <w:name w:val="Emphasis"/>
    <w:basedOn w:val="DefaultParagraphFont"/>
    <w:uiPriority w:val="20"/>
    <w:qFormat/>
    <w:rsid w:val="00F417A9"/>
    <w:rPr>
      <w:i/>
      <w:iCs/>
    </w:rPr>
  </w:style>
  <w:style w:type="character" w:styleId="CommentReference">
    <w:name w:val="annotation reference"/>
    <w:basedOn w:val="DefaultParagraphFont"/>
    <w:uiPriority w:val="99"/>
    <w:semiHidden/>
    <w:unhideWhenUsed/>
    <w:rsid w:val="002B7455"/>
    <w:rPr>
      <w:sz w:val="16"/>
      <w:szCs w:val="16"/>
    </w:rPr>
  </w:style>
  <w:style w:type="paragraph" w:styleId="CommentText">
    <w:name w:val="annotation text"/>
    <w:basedOn w:val="Normal"/>
    <w:link w:val="CommentTextChar"/>
    <w:uiPriority w:val="99"/>
    <w:semiHidden/>
    <w:unhideWhenUsed/>
    <w:rsid w:val="002B7455"/>
    <w:pPr>
      <w:spacing w:line="240" w:lineRule="auto"/>
    </w:pPr>
    <w:rPr>
      <w:sz w:val="20"/>
      <w:szCs w:val="20"/>
    </w:rPr>
  </w:style>
  <w:style w:type="character" w:customStyle="1" w:styleId="CommentTextChar">
    <w:name w:val="Comment Text Char"/>
    <w:basedOn w:val="DefaultParagraphFont"/>
    <w:link w:val="CommentText"/>
    <w:uiPriority w:val="99"/>
    <w:semiHidden/>
    <w:rsid w:val="002B7455"/>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2B7455"/>
    <w:rPr>
      <w:b/>
      <w:bCs/>
    </w:rPr>
  </w:style>
  <w:style w:type="character" w:customStyle="1" w:styleId="CommentSubjectChar">
    <w:name w:val="Comment Subject Char"/>
    <w:basedOn w:val="CommentTextChar"/>
    <w:link w:val="CommentSubject"/>
    <w:uiPriority w:val="99"/>
    <w:semiHidden/>
    <w:rsid w:val="002B7455"/>
    <w:rPr>
      <w:rFonts w:ascii="Times New Roman" w:hAnsi="Times New Roman"/>
      <w:b/>
      <w:bCs/>
      <w:sz w:val="20"/>
      <w:szCs w:val="20"/>
      <w:lang w:val="en-GB"/>
    </w:rPr>
  </w:style>
  <w:style w:type="character" w:styleId="FollowedHyperlink">
    <w:name w:val="FollowedHyperlink"/>
    <w:basedOn w:val="DefaultParagraphFont"/>
    <w:uiPriority w:val="99"/>
    <w:semiHidden/>
    <w:unhideWhenUsed/>
    <w:rsid w:val="00794A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5317">
      <w:bodyDiv w:val="1"/>
      <w:marLeft w:val="0"/>
      <w:marRight w:val="0"/>
      <w:marTop w:val="0"/>
      <w:marBottom w:val="0"/>
      <w:divBdr>
        <w:top w:val="none" w:sz="0" w:space="0" w:color="auto"/>
        <w:left w:val="none" w:sz="0" w:space="0" w:color="auto"/>
        <w:bottom w:val="none" w:sz="0" w:space="0" w:color="auto"/>
        <w:right w:val="none" w:sz="0" w:space="0" w:color="auto"/>
      </w:divBdr>
    </w:div>
    <w:div w:id="62720649">
      <w:bodyDiv w:val="1"/>
      <w:marLeft w:val="0"/>
      <w:marRight w:val="0"/>
      <w:marTop w:val="0"/>
      <w:marBottom w:val="0"/>
      <w:divBdr>
        <w:top w:val="none" w:sz="0" w:space="0" w:color="auto"/>
        <w:left w:val="none" w:sz="0" w:space="0" w:color="auto"/>
        <w:bottom w:val="none" w:sz="0" w:space="0" w:color="auto"/>
        <w:right w:val="none" w:sz="0" w:space="0" w:color="auto"/>
      </w:divBdr>
    </w:div>
    <w:div w:id="357699718">
      <w:bodyDiv w:val="1"/>
      <w:marLeft w:val="0"/>
      <w:marRight w:val="0"/>
      <w:marTop w:val="0"/>
      <w:marBottom w:val="0"/>
      <w:divBdr>
        <w:top w:val="none" w:sz="0" w:space="0" w:color="auto"/>
        <w:left w:val="none" w:sz="0" w:space="0" w:color="auto"/>
        <w:bottom w:val="none" w:sz="0" w:space="0" w:color="auto"/>
        <w:right w:val="none" w:sz="0" w:space="0" w:color="auto"/>
      </w:divBdr>
    </w:div>
    <w:div w:id="488911461">
      <w:bodyDiv w:val="1"/>
      <w:marLeft w:val="0"/>
      <w:marRight w:val="0"/>
      <w:marTop w:val="0"/>
      <w:marBottom w:val="0"/>
      <w:divBdr>
        <w:top w:val="none" w:sz="0" w:space="0" w:color="auto"/>
        <w:left w:val="none" w:sz="0" w:space="0" w:color="auto"/>
        <w:bottom w:val="none" w:sz="0" w:space="0" w:color="auto"/>
        <w:right w:val="none" w:sz="0" w:space="0" w:color="auto"/>
      </w:divBdr>
    </w:div>
    <w:div w:id="524178987">
      <w:bodyDiv w:val="1"/>
      <w:marLeft w:val="0"/>
      <w:marRight w:val="0"/>
      <w:marTop w:val="0"/>
      <w:marBottom w:val="0"/>
      <w:divBdr>
        <w:top w:val="none" w:sz="0" w:space="0" w:color="auto"/>
        <w:left w:val="none" w:sz="0" w:space="0" w:color="auto"/>
        <w:bottom w:val="none" w:sz="0" w:space="0" w:color="auto"/>
        <w:right w:val="none" w:sz="0" w:space="0" w:color="auto"/>
      </w:divBdr>
    </w:div>
    <w:div w:id="589048043">
      <w:bodyDiv w:val="1"/>
      <w:marLeft w:val="0"/>
      <w:marRight w:val="0"/>
      <w:marTop w:val="0"/>
      <w:marBottom w:val="0"/>
      <w:divBdr>
        <w:top w:val="none" w:sz="0" w:space="0" w:color="auto"/>
        <w:left w:val="none" w:sz="0" w:space="0" w:color="auto"/>
        <w:bottom w:val="none" w:sz="0" w:space="0" w:color="auto"/>
        <w:right w:val="none" w:sz="0" w:space="0" w:color="auto"/>
      </w:divBdr>
    </w:div>
    <w:div w:id="591820158">
      <w:bodyDiv w:val="1"/>
      <w:marLeft w:val="0"/>
      <w:marRight w:val="0"/>
      <w:marTop w:val="0"/>
      <w:marBottom w:val="0"/>
      <w:divBdr>
        <w:top w:val="none" w:sz="0" w:space="0" w:color="auto"/>
        <w:left w:val="none" w:sz="0" w:space="0" w:color="auto"/>
        <w:bottom w:val="none" w:sz="0" w:space="0" w:color="auto"/>
        <w:right w:val="none" w:sz="0" w:space="0" w:color="auto"/>
      </w:divBdr>
    </w:div>
    <w:div w:id="666329433">
      <w:bodyDiv w:val="1"/>
      <w:marLeft w:val="0"/>
      <w:marRight w:val="0"/>
      <w:marTop w:val="0"/>
      <w:marBottom w:val="0"/>
      <w:divBdr>
        <w:top w:val="none" w:sz="0" w:space="0" w:color="auto"/>
        <w:left w:val="none" w:sz="0" w:space="0" w:color="auto"/>
        <w:bottom w:val="none" w:sz="0" w:space="0" w:color="auto"/>
        <w:right w:val="none" w:sz="0" w:space="0" w:color="auto"/>
      </w:divBdr>
    </w:div>
    <w:div w:id="866021376">
      <w:bodyDiv w:val="1"/>
      <w:marLeft w:val="0"/>
      <w:marRight w:val="0"/>
      <w:marTop w:val="0"/>
      <w:marBottom w:val="0"/>
      <w:divBdr>
        <w:top w:val="none" w:sz="0" w:space="0" w:color="auto"/>
        <w:left w:val="none" w:sz="0" w:space="0" w:color="auto"/>
        <w:bottom w:val="none" w:sz="0" w:space="0" w:color="auto"/>
        <w:right w:val="none" w:sz="0" w:space="0" w:color="auto"/>
      </w:divBdr>
    </w:div>
    <w:div w:id="948045802">
      <w:bodyDiv w:val="1"/>
      <w:marLeft w:val="0"/>
      <w:marRight w:val="0"/>
      <w:marTop w:val="0"/>
      <w:marBottom w:val="0"/>
      <w:divBdr>
        <w:top w:val="none" w:sz="0" w:space="0" w:color="auto"/>
        <w:left w:val="none" w:sz="0" w:space="0" w:color="auto"/>
        <w:bottom w:val="none" w:sz="0" w:space="0" w:color="auto"/>
        <w:right w:val="none" w:sz="0" w:space="0" w:color="auto"/>
      </w:divBdr>
    </w:div>
    <w:div w:id="975569420">
      <w:bodyDiv w:val="1"/>
      <w:marLeft w:val="0"/>
      <w:marRight w:val="0"/>
      <w:marTop w:val="0"/>
      <w:marBottom w:val="0"/>
      <w:divBdr>
        <w:top w:val="none" w:sz="0" w:space="0" w:color="auto"/>
        <w:left w:val="none" w:sz="0" w:space="0" w:color="auto"/>
        <w:bottom w:val="none" w:sz="0" w:space="0" w:color="auto"/>
        <w:right w:val="none" w:sz="0" w:space="0" w:color="auto"/>
      </w:divBdr>
    </w:div>
    <w:div w:id="1011881328">
      <w:bodyDiv w:val="1"/>
      <w:marLeft w:val="0"/>
      <w:marRight w:val="0"/>
      <w:marTop w:val="0"/>
      <w:marBottom w:val="0"/>
      <w:divBdr>
        <w:top w:val="none" w:sz="0" w:space="0" w:color="auto"/>
        <w:left w:val="none" w:sz="0" w:space="0" w:color="auto"/>
        <w:bottom w:val="none" w:sz="0" w:space="0" w:color="auto"/>
        <w:right w:val="none" w:sz="0" w:space="0" w:color="auto"/>
      </w:divBdr>
    </w:div>
    <w:div w:id="1102339478">
      <w:bodyDiv w:val="1"/>
      <w:marLeft w:val="0"/>
      <w:marRight w:val="0"/>
      <w:marTop w:val="0"/>
      <w:marBottom w:val="0"/>
      <w:divBdr>
        <w:top w:val="none" w:sz="0" w:space="0" w:color="auto"/>
        <w:left w:val="none" w:sz="0" w:space="0" w:color="auto"/>
        <w:bottom w:val="none" w:sz="0" w:space="0" w:color="auto"/>
        <w:right w:val="none" w:sz="0" w:space="0" w:color="auto"/>
      </w:divBdr>
    </w:div>
    <w:div w:id="1103963582">
      <w:bodyDiv w:val="1"/>
      <w:marLeft w:val="0"/>
      <w:marRight w:val="0"/>
      <w:marTop w:val="0"/>
      <w:marBottom w:val="0"/>
      <w:divBdr>
        <w:top w:val="none" w:sz="0" w:space="0" w:color="auto"/>
        <w:left w:val="none" w:sz="0" w:space="0" w:color="auto"/>
        <w:bottom w:val="none" w:sz="0" w:space="0" w:color="auto"/>
        <w:right w:val="none" w:sz="0" w:space="0" w:color="auto"/>
      </w:divBdr>
    </w:div>
    <w:div w:id="1134569088">
      <w:bodyDiv w:val="1"/>
      <w:marLeft w:val="0"/>
      <w:marRight w:val="0"/>
      <w:marTop w:val="0"/>
      <w:marBottom w:val="0"/>
      <w:divBdr>
        <w:top w:val="none" w:sz="0" w:space="0" w:color="auto"/>
        <w:left w:val="none" w:sz="0" w:space="0" w:color="auto"/>
        <w:bottom w:val="none" w:sz="0" w:space="0" w:color="auto"/>
        <w:right w:val="none" w:sz="0" w:space="0" w:color="auto"/>
      </w:divBdr>
    </w:div>
    <w:div w:id="1196776098">
      <w:bodyDiv w:val="1"/>
      <w:marLeft w:val="0"/>
      <w:marRight w:val="0"/>
      <w:marTop w:val="0"/>
      <w:marBottom w:val="0"/>
      <w:divBdr>
        <w:top w:val="none" w:sz="0" w:space="0" w:color="auto"/>
        <w:left w:val="none" w:sz="0" w:space="0" w:color="auto"/>
        <w:bottom w:val="none" w:sz="0" w:space="0" w:color="auto"/>
        <w:right w:val="none" w:sz="0" w:space="0" w:color="auto"/>
      </w:divBdr>
    </w:div>
    <w:div w:id="1200122886">
      <w:bodyDiv w:val="1"/>
      <w:marLeft w:val="0"/>
      <w:marRight w:val="0"/>
      <w:marTop w:val="0"/>
      <w:marBottom w:val="0"/>
      <w:divBdr>
        <w:top w:val="none" w:sz="0" w:space="0" w:color="auto"/>
        <w:left w:val="none" w:sz="0" w:space="0" w:color="auto"/>
        <w:bottom w:val="none" w:sz="0" w:space="0" w:color="auto"/>
        <w:right w:val="none" w:sz="0" w:space="0" w:color="auto"/>
      </w:divBdr>
    </w:div>
    <w:div w:id="1455905680">
      <w:bodyDiv w:val="1"/>
      <w:marLeft w:val="0"/>
      <w:marRight w:val="0"/>
      <w:marTop w:val="0"/>
      <w:marBottom w:val="0"/>
      <w:divBdr>
        <w:top w:val="none" w:sz="0" w:space="0" w:color="auto"/>
        <w:left w:val="none" w:sz="0" w:space="0" w:color="auto"/>
        <w:bottom w:val="none" w:sz="0" w:space="0" w:color="auto"/>
        <w:right w:val="none" w:sz="0" w:space="0" w:color="auto"/>
      </w:divBdr>
    </w:div>
    <w:div w:id="1509129569">
      <w:bodyDiv w:val="1"/>
      <w:marLeft w:val="0"/>
      <w:marRight w:val="0"/>
      <w:marTop w:val="0"/>
      <w:marBottom w:val="0"/>
      <w:divBdr>
        <w:top w:val="none" w:sz="0" w:space="0" w:color="auto"/>
        <w:left w:val="none" w:sz="0" w:space="0" w:color="auto"/>
        <w:bottom w:val="none" w:sz="0" w:space="0" w:color="auto"/>
        <w:right w:val="none" w:sz="0" w:space="0" w:color="auto"/>
      </w:divBdr>
    </w:div>
    <w:div w:id="1527676464">
      <w:bodyDiv w:val="1"/>
      <w:marLeft w:val="0"/>
      <w:marRight w:val="0"/>
      <w:marTop w:val="0"/>
      <w:marBottom w:val="0"/>
      <w:divBdr>
        <w:top w:val="none" w:sz="0" w:space="0" w:color="auto"/>
        <w:left w:val="none" w:sz="0" w:space="0" w:color="auto"/>
        <w:bottom w:val="none" w:sz="0" w:space="0" w:color="auto"/>
        <w:right w:val="none" w:sz="0" w:space="0" w:color="auto"/>
      </w:divBdr>
    </w:div>
    <w:div w:id="1722442391">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sChild>
        <w:div w:id="82772164">
          <w:marLeft w:val="0"/>
          <w:marRight w:val="0"/>
          <w:marTop w:val="0"/>
          <w:marBottom w:val="0"/>
          <w:divBdr>
            <w:top w:val="none" w:sz="0" w:space="0" w:color="auto"/>
            <w:left w:val="none" w:sz="0" w:space="0" w:color="auto"/>
            <w:bottom w:val="none" w:sz="0" w:space="0" w:color="auto"/>
            <w:right w:val="none" w:sz="0" w:space="0" w:color="auto"/>
          </w:divBdr>
          <w:divsChild>
            <w:div w:id="2054454941">
              <w:marLeft w:val="0"/>
              <w:marRight w:val="0"/>
              <w:marTop w:val="0"/>
              <w:marBottom w:val="0"/>
              <w:divBdr>
                <w:top w:val="none" w:sz="0" w:space="0" w:color="auto"/>
                <w:left w:val="none" w:sz="0" w:space="0" w:color="auto"/>
                <w:bottom w:val="none" w:sz="0" w:space="0" w:color="auto"/>
                <w:right w:val="none" w:sz="0" w:space="0" w:color="auto"/>
              </w:divBdr>
              <w:divsChild>
                <w:div w:id="1022052453">
                  <w:marLeft w:val="0"/>
                  <w:marRight w:val="0"/>
                  <w:marTop w:val="0"/>
                  <w:marBottom w:val="0"/>
                  <w:divBdr>
                    <w:top w:val="none" w:sz="0" w:space="0" w:color="auto"/>
                    <w:left w:val="none" w:sz="0" w:space="0" w:color="auto"/>
                    <w:bottom w:val="none" w:sz="0" w:space="0" w:color="auto"/>
                    <w:right w:val="none" w:sz="0" w:space="0" w:color="auto"/>
                  </w:divBdr>
                  <w:divsChild>
                    <w:div w:id="1179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53830">
      <w:bodyDiv w:val="1"/>
      <w:marLeft w:val="0"/>
      <w:marRight w:val="0"/>
      <w:marTop w:val="0"/>
      <w:marBottom w:val="0"/>
      <w:divBdr>
        <w:top w:val="none" w:sz="0" w:space="0" w:color="auto"/>
        <w:left w:val="none" w:sz="0" w:space="0" w:color="auto"/>
        <w:bottom w:val="none" w:sz="0" w:space="0" w:color="auto"/>
        <w:right w:val="none" w:sz="0" w:space="0" w:color="auto"/>
      </w:divBdr>
    </w:div>
    <w:div w:id="1853572024">
      <w:bodyDiv w:val="1"/>
      <w:marLeft w:val="0"/>
      <w:marRight w:val="0"/>
      <w:marTop w:val="0"/>
      <w:marBottom w:val="0"/>
      <w:divBdr>
        <w:top w:val="none" w:sz="0" w:space="0" w:color="auto"/>
        <w:left w:val="none" w:sz="0" w:space="0" w:color="auto"/>
        <w:bottom w:val="none" w:sz="0" w:space="0" w:color="auto"/>
        <w:right w:val="none" w:sz="0" w:space="0" w:color="auto"/>
      </w:divBdr>
    </w:div>
    <w:div w:id="1931892298">
      <w:bodyDiv w:val="1"/>
      <w:marLeft w:val="0"/>
      <w:marRight w:val="0"/>
      <w:marTop w:val="0"/>
      <w:marBottom w:val="0"/>
      <w:divBdr>
        <w:top w:val="none" w:sz="0" w:space="0" w:color="auto"/>
        <w:left w:val="none" w:sz="0" w:space="0" w:color="auto"/>
        <w:bottom w:val="none" w:sz="0" w:space="0" w:color="auto"/>
        <w:right w:val="none" w:sz="0" w:space="0" w:color="auto"/>
      </w:divBdr>
    </w:div>
    <w:div w:id="2012023241">
      <w:bodyDiv w:val="1"/>
      <w:marLeft w:val="0"/>
      <w:marRight w:val="0"/>
      <w:marTop w:val="0"/>
      <w:marBottom w:val="0"/>
      <w:divBdr>
        <w:top w:val="none" w:sz="0" w:space="0" w:color="auto"/>
        <w:left w:val="none" w:sz="0" w:space="0" w:color="auto"/>
        <w:bottom w:val="none" w:sz="0" w:space="0" w:color="auto"/>
        <w:right w:val="none" w:sz="0" w:space="0" w:color="auto"/>
      </w:divBdr>
    </w:div>
    <w:div w:id="2097746102">
      <w:bodyDiv w:val="1"/>
      <w:marLeft w:val="0"/>
      <w:marRight w:val="0"/>
      <w:marTop w:val="0"/>
      <w:marBottom w:val="0"/>
      <w:divBdr>
        <w:top w:val="none" w:sz="0" w:space="0" w:color="auto"/>
        <w:left w:val="none" w:sz="0" w:space="0" w:color="auto"/>
        <w:bottom w:val="none" w:sz="0" w:space="0" w:color="auto"/>
        <w:right w:val="none" w:sz="0" w:space="0" w:color="auto"/>
      </w:divBdr>
    </w:div>
    <w:div w:id="213832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e.hughes@stmarys.ac.uk"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68D71DF-5E6D-764F-B4E5-1F64C2A7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34</Pages>
  <Words>44540</Words>
  <Characters>253884</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81</cp:revision>
  <dcterms:created xsi:type="dcterms:W3CDTF">2019-10-23T17:45:00Z</dcterms:created>
  <dcterms:modified xsi:type="dcterms:W3CDTF">2020-02-27T16:18:00Z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http://www.zotero.org/styles/british-journal-of-sports-medicine</vt:lpwstr>
  </property>
  <property fmtid="{D5CDD505-2E9C-101B-9397-08002B2CF9AE}" pid="9" name="Mendeley Recent Style Name 3_1">
    <vt:lpwstr>British Journal of Sports Medicine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http://www.zotero.org/styles/journal-of-applied-physiology</vt:lpwstr>
  </property>
  <property fmtid="{D5CDD505-2E9C-101B-9397-08002B2CF9AE}" pid="15" name="Mendeley Recent Style Name 6_1">
    <vt:lpwstr>Journal of Applied Physiology</vt:lpwstr>
  </property>
  <property fmtid="{D5CDD505-2E9C-101B-9397-08002B2CF9AE}" pid="16" name="Mendeley Recent Style Id 7_1">
    <vt:lpwstr>http://www.zotero.org/styles/medical-hypotheses</vt:lpwstr>
  </property>
  <property fmtid="{D5CDD505-2E9C-101B-9397-08002B2CF9AE}" pid="17" name="Mendeley Recent Style Name 7_1">
    <vt:lpwstr>Medical Hypotheses</vt:lpwstr>
  </property>
  <property fmtid="{D5CDD505-2E9C-101B-9397-08002B2CF9AE}" pid="18" name="Mendeley Recent Style Id 8_1">
    <vt:lpwstr>http://www.zotero.org/styles/medicine-and-science-in-sports-and-exercise</vt:lpwstr>
  </property>
  <property fmtid="{D5CDD505-2E9C-101B-9397-08002B2CF9AE}" pid="19" name="Mendeley Recent Style Name 8_1">
    <vt:lpwstr>Medicine &amp; Science in Sports &amp; Exercise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ae55550a-02bd-3c28-9984-691959485a44</vt:lpwstr>
  </property>
  <property fmtid="{D5CDD505-2E9C-101B-9397-08002B2CF9AE}" pid="24" name="Mendeley Citation Style_1">
    <vt:lpwstr>http://www.zotero.org/styles/journal-of-applied-physiology</vt:lpwstr>
  </property>
</Properties>
</file>