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B7573" w14:textId="2E02D4D2" w:rsidR="005F5123" w:rsidRPr="00B66A1B" w:rsidRDefault="00A51A44" w:rsidP="00F03707">
      <w:pPr>
        <w:spacing w:line="480" w:lineRule="auto"/>
        <w:jc w:val="both"/>
        <w:rPr>
          <w:rFonts w:ascii="Arial" w:hAnsi="Arial" w:cs="Arial"/>
          <w:b/>
        </w:rPr>
      </w:pPr>
      <w:r w:rsidRPr="00B66A1B">
        <w:rPr>
          <w:rFonts w:ascii="Arial" w:hAnsi="Arial" w:cs="Arial"/>
          <w:b/>
        </w:rPr>
        <w:t>Abstract</w:t>
      </w:r>
    </w:p>
    <w:p w14:paraId="7C47A1EA" w14:textId="25AEEB75" w:rsidR="00341FCA" w:rsidRPr="00B66A1B" w:rsidRDefault="001D2901" w:rsidP="00F03707">
      <w:pPr>
        <w:spacing w:line="480" w:lineRule="auto"/>
        <w:jc w:val="both"/>
        <w:rPr>
          <w:rFonts w:ascii="Arial" w:hAnsi="Arial" w:cs="Arial"/>
        </w:rPr>
      </w:pPr>
      <w:bookmarkStart w:id="0" w:name="_Hlk65572441"/>
      <w:r w:rsidRPr="00B66A1B">
        <w:rPr>
          <w:rFonts w:ascii="Arial" w:hAnsi="Arial" w:cs="Arial"/>
        </w:rPr>
        <w:t xml:space="preserve">Investigations </w:t>
      </w:r>
      <w:r w:rsidR="00D94724" w:rsidRPr="00B66A1B">
        <w:rPr>
          <w:rFonts w:ascii="Arial" w:hAnsi="Arial" w:cs="Arial"/>
        </w:rPr>
        <w:t xml:space="preserve">of golf performance </w:t>
      </w:r>
      <w:r w:rsidR="00341FCA" w:rsidRPr="00B66A1B">
        <w:rPr>
          <w:rFonts w:ascii="Arial" w:hAnsi="Arial" w:cs="Arial"/>
        </w:rPr>
        <w:t>utilising</w:t>
      </w:r>
      <w:r w:rsidRPr="00B66A1B">
        <w:rPr>
          <w:rFonts w:ascii="Arial" w:hAnsi="Arial" w:cs="Arial"/>
        </w:rPr>
        <w:t xml:space="preserve"> E</w:t>
      </w:r>
      <w:r w:rsidR="00D94724" w:rsidRPr="00B66A1B">
        <w:rPr>
          <w:rFonts w:ascii="Arial" w:hAnsi="Arial" w:cs="Arial"/>
        </w:rPr>
        <w:t xml:space="preserve">uropean </w:t>
      </w:r>
      <w:r w:rsidRPr="00B66A1B">
        <w:rPr>
          <w:rFonts w:ascii="Arial" w:hAnsi="Arial" w:cs="Arial"/>
        </w:rPr>
        <w:t>T</w:t>
      </w:r>
      <w:r w:rsidR="00D94724" w:rsidRPr="00B66A1B">
        <w:rPr>
          <w:rFonts w:ascii="Arial" w:hAnsi="Arial" w:cs="Arial"/>
        </w:rPr>
        <w:t xml:space="preserve">our </w:t>
      </w:r>
      <w:r w:rsidRPr="00B66A1B">
        <w:rPr>
          <w:rFonts w:ascii="Arial" w:hAnsi="Arial" w:cs="Arial"/>
        </w:rPr>
        <w:t>data are scarce</w:t>
      </w:r>
      <w:r w:rsidR="00341FCA" w:rsidRPr="00B66A1B">
        <w:rPr>
          <w:rFonts w:ascii="Arial" w:hAnsi="Arial" w:cs="Arial"/>
        </w:rPr>
        <w:t xml:space="preserve">, particularly when compared to the Professional </w:t>
      </w:r>
      <w:proofErr w:type="spellStart"/>
      <w:r w:rsidR="00341FCA" w:rsidRPr="00B66A1B">
        <w:rPr>
          <w:rFonts w:ascii="Arial" w:hAnsi="Arial" w:cs="Arial"/>
        </w:rPr>
        <w:t>Golfer’s</w:t>
      </w:r>
      <w:proofErr w:type="spellEnd"/>
      <w:r w:rsidR="00341FCA" w:rsidRPr="00B66A1B">
        <w:rPr>
          <w:rFonts w:ascii="Arial" w:hAnsi="Arial" w:cs="Arial"/>
        </w:rPr>
        <w:t xml:space="preserve"> Association (PGA) Tour in the United States of America</w:t>
      </w:r>
      <w:r w:rsidR="00533FC4" w:rsidRPr="00B66A1B">
        <w:rPr>
          <w:rFonts w:ascii="Arial" w:hAnsi="Arial" w:cs="Arial"/>
        </w:rPr>
        <w:t>.</w:t>
      </w:r>
      <w:r w:rsidR="00341FCA" w:rsidRPr="00B66A1B">
        <w:rPr>
          <w:rFonts w:ascii="Arial" w:hAnsi="Arial" w:cs="Arial"/>
        </w:rPr>
        <w:t xml:space="preserve"> The E</w:t>
      </w:r>
      <w:r w:rsidR="000549DD" w:rsidRPr="00B66A1B">
        <w:rPr>
          <w:rFonts w:ascii="Arial" w:hAnsi="Arial" w:cs="Arial"/>
        </w:rPr>
        <w:t xml:space="preserve">uropean </w:t>
      </w:r>
      <w:r w:rsidR="00341FCA" w:rsidRPr="00B66A1B">
        <w:rPr>
          <w:rFonts w:ascii="Arial" w:hAnsi="Arial" w:cs="Arial"/>
        </w:rPr>
        <w:t>T</w:t>
      </w:r>
      <w:r w:rsidR="000549DD" w:rsidRPr="00B66A1B">
        <w:rPr>
          <w:rFonts w:ascii="Arial" w:hAnsi="Arial" w:cs="Arial"/>
        </w:rPr>
        <w:t>our</w:t>
      </w:r>
      <w:r w:rsidR="00341FCA" w:rsidRPr="00B66A1B">
        <w:rPr>
          <w:rFonts w:ascii="Arial" w:hAnsi="Arial" w:cs="Arial"/>
        </w:rPr>
        <w:t xml:space="preserve"> differs from the PGA Tour owing to contextual factors such as frequent intercontinental travel and as such, understanding which factors explain performance</w:t>
      </w:r>
      <w:r w:rsidR="00B66A1B">
        <w:rPr>
          <w:rFonts w:ascii="Arial" w:hAnsi="Arial" w:cs="Arial"/>
        </w:rPr>
        <w:t xml:space="preserve"> is necessary</w:t>
      </w:r>
      <w:r w:rsidR="00341FCA" w:rsidRPr="00B66A1B">
        <w:rPr>
          <w:rFonts w:ascii="Arial" w:hAnsi="Arial" w:cs="Arial"/>
        </w:rPr>
        <w:t xml:space="preserve">. </w:t>
      </w:r>
      <w:r w:rsidR="00533FC4" w:rsidRPr="00B66A1B">
        <w:rPr>
          <w:rFonts w:ascii="Arial" w:hAnsi="Arial" w:cs="Arial"/>
        </w:rPr>
        <w:t>Th</w:t>
      </w:r>
      <w:r w:rsidR="00175EEA" w:rsidRPr="00B66A1B">
        <w:rPr>
          <w:rFonts w:ascii="Arial" w:hAnsi="Arial" w:cs="Arial"/>
        </w:rPr>
        <w:t>e</w:t>
      </w:r>
      <w:r w:rsidR="00533FC4" w:rsidRPr="00B66A1B">
        <w:rPr>
          <w:rFonts w:ascii="Arial" w:hAnsi="Arial" w:cs="Arial"/>
        </w:rPr>
        <w:t xml:space="preserve"> study’s aim</w:t>
      </w:r>
      <w:r w:rsidR="004F441F">
        <w:rPr>
          <w:rFonts w:ascii="Arial" w:hAnsi="Arial" w:cs="Arial"/>
        </w:rPr>
        <w:t>s</w:t>
      </w:r>
      <w:r w:rsidR="00533FC4" w:rsidRPr="00B66A1B">
        <w:rPr>
          <w:rFonts w:ascii="Arial" w:hAnsi="Arial" w:cs="Arial"/>
        </w:rPr>
        <w:t xml:space="preserve"> w</w:t>
      </w:r>
      <w:r w:rsidR="004F441F">
        <w:rPr>
          <w:rFonts w:ascii="Arial" w:hAnsi="Arial" w:cs="Arial"/>
        </w:rPr>
        <w:t>ere</w:t>
      </w:r>
      <w:r w:rsidR="00533FC4" w:rsidRPr="00B66A1B">
        <w:rPr>
          <w:rFonts w:ascii="Arial" w:hAnsi="Arial" w:cs="Arial"/>
        </w:rPr>
        <w:t xml:space="preserve"> to </w:t>
      </w:r>
      <w:r w:rsidR="004F441F">
        <w:rPr>
          <w:rFonts w:ascii="Arial" w:hAnsi="Arial" w:cs="Arial"/>
        </w:rPr>
        <w:t>investigate</w:t>
      </w:r>
      <w:r w:rsidR="00533FC4" w:rsidRPr="00B66A1B">
        <w:rPr>
          <w:rFonts w:ascii="Arial" w:hAnsi="Arial" w:cs="Arial"/>
        </w:rPr>
        <w:t xml:space="preserve"> </w:t>
      </w:r>
      <w:r w:rsidR="004F441F">
        <w:rPr>
          <w:rFonts w:ascii="Arial" w:hAnsi="Arial" w:cs="Arial"/>
        </w:rPr>
        <w:t>changes in</w:t>
      </w:r>
      <w:r w:rsidR="00533FC4" w:rsidRPr="00B66A1B">
        <w:rPr>
          <w:rFonts w:ascii="Arial" w:hAnsi="Arial" w:cs="Arial"/>
        </w:rPr>
        <w:t xml:space="preserve"> performance </w:t>
      </w:r>
      <w:r w:rsidR="004F441F">
        <w:rPr>
          <w:rFonts w:ascii="Arial" w:hAnsi="Arial" w:cs="Arial"/>
        </w:rPr>
        <w:t>across time and to establish which variables explain</w:t>
      </w:r>
      <w:r w:rsidR="00533FC4" w:rsidRPr="00B66A1B">
        <w:rPr>
          <w:rFonts w:ascii="Arial" w:hAnsi="Arial" w:cs="Arial"/>
        </w:rPr>
        <w:t xml:space="preserve"> </w:t>
      </w:r>
      <w:r w:rsidR="00341FCA" w:rsidRPr="00B66A1B">
        <w:rPr>
          <w:rFonts w:ascii="Arial" w:hAnsi="Arial" w:cs="Arial"/>
        </w:rPr>
        <w:t xml:space="preserve">average score on </w:t>
      </w:r>
      <w:r w:rsidR="006B6DE5" w:rsidRPr="00B66A1B">
        <w:rPr>
          <w:rFonts w:ascii="Arial" w:hAnsi="Arial" w:cs="Arial"/>
        </w:rPr>
        <w:t>par three</w:t>
      </w:r>
      <w:r w:rsidR="00341FCA" w:rsidRPr="00B66A1B">
        <w:rPr>
          <w:rFonts w:ascii="Arial" w:hAnsi="Arial" w:cs="Arial"/>
        </w:rPr>
        <w:t xml:space="preserve">, </w:t>
      </w:r>
      <w:r w:rsidR="006B6DE5" w:rsidRPr="00B66A1B">
        <w:rPr>
          <w:rFonts w:ascii="Arial" w:hAnsi="Arial" w:cs="Arial"/>
        </w:rPr>
        <w:t>par four</w:t>
      </w:r>
      <w:r w:rsidR="00341FCA" w:rsidRPr="00B66A1B">
        <w:rPr>
          <w:rFonts w:ascii="Arial" w:hAnsi="Arial" w:cs="Arial"/>
        </w:rPr>
        <w:t xml:space="preserve">, and </w:t>
      </w:r>
      <w:r w:rsidR="006B6DE5" w:rsidRPr="00B66A1B">
        <w:rPr>
          <w:rFonts w:ascii="Arial" w:hAnsi="Arial" w:cs="Arial"/>
        </w:rPr>
        <w:t>par five</w:t>
      </w:r>
      <w:r w:rsidR="00341FCA" w:rsidRPr="00B66A1B">
        <w:rPr>
          <w:rFonts w:ascii="Arial" w:hAnsi="Arial" w:cs="Arial"/>
        </w:rPr>
        <w:t xml:space="preserve"> holes</w:t>
      </w:r>
      <w:r w:rsidR="00533FC4" w:rsidRPr="00B66A1B">
        <w:rPr>
          <w:rFonts w:ascii="Arial" w:hAnsi="Arial" w:cs="Arial"/>
        </w:rPr>
        <w:t xml:space="preserve">. </w:t>
      </w:r>
      <w:r w:rsidR="00D94724" w:rsidRPr="00B66A1B">
        <w:rPr>
          <w:rFonts w:ascii="Arial" w:hAnsi="Arial" w:cs="Arial"/>
        </w:rPr>
        <w:t>Using mixed linear modelling, performances of 249 individual players across three</w:t>
      </w:r>
      <w:r w:rsidR="00175EEA" w:rsidRPr="00B66A1B">
        <w:rPr>
          <w:rFonts w:ascii="Arial" w:hAnsi="Arial" w:cs="Arial"/>
        </w:rPr>
        <w:t xml:space="preserve"> consecutive seasons </w:t>
      </w:r>
      <w:r w:rsidR="00D94724" w:rsidRPr="00B66A1B">
        <w:rPr>
          <w:rFonts w:ascii="Arial" w:hAnsi="Arial" w:cs="Arial"/>
        </w:rPr>
        <w:t xml:space="preserve">(2017 n= 151; 2018 n= 165; 2019 n= 151) </w:t>
      </w:r>
      <w:r w:rsidR="00175EEA" w:rsidRPr="00B66A1B">
        <w:rPr>
          <w:rFonts w:ascii="Arial" w:hAnsi="Arial" w:cs="Arial"/>
        </w:rPr>
        <w:t xml:space="preserve">were </w:t>
      </w:r>
      <w:r w:rsidR="004F441F">
        <w:rPr>
          <w:rFonts w:ascii="Arial" w:hAnsi="Arial" w:cs="Arial"/>
        </w:rPr>
        <w:t>analysed</w:t>
      </w:r>
      <w:r w:rsidR="00D94724" w:rsidRPr="00B66A1B">
        <w:rPr>
          <w:rFonts w:ascii="Arial" w:hAnsi="Arial" w:cs="Arial"/>
        </w:rPr>
        <w:t xml:space="preserve">. </w:t>
      </w:r>
      <w:r w:rsidR="00720958" w:rsidRPr="00B66A1B">
        <w:rPr>
          <w:rFonts w:ascii="Arial" w:hAnsi="Arial" w:cs="Arial"/>
        </w:rPr>
        <w:t>S</w:t>
      </w:r>
      <w:r w:rsidR="00533FC4" w:rsidRPr="00B66A1B">
        <w:rPr>
          <w:rFonts w:ascii="Arial" w:hAnsi="Arial" w:cs="Arial"/>
        </w:rPr>
        <w:t>tepwise multiple linear regression</w:t>
      </w:r>
      <w:r w:rsidR="00D94724" w:rsidRPr="00B66A1B">
        <w:rPr>
          <w:rFonts w:ascii="Arial" w:hAnsi="Arial" w:cs="Arial"/>
        </w:rPr>
        <w:t xml:space="preserve">s were </w:t>
      </w:r>
      <w:r w:rsidR="00720958" w:rsidRPr="00B66A1B">
        <w:rPr>
          <w:rFonts w:ascii="Arial" w:hAnsi="Arial" w:cs="Arial"/>
        </w:rPr>
        <w:t xml:space="preserve">also </w:t>
      </w:r>
      <w:r w:rsidR="00D94724" w:rsidRPr="00B66A1B">
        <w:rPr>
          <w:rFonts w:ascii="Arial" w:hAnsi="Arial" w:cs="Arial"/>
        </w:rPr>
        <w:t>used to establish predictive models</w:t>
      </w:r>
      <w:r w:rsidR="00720958" w:rsidRPr="00B66A1B">
        <w:rPr>
          <w:rFonts w:ascii="Arial" w:hAnsi="Arial" w:cs="Arial"/>
        </w:rPr>
        <w:t xml:space="preserve"> for score according to par for the hole</w:t>
      </w:r>
      <w:r w:rsidR="00D94724" w:rsidRPr="00B66A1B">
        <w:rPr>
          <w:rFonts w:ascii="Arial" w:hAnsi="Arial" w:cs="Arial"/>
        </w:rPr>
        <w:t>. Drive distance (DD)</w:t>
      </w:r>
      <w:r w:rsidR="00697F6C" w:rsidRPr="00B66A1B">
        <w:rPr>
          <w:rFonts w:ascii="Arial" w:hAnsi="Arial" w:cs="Arial"/>
        </w:rPr>
        <w:t xml:space="preserve"> (p= 0.01. Effect Size (ES)= 0.35) </w:t>
      </w:r>
      <w:r w:rsidR="00A90C65" w:rsidRPr="00B66A1B">
        <w:rPr>
          <w:rFonts w:ascii="Arial" w:hAnsi="Arial" w:cs="Arial"/>
        </w:rPr>
        <w:t>and scramble %</w:t>
      </w:r>
      <w:r w:rsidR="00697F6C" w:rsidRPr="00B66A1B">
        <w:rPr>
          <w:rFonts w:ascii="Arial" w:hAnsi="Arial" w:cs="Arial"/>
        </w:rPr>
        <w:t xml:space="preserve"> (p= 0.01. ES= 3.19)</w:t>
      </w:r>
      <w:r w:rsidR="00A90C65" w:rsidRPr="00B66A1B">
        <w:rPr>
          <w:rFonts w:ascii="Arial" w:hAnsi="Arial" w:cs="Arial"/>
        </w:rPr>
        <w:t xml:space="preserve"> significantly increased from 2017 to 2019. Drive accuracy (DA), greens in regulation, putts per round, and stroke average showed no change</w:t>
      </w:r>
      <w:r w:rsidR="00697F6C" w:rsidRPr="00B66A1B">
        <w:rPr>
          <w:rFonts w:ascii="Arial" w:hAnsi="Arial" w:cs="Arial"/>
        </w:rPr>
        <w:t xml:space="preserve"> (p&gt; 0.05)</w:t>
      </w:r>
      <w:r w:rsidR="00A90C65" w:rsidRPr="00B66A1B">
        <w:rPr>
          <w:rFonts w:ascii="Arial" w:hAnsi="Arial" w:cs="Arial"/>
        </w:rPr>
        <w:t xml:space="preserve">. </w:t>
      </w:r>
      <w:r w:rsidR="002A4890" w:rsidRPr="00B66A1B">
        <w:rPr>
          <w:rFonts w:ascii="Arial" w:hAnsi="Arial" w:cs="Arial"/>
        </w:rPr>
        <w:t>S</w:t>
      </w:r>
      <w:r w:rsidR="00A90C65" w:rsidRPr="00B66A1B">
        <w:rPr>
          <w:rFonts w:ascii="Arial" w:hAnsi="Arial" w:cs="Arial"/>
        </w:rPr>
        <w:t>tepwise regression could predict</w:t>
      </w:r>
      <w:r w:rsidR="002A4890" w:rsidRPr="00B66A1B">
        <w:rPr>
          <w:rFonts w:ascii="Arial" w:hAnsi="Arial" w:cs="Arial"/>
        </w:rPr>
        <w:t xml:space="preserve"> up to </w:t>
      </w:r>
      <w:r w:rsidR="00CE59EE" w:rsidRPr="00B66A1B">
        <w:rPr>
          <w:rFonts w:ascii="Arial" w:hAnsi="Arial" w:cs="Arial"/>
        </w:rPr>
        <w:t>57</w:t>
      </w:r>
      <w:r w:rsidR="002A4890" w:rsidRPr="00B66A1B">
        <w:rPr>
          <w:rFonts w:ascii="Arial" w:hAnsi="Arial" w:cs="Arial"/>
        </w:rPr>
        <w:t>% of par three hole performance</w:t>
      </w:r>
      <w:r w:rsidR="00697F6C" w:rsidRPr="00B66A1B">
        <w:rPr>
          <w:rFonts w:ascii="Arial" w:hAnsi="Arial" w:cs="Arial"/>
        </w:rPr>
        <w:t xml:space="preserve"> (</w:t>
      </w:r>
      <w:r w:rsidR="00CE59EE" w:rsidRPr="00B66A1B">
        <w:rPr>
          <w:rFonts w:ascii="Arial" w:hAnsi="Arial" w:cs="Arial"/>
        </w:rPr>
        <w:t xml:space="preserve">2019= </w:t>
      </w:r>
      <w:proofErr w:type="gramStart"/>
      <w:r w:rsidR="00CE59EE" w:rsidRPr="00B66A1B">
        <w:rPr>
          <w:rFonts w:ascii="Arial" w:hAnsi="Arial" w:cs="Arial"/>
        </w:rPr>
        <w:t>F(</w:t>
      </w:r>
      <w:proofErr w:type="gramEnd"/>
      <w:r w:rsidR="00A23C6C" w:rsidRPr="00B66A1B">
        <w:rPr>
          <w:rFonts w:ascii="Arial" w:hAnsi="Arial" w:cs="Arial"/>
          <w:vertAlign w:val="subscript"/>
        </w:rPr>
        <w:t>3, 157</w:t>
      </w:r>
      <w:r w:rsidR="00A23C6C" w:rsidRPr="00B66A1B">
        <w:rPr>
          <w:rFonts w:ascii="Arial" w:hAnsi="Arial" w:cs="Arial"/>
        </w:rPr>
        <w:t xml:space="preserve">)= </w:t>
      </w:r>
      <w:r w:rsidR="00CE59EE" w:rsidRPr="00B66A1B">
        <w:rPr>
          <w:rFonts w:ascii="Arial" w:hAnsi="Arial" w:cs="Arial"/>
        </w:rPr>
        <w:t>71.524</w:t>
      </w:r>
      <w:r w:rsidR="00A23C6C" w:rsidRPr="00B66A1B">
        <w:rPr>
          <w:rFonts w:ascii="Arial" w:hAnsi="Arial" w:cs="Arial"/>
        </w:rPr>
        <w:t xml:space="preserve">. p&lt; 0.001. </w:t>
      </w:r>
      <w:r w:rsidR="00A23C6C" w:rsidRPr="00B66A1B">
        <w:rPr>
          <w:rFonts w:ascii="Arial" w:hAnsi="Arial" w:cs="Arial"/>
          <w:i/>
        </w:rPr>
        <w:t>f</w:t>
      </w:r>
      <w:r w:rsidR="00A23C6C" w:rsidRPr="00B66A1B">
        <w:rPr>
          <w:rFonts w:ascii="Arial" w:hAnsi="Arial" w:cs="Arial"/>
          <w:vertAlign w:val="superscript"/>
        </w:rPr>
        <w:t>2</w:t>
      </w:r>
      <w:r w:rsidR="00A23C6C" w:rsidRPr="00B66A1B">
        <w:rPr>
          <w:rFonts w:ascii="Arial" w:hAnsi="Arial" w:cs="Arial"/>
        </w:rPr>
        <w:t>= 1.320. Adjusted R</w:t>
      </w:r>
      <w:r w:rsidR="00A23C6C" w:rsidRPr="00B66A1B">
        <w:rPr>
          <w:rFonts w:ascii="Arial" w:hAnsi="Arial" w:cs="Arial"/>
          <w:vertAlign w:val="superscript"/>
        </w:rPr>
        <w:t>2</w:t>
      </w:r>
      <w:r w:rsidR="00A23C6C" w:rsidRPr="00B66A1B">
        <w:rPr>
          <w:rFonts w:ascii="Arial" w:hAnsi="Arial" w:cs="Arial"/>
        </w:rPr>
        <w:t>= 0.569</w:t>
      </w:r>
      <w:r w:rsidR="00B66A1B" w:rsidRPr="00B66A1B">
        <w:rPr>
          <w:rFonts w:ascii="Arial" w:hAnsi="Arial" w:cs="Arial"/>
        </w:rPr>
        <w:t>. Model= -1.172(GIR) + 0.045(Putts) + 0.001(DD) + 2.157</w:t>
      </w:r>
      <w:r w:rsidR="00C95AB6" w:rsidRPr="00B66A1B">
        <w:rPr>
          <w:rFonts w:ascii="Arial" w:hAnsi="Arial" w:cs="Arial"/>
        </w:rPr>
        <w:t>)</w:t>
      </w:r>
      <w:r w:rsidR="002A4890" w:rsidRPr="00B66A1B">
        <w:rPr>
          <w:rFonts w:ascii="Arial" w:hAnsi="Arial" w:cs="Arial"/>
        </w:rPr>
        <w:t>, 81% of par four hole performance</w:t>
      </w:r>
      <w:r w:rsidR="00A23C6C" w:rsidRPr="00B66A1B">
        <w:rPr>
          <w:rFonts w:ascii="Arial" w:hAnsi="Arial" w:cs="Arial"/>
        </w:rPr>
        <w:t xml:space="preserve"> (2018= </w:t>
      </w:r>
      <w:proofErr w:type="gramStart"/>
      <w:r w:rsidR="00A23C6C" w:rsidRPr="00B66A1B">
        <w:rPr>
          <w:rFonts w:ascii="Arial" w:hAnsi="Arial" w:cs="Arial"/>
        </w:rPr>
        <w:t>F(</w:t>
      </w:r>
      <w:proofErr w:type="gramEnd"/>
      <w:r w:rsidR="00A23C6C" w:rsidRPr="00B66A1B">
        <w:rPr>
          <w:rFonts w:ascii="Arial" w:hAnsi="Arial" w:cs="Arial"/>
          <w:vertAlign w:val="subscript"/>
        </w:rPr>
        <w:t>3, 161</w:t>
      </w:r>
      <w:r w:rsidR="00A23C6C" w:rsidRPr="00B66A1B">
        <w:rPr>
          <w:rFonts w:ascii="Arial" w:hAnsi="Arial" w:cs="Arial"/>
        </w:rPr>
        <w:t xml:space="preserve">)= 234.432. p&lt; 0.001. </w:t>
      </w:r>
      <w:r w:rsidR="00A23C6C" w:rsidRPr="00B66A1B">
        <w:rPr>
          <w:rFonts w:ascii="Arial" w:hAnsi="Arial" w:cs="Arial"/>
          <w:i/>
        </w:rPr>
        <w:t>f</w:t>
      </w:r>
      <w:r w:rsidR="00A23C6C" w:rsidRPr="00B66A1B">
        <w:rPr>
          <w:rFonts w:ascii="Arial" w:hAnsi="Arial" w:cs="Arial"/>
          <w:vertAlign w:val="superscript"/>
        </w:rPr>
        <w:t>2</w:t>
      </w:r>
      <w:r w:rsidR="00A23C6C" w:rsidRPr="00B66A1B">
        <w:rPr>
          <w:rFonts w:ascii="Arial" w:hAnsi="Arial" w:cs="Arial"/>
        </w:rPr>
        <w:t>= 3.630. Adjusted R</w:t>
      </w:r>
      <w:r w:rsidR="00A23C6C" w:rsidRPr="00B66A1B">
        <w:rPr>
          <w:rFonts w:ascii="Arial" w:hAnsi="Arial" w:cs="Arial"/>
          <w:vertAlign w:val="superscript"/>
        </w:rPr>
        <w:t>2</w:t>
      </w:r>
      <w:r w:rsidR="00A23C6C" w:rsidRPr="00B66A1B">
        <w:rPr>
          <w:rFonts w:ascii="Arial" w:hAnsi="Arial" w:cs="Arial"/>
        </w:rPr>
        <w:t>= 0.810</w:t>
      </w:r>
      <w:r w:rsidR="00B66A1B" w:rsidRPr="00B66A1B">
        <w:rPr>
          <w:rFonts w:ascii="Arial" w:hAnsi="Arial" w:cs="Arial"/>
        </w:rPr>
        <w:t>. Model= -1.345(GIR) + 0.063(Putts) - 0.087(DA) + 3.166</w:t>
      </w:r>
      <w:r w:rsidR="00A23C6C" w:rsidRPr="00B66A1B">
        <w:rPr>
          <w:rFonts w:ascii="Arial" w:hAnsi="Arial" w:cs="Arial"/>
        </w:rPr>
        <w:t xml:space="preserve">), </w:t>
      </w:r>
      <w:r w:rsidR="002A4890" w:rsidRPr="00B66A1B">
        <w:rPr>
          <w:rFonts w:ascii="Arial" w:hAnsi="Arial" w:cs="Arial"/>
        </w:rPr>
        <w:t>and 68% of par five performance</w:t>
      </w:r>
      <w:r w:rsidR="00A23C6C" w:rsidRPr="00B66A1B">
        <w:rPr>
          <w:rFonts w:ascii="Arial" w:hAnsi="Arial" w:cs="Arial"/>
        </w:rPr>
        <w:t xml:space="preserve"> (2019= </w:t>
      </w:r>
      <w:proofErr w:type="gramStart"/>
      <w:r w:rsidR="00A23C6C" w:rsidRPr="00B66A1B">
        <w:rPr>
          <w:rFonts w:ascii="Arial" w:hAnsi="Arial" w:cs="Arial"/>
        </w:rPr>
        <w:t>F(</w:t>
      </w:r>
      <w:proofErr w:type="gramEnd"/>
      <w:r w:rsidR="00A23C6C" w:rsidRPr="00B66A1B">
        <w:rPr>
          <w:rFonts w:ascii="Arial" w:hAnsi="Arial" w:cs="Arial"/>
          <w:vertAlign w:val="subscript"/>
        </w:rPr>
        <w:t>4, 156</w:t>
      </w:r>
      <w:r w:rsidR="00A23C6C" w:rsidRPr="00B66A1B">
        <w:rPr>
          <w:rFonts w:ascii="Arial" w:hAnsi="Arial" w:cs="Arial"/>
        </w:rPr>
        <w:t xml:space="preserve">)= 86.281. p&lt; 0.001. </w:t>
      </w:r>
      <w:r w:rsidR="00A23C6C" w:rsidRPr="00B66A1B">
        <w:rPr>
          <w:rFonts w:ascii="Arial" w:hAnsi="Arial" w:cs="Arial"/>
          <w:i/>
        </w:rPr>
        <w:t>f</w:t>
      </w:r>
      <w:r w:rsidR="00A23C6C" w:rsidRPr="00B66A1B">
        <w:rPr>
          <w:rFonts w:ascii="Arial" w:hAnsi="Arial" w:cs="Arial"/>
          <w:vertAlign w:val="superscript"/>
        </w:rPr>
        <w:t>2</w:t>
      </w:r>
      <w:r w:rsidR="00A23C6C" w:rsidRPr="00B66A1B">
        <w:rPr>
          <w:rFonts w:ascii="Arial" w:hAnsi="Arial" w:cs="Arial"/>
        </w:rPr>
        <w:t>= 2.125. Adjusted R</w:t>
      </w:r>
      <w:r w:rsidR="00A23C6C" w:rsidRPr="00B66A1B">
        <w:rPr>
          <w:rFonts w:ascii="Arial" w:hAnsi="Arial" w:cs="Arial"/>
          <w:vertAlign w:val="superscript"/>
        </w:rPr>
        <w:t>2</w:t>
      </w:r>
      <w:r w:rsidR="00A23C6C" w:rsidRPr="00B66A1B">
        <w:rPr>
          <w:rFonts w:ascii="Arial" w:hAnsi="Arial" w:cs="Arial"/>
        </w:rPr>
        <w:t>= 0.680</w:t>
      </w:r>
      <w:r w:rsidR="00B66A1B" w:rsidRPr="00B66A1B">
        <w:rPr>
          <w:rFonts w:ascii="Arial" w:hAnsi="Arial" w:cs="Arial"/>
        </w:rPr>
        <w:t>. Model= -1.585(GIR) + 0.058(Putts) -0.002(DD) – 0.314(Scramble) + 4.917</w:t>
      </w:r>
      <w:r w:rsidR="00C95AB6" w:rsidRPr="00B66A1B">
        <w:rPr>
          <w:rFonts w:ascii="Arial" w:hAnsi="Arial" w:cs="Arial"/>
        </w:rPr>
        <w:t xml:space="preserve">). </w:t>
      </w:r>
      <w:r w:rsidR="002A4890" w:rsidRPr="00B66A1B">
        <w:rPr>
          <w:rFonts w:ascii="Arial" w:hAnsi="Arial" w:cs="Arial"/>
        </w:rPr>
        <w:t>This study suggests that on the E</w:t>
      </w:r>
      <w:r w:rsidR="00DE277E" w:rsidRPr="00B66A1B">
        <w:rPr>
          <w:rFonts w:ascii="Arial" w:hAnsi="Arial" w:cs="Arial"/>
        </w:rPr>
        <w:t xml:space="preserve">uropean </w:t>
      </w:r>
      <w:r w:rsidR="002A4890" w:rsidRPr="00B66A1B">
        <w:rPr>
          <w:rFonts w:ascii="Arial" w:hAnsi="Arial" w:cs="Arial"/>
        </w:rPr>
        <w:t>T</w:t>
      </w:r>
      <w:r w:rsidR="00DE277E" w:rsidRPr="00B66A1B">
        <w:rPr>
          <w:rFonts w:ascii="Arial" w:hAnsi="Arial" w:cs="Arial"/>
        </w:rPr>
        <w:t>our</w:t>
      </w:r>
      <w:r w:rsidR="002A4890" w:rsidRPr="00B66A1B">
        <w:rPr>
          <w:rFonts w:ascii="Arial" w:hAnsi="Arial" w:cs="Arial"/>
        </w:rPr>
        <w:t>, DD is increasing with no change to DA</w:t>
      </w:r>
      <w:r w:rsidR="00857C2D" w:rsidRPr="00B66A1B">
        <w:rPr>
          <w:rFonts w:ascii="Arial" w:hAnsi="Arial" w:cs="Arial"/>
        </w:rPr>
        <w:t xml:space="preserve">. </w:t>
      </w:r>
      <w:r w:rsidR="0046694D" w:rsidRPr="00B66A1B">
        <w:rPr>
          <w:rFonts w:ascii="Arial" w:hAnsi="Arial" w:cs="Arial"/>
        </w:rPr>
        <w:t xml:space="preserve">The most important predictor variables appear to be </w:t>
      </w:r>
      <w:r w:rsidR="00857C2D" w:rsidRPr="00B66A1B">
        <w:rPr>
          <w:rFonts w:ascii="Arial" w:hAnsi="Arial" w:cs="Arial"/>
        </w:rPr>
        <w:t xml:space="preserve">GIR and putts per round </w:t>
      </w:r>
      <w:r w:rsidR="0046694D" w:rsidRPr="00B66A1B">
        <w:rPr>
          <w:rFonts w:ascii="Arial" w:hAnsi="Arial" w:cs="Arial"/>
        </w:rPr>
        <w:t xml:space="preserve">as they </w:t>
      </w:r>
      <w:r w:rsidR="00857C2D" w:rsidRPr="00B66A1B">
        <w:rPr>
          <w:rFonts w:ascii="Arial" w:hAnsi="Arial" w:cs="Arial"/>
        </w:rPr>
        <w:t xml:space="preserve">entered all nine predictive models, in combination with either DD, which entered seven, DA which entered four, and/or scramble % which entered three. </w:t>
      </w:r>
    </w:p>
    <w:bookmarkEnd w:id="0"/>
    <w:p w14:paraId="7FAFA7F2" w14:textId="77777777" w:rsidR="00CD0291" w:rsidRPr="00B66A1B" w:rsidRDefault="00CD0291" w:rsidP="00F03707">
      <w:pPr>
        <w:spacing w:line="480" w:lineRule="auto"/>
        <w:jc w:val="both"/>
        <w:rPr>
          <w:rFonts w:ascii="Arial" w:hAnsi="Arial" w:cs="Arial"/>
        </w:rPr>
      </w:pPr>
      <w:r w:rsidRPr="00B66A1B">
        <w:rPr>
          <w:rFonts w:ascii="Arial" w:hAnsi="Arial" w:cs="Arial"/>
          <w:b/>
        </w:rPr>
        <w:t>Keywords</w:t>
      </w:r>
      <w:r w:rsidR="001D2DB1" w:rsidRPr="00B66A1B">
        <w:rPr>
          <w:rFonts w:ascii="Arial" w:hAnsi="Arial" w:cs="Arial"/>
          <w:b/>
        </w:rPr>
        <w:t xml:space="preserve">: </w:t>
      </w:r>
      <w:r w:rsidR="007B58CA" w:rsidRPr="00B66A1B">
        <w:rPr>
          <w:rFonts w:ascii="Arial" w:hAnsi="Arial" w:cs="Arial"/>
        </w:rPr>
        <w:t xml:space="preserve">elite, </w:t>
      </w:r>
      <w:r w:rsidR="001D2DB1" w:rsidRPr="00B66A1B">
        <w:rPr>
          <w:rFonts w:ascii="Arial" w:hAnsi="Arial" w:cs="Arial"/>
        </w:rPr>
        <w:t xml:space="preserve">golf, performance, </w:t>
      </w:r>
      <w:r w:rsidR="007B58CA" w:rsidRPr="00B66A1B">
        <w:rPr>
          <w:rFonts w:ascii="Arial" w:hAnsi="Arial" w:cs="Arial"/>
        </w:rPr>
        <w:t xml:space="preserve">prediction, </w:t>
      </w:r>
      <w:r w:rsidR="00FC55F5" w:rsidRPr="00B66A1B">
        <w:rPr>
          <w:rFonts w:ascii="Arial" w:hAnsi="Arial" w:cs="Arial"/>
        </w:rPr>
        <w:t xml:space="preserve">multiple linear </w:t>
      </w:r>
      <w:r w:rsidR="001D2DB1" w:rsidRPr="00B66A1B">
        <w:rPr>
          <w:rFonts w:ascii="Arial" w:hAnsi="Arial" w:cs="Arial"/>
        </w:rPr>
        <w:t>regression</w:t>
      </w:r>
      <w:r w:rsidR="007B58CA" w:rsidRPr="00B66A1B">
        <w:rPr>
          <w:rFonts w:ascii="Arial" w:hAnsi="Arial" w:cs="Arial"/>
        </w:rPr>
        <w:t xml:space="preserve">, </w:t>
      </w:r>
    </w:p>
    <w:p w14:paraId="78BB64B8" w14:textId="77777777" w:rsidR="008A47F4" w:rsidRPr="00B66A1B" w:rsidRDefault="008A47F4" w:rsidP="00F03707">
      <w:pPr>
        <w:spacing w:line="480" w:lineRule="auto"/>
        <w:jc w:val="both"/>
        <w:rPr>
          <w:rFonts w:ascii="Arial" w:hAnsi="Arial" w:cs="Arial"/>
          <w:b/>
        </w:rPr>
      </w:pPr>
    </w:p>
    <w:p w14:paraId="110B6A8A" w14:textId="77777777" w:rsidR="008A47F4" w:rsidRPr="00B66A1B" w:rsidRDefault="008A47F4" w:rsidP="00F03707">
      <w:pPr>
        <w:spacing w:line="480" w:lineRule="auto"/>
        <w:jc w:val="both"/>
        <w:rPr>
          <w:rFonts w:ascii="Arial" w:hAnsi="Arial" w:cs="Arial"/>
          <w:b/>
        </w:rPr>
      </w:pPr>
    </w:p>
    <w:p w14:paraId="10CAF63D" w14:textId="7FFF894A" w:rsidR="006405EE" w:rsidRPr="00B66A1B" w:rsidRDefault="006405EE" w:rsidP="008A47F4">
      <w:pPr>
        <w:pStyle w:val="ListParagraph"/>
        <w:numPr>
          <w:ilvl w:val="0"/>
          <w:numId w:val="10"/>
        </w:numPr>
        <w:spacing w:line="480" w:lineRule="auto"/>
        <w:jc w:val="both"/>
        <w:rPr>
          <w:rFonts w:ascii="Arial" w:hAnsi="Arial" w:cs="Arial"/>
          <w:b/>
        </w:rPr>
      </w:pPr>
      <w:r w:rsidRPr="00B66A1B">
        <w:rPr>
          <w:rFonts w:ascii="Arial" w:hAnsi="Arial" w:cs="Arial"/>
          <w:b/>
        </w:rPr>
        <w:lastRenderedPageBreak/>
        <w:t>Introduction</w:t>
      </w:r>
    </w:p>
    <w:p w14:paraId="025AEE14" w14:textId="66DBDBD2" w:rsidR="00A03EC7" w:rsidRPr="00B66A1B" w:rsidRDefault="00A03EC7" w:rsidP="00A03EC7">
      <w:pPr>
        <w:spacing w:line="480" w:lineRule="auto"/>
        <w:jc w:val="both"/>
        <w:rPr>
          <w:rFonts w:ascii="Arial" w:hAnsi="Arial" w:cs="Arial"/>
        </w:rPr>
      </w:pPr>
      <w:bookmarkStart w:id="1" w:name="_Hlk65572813"/>
      <w:r w:rsidRPr="00B66A1B">
        <w:rPr>
          <w:rFonts w:ascii="Arial" w:hAnsi="Arial" w:cs="Arial"/>
        </w:rPr>
        <w:t xml:space="preserve">Research investigating and reviewing performance </w:t>
      </w:r>
      <w:r w:rsidR="00B055E5">
        <w:rPr>
          <w:rFonts w:ascii="Arial" w:hAnsi="Arial" w:cs="Arial"/>
        </w:rPr>
        <w:t>variables</w:t>
      </w:r>
      <w:r w:rsidRPr="00B66A1B">
        <w:rPr>
          <w:rFonts w:ascii="Arial" w:hAnsi="Arial" w:cs="Arial"/>
        </w:rPr>
        <w:t xml:space="preserve"> in golf have been conducted on the Ladies’ </w:t>
      </w:r>
      <w:r w:rsidR="00B66A1B">
        <w:rPr>
          <w:rFonts w:ascii="Arial" w:hAnsi="Arial" w:cs="Arial"/>
        </w:rPr>
        <w:t>(Chae, Park, &amp; So, 2018)</w:t>
      </w:r>
      <w:r w:rsidRPr="00B66A1B">
        <w:rPr>
          <w:rFonts w:ascii="Arial" w:hAnsi="Arial" w:cs="Arial"/>
        </w:rPr>
        <w:t xml:space="preserve"> and Men’s</w:t>
      </w:r>
      <w:r w:rsidR="00EA076D" w:rsidRPr="00B66A1B">
        <w:rPr>
          <w:rFonts w:ascii="Arial" w:hAnsi="Arial" w:cs="Arial"/>
        </w:rPr>
        <w:t xml:space="preserve"> </w:t>
      </w:r>
      <w:r w:rsidR="00B66A1B">
        <w:rPr>
          <w:rFonts w:ascii="Arial" w:hAnsi="Arial" w:cs="Arial"/>
        </w:rPr>
        <w:t xml:space="preserve">(Moy &amp; </w:t>
      </w:r>
      <w:proofErr w:type="spellStart"/>
      <w:r w:rsidR="00B66A1B">
        <w:rPr>
          <w:rFonts w:ascii="Arial" w:hAnsi="Arial" w:cs="Arial"/>
        </w:rPr>
        <w:t>Liaw</w:t>
      </w:r>
      <w:proofErr w:type="spellEnd"/>
      <w:r w:rsidR="00B66A1B">
        <w:rPr>
          <w:rFonts w:ascii="Arial" w:hAnsi="Arial" w:cs="Arial"/>
        </w:rPr>
        <w:t xml:space="preserve">, 1998; Wiseman &amp; Chatterjee, 2006; </w:t>
      </w:r>
      <w:proofErr w:type="spellStart"/>
      <w:r w:rsidR="00B66A1B">
        <w:rPr>
          <w:rFonts w:ascii="Arial" w:hAnsi="Arial" w:cs="Arial"/>
        </w:rPr>
        <w:t>Hellstr</w:t>
      </w:r>
      <w:r w:rsidR="00B66A1B" w:rsidRPr="00B66A1B">
        <w:rPr>
          <w:rFonts w:ascii="Arial" w:hAnsi="Arial" w:cs="Arial"/>
        </w:rPr>
        <w:t>öm</w:t>
      </w:r>
      <w:proofErr w:type="spellEnd"/>
      <w:r w:rsidR="00B66A1B">
        <w:rPr>
          <w:rFonts w:ascii="Arial" w:hAnsi="Arial" w:cs="Arial"/>
        </w:rPr>
        <w:t xml:space="preserve">, 2009; </w:t>
      </w:r>
      <w:proofErr w:type="spellStart"/>
      <w:r w:rsidR="00B66A1B">
        <w:rPr>
          <w:rFonts w:ascii="Arial" w:hAnsi="Arial" w:cs="Arial"/>
        </w:rPr>
        <w:t>Baugher</w:t>
      </w:r>
      <w:proofErr w:type="spellEnd"/>
      <w:r w:rsidR="00B66A1B">
        <w:rPr>
          <w:rFonts w:ascii="Arial" w:hAnsi="Arial" w:cs="Arial"/>
        </w:rPr>
        <w:t>, Day, &amp; Burford, 2016)</w:t>
      </w:r>
      <w:r w:rsidR="00EA076D" w:rsidRPr="00B66A1B">
        <w:rPr>
          <w:rFonts w:ascii="Arial" w:hAnsi="Arial" w:cs="Arial"/>
        </w:rPr>
        <w:t xml:space="preserve"> </w:t>
      </w:r>
      <w:r w:rsidRPr="00B66A1B">
        <w:rPr>
          <w:rFonts w:ascii="Arial" w:hAnsi="Arial" w:cs="Arial"/>
        </w:rPr>
        <w:t xml:space="preserve">Professional Golfers’ Tour (PGA) in America. However, by comparison, the European Tour </w:t>
      </w:r>
      <w:r w:rsidR="001D59D0" w:rsidRPr="00B66A1B">
        <w:rPr>
          <w:rFonts w:ascii="Arial" w:hAnsi="Arial" w:cs="Arial"/>
        </w:rPr>
        <w:t xml:space="preserve">has </w:t>
      </w:r>
      <w:r w:rsidRPr="00B66A1B">
        <w:rPr>
          <w:rFonts w:ascii="Arial" w:hAnsi="Arial" w:cs="Arial"/>
        </w:rPr>
        <w:t>receive</w:t>
      </w:r>
      <w:r w:rsidR="001D59D0" w:rsidRPr="00B66A1B">
        <w:rPr>
          <w:rFonts w:ascii="Arial" w:hAnsi="Arial" w:cs="Arial"/>
        </w:rPr>
        <w:t>d</w:t>
      </w:r>
      <w:r w:rsidRPr="00B66A1B">
        <w:rPr>
          <w:rFonts w:ascii="Arial" w:hAnsi="Arial" w:cs="Arial"/>
        </w:rPr>
        <w:t xml:space="preserve"> scant attention, with the last attempt to model performance using playing statistics conducted in 2001</w:t>
      </w:r>
      <w:r w:rsidR="00EA076D" w:rsidRPr="00B66A1B">
        <w:rPr>
          <w:rFonts w:ascii="Arial" w:hAnsi="Arial" w:cs="Arial"/>
        </w:rPr>
        <w:t xml:space="preserve"> </w:t>
      </w:r>
      <w:r w:rsidR="00B66A1B">
        <w:rPr>
          <w:rFonts w:ascii="Arial" w:hAnsi="Arial" w:cs="Arial"/>
        </w:rPr>
        <w:t>(</w:t>
      </w:r>
      <w:proofErr w:type="spellStart"/>
      <w:r w:rsidR="00B66A1B">
        <w:rPr>
          <w:rFonts w:ascii="Arial" w:hAnsi="Arial" w:cs="Arial"/>
        </w:rPr>
        <w:t>Ketzscher</w:t>
      </w:r>
      <w:proofErr w:type="spellEnd"/>
      <w:r w:rsidR="00B66A1B">
        <w:rPr>
          <w:rFonts w:ascii="Arial" w:hAnsi="Arial" w:cs="Arial"/>
        </w:rPr>
        <w:t xml:space="preserve"> &amp; Ringrose, 2002)</w:t>
      </w:r>
      <w:r w:rsidRPr="00B66A1B">
        <w:rPr>
          <w:rFonts w:ascii="Arial" w:hAnsi="Arial" w:cs="Arial"/>
        </w:rPr>
        <w:t>. It is well known that golf has changed drastically in the 20 years since that study.</w:t>
      </w:r>
      <w:bookmarkEnd w:id="1"/>
      <w:r w:rsidRPr="00B66A1B">
        <w:rPr>
          <w:rFonts w:ascii="Arial" w:hAnsi="Arial" w:cs="Arial"/>
        </w:rPr>
        <w:t xml:space="preserve"> For example, </w:t>
      </w:r>
      <w:proofErr w:type="spellStart"/>
      <w:r w:rsidRPr="00B66A1B">
        <w:rPr>
          <w:rFonts w:ascii="Arial" w:hAnsi="Arial" w:cs="Arial"/>
        </w:rPr>
        <w:t>Heiny</w:t>
      </w:r>
      <w:proofErr w:type="spellEnd"/>
      <w:r w:rsidRPr="00B66A1B">
        <w:rPr>
          <w:rFonts w:ascii="Arial" w:hAnsi="Arial" w:cs="Arial"/>
        </w:rPr>
        <w:t xml:space="preserve"> </w:t>
      </w:r>
      <w:r w:rsidR="00B66A1B">
        <w:rPr>
          <w:rFonts w:ascii="Arial" w:hAnsi="Arial" w:cs="Arial"/>
        </w:rPr>
        <w:t>(2008)</w:t>
      </w:r>
      <w:r w:rsidRPr="00B66A1B">
        <w:rPr>
          <w:rFonts w:ascii="Arial" w:hAnsi="Arial" w:cs="Arial"/>
        </w:rPr>
        <w:t xml:space="preserve"> demonstrated that </w:t>
      </w:r>
      <w:r w:rsidR="008A7EB3" w:rsidRPr="00B66A1B">
        <w:rPr>
          <w:rFonts w:ascii="Arial" w:hAnsi="Arial" w:cs="Arial"/>
        </w:rPr>
        <w:t>mean</w:t>
      </w:r>
      <w:r w:rsidRPr="00B66A1B">
        <w:rPr>
          <w:rFonts w:ascii="Arial" w:hAnsi="Arial" w:cs="Arial"/>
        </w:rPr>
        <w:t xml:space="preserve"> drive distance</w:t>
      </w:r>
      <w:r w:rsidR="00FC70EB">
        <w:rPr>
          <w:rFonts w:ascii="Arial" w:hAnsi="Arial" w:cs="Arial"/>
        </w:rPr>
        <w:t xml:space="preserve"> (DD)</w:t>
      </w:r>
      <w:r w:rsidRPr="00B66A1B">
        <w:rPr>
          <w:rFonts w:ascii="Arial" w:hAnsi="Arial" w:cs="Arial"/>
        </w:rPr>
        <w:t xml:space="preserve"> on the PGA tour increased by 24 yards between 1992 and 2003 (260 to 286 yards, respectively)</w:t>
      </w:r>
      <w:r w:rsidR="008A7EB3" w:rsidRPr="00B66A1B">
        <w:rPr>
          <w:rFonts w:ascii="Arial" w:hAnsi="Arial" w:cs="Arial"/>
        </w:rPr>
        <w:t xml:space="preserve">, with the European Tour mean </w:t>
      </w:r>
      <w:r w:rsidR="00DE277E" w:rsidRPr="00B66A1B">
        <w:rPr>
          <w:rFonts w:ascii="Arial" w:hAnsi="Arial" w:cs="Arial"/>
        </w:rPr>
        <w:t>DD</w:t>
      </w:r>
      <w:r w:rsidR="008A7EB3" w:rsidRPr="00B66A1B">
        <w:rPr>
          <w:rFonts w:ascii="Arial" w:hAnsi="Arial" w:cs="Arial"/>
        </w:rPr>
        <w:t xml:space="preserve"> increasing from 267 to 280 yards between 1998 and 2001 </w:t>
      </w:r>
      <w:r w:rsidR="00B66A1B">
        <w:rPr>
          <w:rFonts w:ascii="Arial" w:hAnsi="Arial" w:cs="Arial"/>
        </w:rPr>
        <w:t>(</w:t>
      </w:r>
      <w:proofErr w:type="spellStart"/>
      <w:r w:rsidR="00B66A1B">
        <w:rPr>
          <w:rFonts w:ascii="Arial" w:hAnsi="Arial" w:cs="Arial"/>
        </w:rPr>
        <w:t>Ketzscher</w:t>
      </w:r>
      <w:proofErr w:type="spellEnd"/>
      <w:r w:rsidR="00B66A1B">
        <w:rPr>
          <w:rFonts w:ascii="Arial" w:hAnsi="Arial" w:cs="Arial"/>
        </w:rPr>
        <w:t xml:space="preserve"> &amp; Ringrose, 2002)</w:t>
      </w:r>
      <w:r w:rsidRPr="00B66A1B">
        <w:rPr>
          <w:rFonts w:ascii="Arial" w:hAnsi="Arial" w:cs="Arial"/>
        </w:rPr>
        <w:t xml:space="preserve">. Therefore, </w:t>
      </w:r>
      <w:r w:rsidR="00EE7956" w:rsidRPr="00B66A1B">
        <w:rPr>
          <w:rFonts w:ascii="Arial" w:hAnsi="Arial" w:cs="Arial"/>
        </w:rPr>
        <w:t xml:space="preserve">as further </w:t>
      </w:r>
      <w:r w:rsidRPr="00B66A1B">
        <w:rPr>
          <w:rFonts w:ascii="Arial" w:hAnsi="Arial" w:cs="Arial"/>
        </w:rPr>
        <w:t xml:space="preserve">changes </w:t>
      </w:r>
      <w:r w:rsidR="00EE7956" w:rsidRPr="00B66A1B">
        <w:rPr>
          <w:rFonts w:ascii="Arial" w:hAnsi="Arial" w:cs="Arial"/>
        </w:rPr>
        <w:t xml:space="preserve">are likely to </w:t>
      </w:r>
      <w:r w:rsidRPr="00B66A1B">
        <w:rPr>
          <w:rFonts w:ascii="Arial" w:hAnsi="Arial" w:cs="Arial"/>
        </w:rPr>
        <w:t xml:space="preserve">have occurred </w:t>
      </w:r>
      <w:r w:rsidR="00EE7956" w:rsidRPr="00B66A1B">
        <w:rPr>
          <w:rFonts w:ascii="Arial" w:hAnsi="Arial" w:cs="Arial"/>
        </w:rPr>
        <w:t>since these studies</w:t>
      </w:r>
      <w:r w:rsidRPr="00B66A1B">
        <w:rPr>
          <w:rFonts w:ascii="Arial" w:hAnsi="Arial" w:cs="Arial"/>
        </w:rPr>
        <w:t xml:space="preserve">, it is necessary to conduct an updated determinants of performance </w:t>
      </w:r>
      <w:r w:rsidR="00EE7956" w:rsidRPr="00B66A1B">
        <w:rPr>
          <w:rFonts w:ascii="Arial" w:hAnsi="Arial" w:cs="Arial"/>
        </w:rPr>
        <w:t>analysis</w:t>
      </w:r>
      <w:r w:rsidRPr="00B66A1B">
        <w:rPr>
          <w:rFonts w:ascii="Arial" w:hAnsi="Arial" w:cs="Arial"/>
        </w:rPr>
        <w:t xml:space="preserve">. </w:t>
      </w:r>
    </w:p>
    <w:p w14:paraId="6BFB3BB0" w14:textId="782EDAFB" w:rsidR="001D2901" w:rsidRPr="00B66A1B" w:rsidRDefault="001D2901" w:rsidP="00F03707">
      <w:pPr>
        <w:spacing w:line="480" w:lineRule="auto"/>
        <w:jc w:val="both"/>
        <w:rPr>
          <w:rFonts w:ascii="Arial" w:hAnsi="Arial" w:cs="Arial"/>
        </w:rPr>
      </w:pPr>
      <w:r w:rsidRPr="00B66A1B">
        <w:rPr>
          <w:rFonts w:ascii="Arial" w:hAnsi="Arial" w:cs="Arial"/>
        </w:rPr>
        <w:t>Although performance determinants studies on the PGA Tour in America have been conducted, the European Tour has a number of key differentiators that mean that a bespoke analysis is required. For example,</w:t>
      </w:r>
      <w:r w:rsidR="00A03EC7" w:rsidRPr="00B66A1B">
        <w:rPr>
          <w:rFonts w:ascii="Arial" w:hAnsi="Arial" w:cs="Arial"/>
        </w:rPr>
        <w:t xml:space="preserve"> a novelty of</w:t>
      </w:r>
      <w:r w:rsidR="00DE7528" w:rsidRPr="00B66A1B">
        <w:rPr>
          <w:rFonts w:ascii="Arial" w:hAnsi="Arial" w:cs="Arial"/>
        </w:rPr>
        <w:t xml:space="preserve"> the European Tour in comparison to the American PGA Tour is the element of regular intercontinental and inter-country travel. Indeed, the </w:t>
      </w:r>
      <w:r w:rsidR="000348BD" w:rsidRPr="00B66A1B">
        <w:rPr>
          <w:rFonts w:ascii="Arial" w:hAnsi="Arial" w:cs="Arial"/>
        </w:rPr>
        <w:t xml:space="preserve">“European” Tour is arguably a misnomer as the tour schedule incorporates significant travel not only within Europe, but also to The </w:t>
      </w:r>
      <w:proofErr w:type="gramStart"/>
      <w:r w:rsidR="000348BD" w:rsidRPr="00B66A1B">
        <w:rPr>
          <w:rFonts w:ascii="Arial" w:hAnsi="Arial" w:cs="Arial"/>
        </w:rPr>
        <w:t>Middle-East</w:t>
      </w:r>
      <w:proofErr w:type="gramEnd"/>
      <w:r w:rsidR="000348BD" w:rsidRPr="00B66A1B">
        <w:rPr>
          <w:rFonts w:ascii="Arial" w:hAnsi="Arial" w:cs="Arial"/>
        </w:rPr>
        <w:t xml:space="preserve">, Asia, Africa, and Australasia </w:t>
      </w:r>
      <w:r w:rsidR="00B66A1B">
        <w:rPr>
          <w:rFonts w:ascii="Arial" w:hAnsi="Arial" w:cs="Arial"/>
        </w:rPr>
        <w:t>(Bliss, 2018)</w:t>
      </w:r>
      <w:r w:rsidR="000348BD" w:rsidRPr="00B66A1B">
        <w:rPr>
          <w:rFonts w:ascii="Arial" w:hAnsi="Arial" w:cs="Arial"/>
        </w:rPr>
        <w:t>.</w:t>
      </w:r>
      <w:r w:rsidR="00E91FE4" w:rsidRPr="00B66A1B">
        <w:rPr>
          <w:rFonts w:ascii="Arial" w:hAnsi="Arial" w:cs="Arial"/>
        </w:rPr>
        <w:t xml:space="preserve"> From a</w:t>
      </w:r>
      <w:r w:rsidR="00DE7528" w:rsidRPr="00B66A1B">
        <w:rPr>
          <w:rFonts w:ascii="Arial" w:hAnsi="Arial" w:cs="Arial"/>
        </w:rPr>
        <w:t xml:space="preserve"> performance perspective</w:t>
      </w:r>
      <w:r w:rsidR="00E91FE4" w:rsidRPr="00B66A1B">
        <w:rPr>
          <w:rFonts w:ascii="Arial" w:hAnsi="Arial" w:cs="Arial"/>
        </w:rPr>
        <w:t xml:space="preserve">, this has serious implications as international travel </w:t>
      </w:r>
      <w:r w:rsidR="00DE7528" w:rsidRPr="00B66A1B">
        <w:rPr>
          <w:rFonts w:ascii="Arial" w:hAnsi="Arial" w:cs="Arial"/>
        </w:rPr>
        <w:t>is known to cause</w:t>
      </w:r>
      <w:r w:rsidR="00E91FE4" w:rsidRPr="00B66A1B">
        <w:rPr>
          <w:rFonts w:ascii="Arial" w:hAnsi="Arial" w:cs="Arial"/>
        </w:rPr>
        <w:t xml:space="preserve"> physiologic</w:t>
      </w:r>
      <w:r w:rsidR="00FC70EB">
        <w:rPr>
          <w:rFonts w:ascii="Arial" w:hAnsi="Arial" w:cs="Arial"/>
        </w:rPr>
        <w:t>al</w:t>
      </w:r>
      <w:r w:rsidR="00E91FE4" w:rsidRPr="00B66A1B">
        <w:rPr>
          <w:rFonts w:ascii="Arial" w:hAnsi="Arial" w:cs="Arial"/>
        </w:rPr>
        <w:t xml:space="preserve"> disturbances which can interfere with training and competition preparation </w:t>
      </w:r>
      <w:r w:rsidR="00B66A1B">
        <w:rPr>
          <w:rFonts w:ascii="Arial" w:hAnsi="Arial" w:cs="Arial"/>
        </w:rPr>
        <w:t>(Reilly, Waterhouse, &amp; Edwards, 2005)</w:t>
      </w:r>
      <w:r w:rsidR="00A03EC7" w:rsidRPr="00B66A1B">
        <w:rPr>
          <w:rFonts w:ascii="Arial" w:hAnsi="Arial" w:cs="Arial"/>
        </w:rPr>
        <w:t>, further enhancing the requirement for increased understanding of European Tour performance.</w:t>
      </w:r>
      <w:r w:rsidRPr="00B66A1B">
        <w:rPr>
          <w:rFonts w:ascii="Arial" w:hAnsi="Arial" w:cs="Arial"/>
        </w:rPr>
        <w:t xml:space="preserve"> It is possible that, owing to variations in external factors such as course design, travel, weather, number of players, player performance etc. between PGA and European Tour events, that, even though performance models exist for the PGA Tour</w:t>
      </w:r>
      <w:r w:rsidR="001D59D0" w:rsidRPr="00B66A1B">
        <w:rPr>
          <w:rFonts w:ascii="Arial" w:hAnsi="Arial" w:cs="Arial"/>
        </w:rPr>
        <w:t xml:space="preserve"> </w:t>
      </w:r>
      <w:r w:rsidR="00B66A1B">
        <w:rPr>
          <w:rFonts w:ascii="Arial" w:hAnsi="Arial" w:cs="Arial"/>
        </w:rPr>
        <w:t>(</w:t>
      </w:r>
      <w:proofErr w:type="spellStart"/>
      <w:r w:rsidR="00B66A1B">
        <w:rPr>
          <w:rFonts w:ascii="Arial" w:hAnsi="Arial" w:cs="Arial"/>
        </w:rPr>
        <w:t>Baugher</w:t>
      </w:r>
      <w:proofErr w:type="spellEnd"/>
      <w:r w:rsidR="00B66A1B">
        <w:rPr>
          <w:rFonts w:ascii="Arial" w:hAnsi="Arial" w:cs="Arial"/>
        </w:rPr>
        <w:t xml:space="preserve"> </w:t>
      </w:r>
      <w:r w:rsidR="00B66A1B" w:rsidRPr="00B66A1B">
        <w:rPr>
          <w:rFonts w:ascii="Arial" w:hAnsi="Arial" w:cs="Arial"/>
          <w:i/>
          <w:iCs/>
        </w:rPr>
        <w:t>et al</w:t>
      </w:r>
      <w:r w:rsidR="00B66A1B">
        <w:rPr>
          <w:rFonts w:ascii="Arial" w:hAnsi="Arial" w:cs="Arial"/>
        </w:rPr>
        <w:t>., 2016)</w:t>
      </w:r>
      <w:r w:rsidRPr="00B66A1B">
        <w:rPr>
          <w:rFonts w:ascii="Arial" w:hAnsi="Arial" w:cs="Arial"/>
        </w:rPr>
        <w:t>, these models may not necessarily transfer into successful performance prediction on the European Tour.</w:t>
      </w:r>
    </w:p>
    <w:p w14:paraId="7FFF9924" w14:textId="71352380" w:rsidR="005F477A" w:rsidRPr="00B66A1B" w:rsidRDefault="001D59D0" w:rsidP="00F03707">
      <w:pPr>
        <w:spacing w:line="480" w:lineRule="auto"/>
        <w:jc w:val="both"/>
        <w:rPr>
          <w:rFonts w:ascii="Arial" w:hAnsi="Arial" w:cs="Arial"/>
        </w:rPr>
      </w:pPr>
      <w:r w:rsidRPr="00B66A1B">
        <w:rPr>
          <w:rFonts w:ascii="Arial" w:hAnsi="Arial" w:cs="Arial"/>
        </w:rPr>
        <w:lastRenderedPageBreak/>
        <w:t>S</w:t>
      </w:r>
      <w:r w:rsidR="001D2901" w:rsidRPr="00B66A1B">
        <w:rPr>
          <w:rFonts w:ascii="Arial" w:hAnsi="Arial" w:cs="Arial"/>
        </w:rPr>
        <w:t xml:space="preserve">mall discrepancies in performance skills can lead to large differences in event outcome, finish position, and monetary earnings. This was demonstrated </w:t>
      </w:r>
      <w:r w:rsidRPr="00B66A1B">
        <w:rPr>
          <w:rFonts w:ascii="Arial" w:hAnsi="Arial" w:cs="Arial"/>
        </w:rPr>
        <w:t xml:space="preserve">on the European Tour </w:t>
      </w:r>
      <w:r w:rsidR="001D2901" w:rsidRPr="00B66A1B">
        <w:rPr>
          <w:rFonts w:ascii="Arial" w:hAnsi="Arial" w:cs="Arial"/>
        </w:rPr>
        <w:t xml:space="preserve">by Jimenez and </w:t>
      </w:r>
      <w:r w:rsidR="004B3022" w:rsidRPr="00B66A1B">
        <w:rPr>
          <w:rFonts w:ascii="Arial" w:hAnsi="Arial" w:cs="Arial"/>
        </w:rPr>
        <w:t>Fierro-</w:t>
      </w:r>
      <w:r w:rsidR="001D2901" w:rsidRPr="00B66A1B">
        <w:rPr>
          <w:rFonts w:ascii="Arial" w:hAnsi="Arial" w:cs="Arial"/>
        </w:rPr>
        <w:t xml:space="preserve">Hernandez in 1999, showing that </w:t>
      </w:r>
      <w:r w:rsidRPr="00B66A1B">
        <w:rPr>
          <w:rFonts w:ascii="Arial" w:hAnsi="Arial" w:cs="Arial"/>
        </w:rPr>
        <w:t>performance variables such as</w:t>
      </w:r>
      <w:r w:rsidR="001D2901" w:rsidRPr="00B66A1B">
        <w:rPr>
          <w:rFonts w:ascii="Arial" w:hAnsi="Arial" w:cs="Arial"/>
        </w:rPr>
        <w:t xml:space="preserve"> </w:t>
      </w:r>
      <w:r w:rsidR="00DE277E" w:rsidRPr="00B66A1B">
        <w:rPr>
          <w:rFonts w:ascii="Arial" w:hAnsi="Arial" w:cs="Arial"/>
        </w:rPr>
        <w:t>DD</w:t>
      </w:r>
      <w:r w:rsidR="001D2901" w:rsidRPr="00B66A1B">
        <w:rPr>
          <w:rFonts w:ascii="Arial" w:hAnsi="Arial" w:cs="Arial"/>
        </w:rPr>
        <w:t>, greens in regulation</w:t>
      </w:r>
      <w:r w:rsidR="00DE277E" w:rsidRPr="00B66A1B">
        <w:rPr>
          <w:rFonts w:ascii="Arial" w:hAnsi="Arial" w:cs="Arial"/>
        </w:rPr>
        <w:t xml:space="preserve"> (GIR)</w:t>
      </w:r>
      <w:r w:rsidR="001D2901" w:rsidRPr="00B66A1B">
        <w:rPr>
          <w:rFonts w:ascii="Arial" w:hAnsi="Arial" w:cs="Arial"/>
        </w:rPr>
        <w:t xml:space="preserve">, and sand saves could all statistically differentiate the top 10, and bottom 10 performers on the European Tour </w:t>
      </w:r>
      <w:r w:rsidR="00B66A1B">
        <w:rPr>
          <w:rFonts w:ascii="Arial" w:hAnsi="Arial" w:cs="Arial"/>
        </w:rPr>
        <w:t>(Jimenez &amp; Fierro-Hernandez, 1999)</w:t>
      </w:r>
      <w:r w:rsidR="001D2901" w:rsidRPr="00B66A1B">
        <w:rPr>
          <w:rFonts w:ascii="Arial" w:hAnsi="Arial" w:cs="Arial"/>
        </w:rPr>
        <w:t>. Over the course of the season, these small variations in performance ultimately dictate the player’s score,</w:t>
      </w:r>
      <w:r w:rsidR="00D36F28" w:rsidRPr="00B66A1B">
        <w:rPr>
          <w:rFonts w:ascii="Arial" w:hAnsi="Arial" w:cs="Arial"/>
        </w:rPr>
        <w:t xml:space="preserve"> and</w:t>
      </w:r>
      <w:r w:rsidR="001D2901" w:rsidRPr="00B66A1B">
        <w:rPr>
          <w:rFonts w:ascii="Arial" w:hAnsi="Arial" w:cs="Arial"/>
        </w:rPr>
        <w:t xml:space="preserve"> their finishing position.</w:t>
      </w:r>
      <w:r w:rsidRPr="00B66A1B">
        <w:rPr>
          <w:rFonts w:ascii="Arial" w:hAnsi="Arial" w:cs="Arial"/>
        </w:rPr>
        <w:t xml:space="preserve"> </w:t>
      </w:r>
      <w:r w:rsidR="00DE277E" w:rsidRPr="00B66A1B">
        <w:rPr>
          <w:rFonts w:ascii="Arial" w:hAnsi="Arial" w:cs="Arial"/>
        </w:rPr>
        <w:t>DD</w:t>
      </w:r>
      <w:r w:rsidR="002E791E" w:rsidRPr="00B66A1B">
        <w:rPr>
          <w:rFonts w:ascii="Arial" w:hAnsi="Arial" w:cs="Arial"/>
        </w:rPr>
        <w:t>, drive accuracy</w:t>
      </w:r>
      <w:r w:rsidR="00DE277E" w:rsidRPr="00B66A1B">
        <w:rPr>
          <w:rFonts w:ascii="Arial" w:hAnsi="Arial" w:cs="Arial"/>
        </w:rPr>
        <w:t xml:space="preserve"> (DA)</w:t>
      </w:r>
      <w:r w:rsidR="002E791E" w:rsidRPr="00B66A1B">
        <w:rPr>
          <w:rFonts w:ascii="Arial" w:hAnsi="Arial" w:cs="Arial"/>
        </w:rPr>
        <w:t xml:space="preserve">, and the division of putts per missed green in regulation and putts per </w:t>
      </w:r>
      <w:r w:rsidR="00B055E5">
        <w:rPr>
          <w:rFonts w:ascii="Arial" w:hAnsi="Arial" w:cs="Arial"/>
        </w:rPr>
        <w:t>GIR</w:t>
      </w:r>
      <w:r w:rsidR="002E791E" w:rsidRPr="00B66A1B">
        <w:rPr>
          <w:rFonts w:ascii="Arial" w:hAnsi="Arial" w:cs="Arial"/>
        </w:rPr>
        <w:t xml:space="preserve"> were shown to account for between 41-52% of stroke average from 1998-2001 </w:t>
      </w:r>
      <w:r w:rsidR="00B66A1B">
        <w:rPr>
          <w:rFonts w:ascii="Arial" w:hAnsi="Arial" w:cs="Arial"/>
        </w:rPr>
        <w:t>(</w:t>
      </w:r>
      <w:proofErr w:type="spellStart"/>
      <w:r w:rsidR="00B66A1B">
        <w:rPr>
          <w:rFonts w:ascii="Arial" w:hAnsi="Arial" w:cs="Arial"/>
        </w:rPr>
        <w:t>Ketzscher</w:t>
      </w:r>
      <w:proofErr w:type="spellEnd"/>
      <w:r w:rsidR="00B66A1B">
        <w:rPr>
          <w:rFonts w:ascii="Arial" w:hAnsi="Arial" w:cs="Arial"/>
        </w:rPr>
        <w:t xml:space="preserve"> &amp; Ringrose, 2002)</w:t>
      </w:r>
      <w:r w:rsidR="002E791E" w:rsidRPr="00B66A1B">
        <w:rPr>
          <w:rFonts w:ascii="Arial" w:hAnsi="Arial" w:cs="Arial"/>
        </w:rPr>
        <w:t xml:space="preserve">. Although not on the European Tour, it has further been demonstrated that players with greater </w:t>
      </w:r>
      <w:r w:rsidR="00DE277E" w:rsidRPr="00B66A1B">
        <w:rPr>
          <w:rFonts w:ascii="Arial" w:hAnsi="Arial" w:cs="Arial"/>
        </w:rPr>
        <w:t>DD</w:t>
      </w:r>
      <w:r w:rsidR="002E791E" w:rsidRPr="00B66A1B">
        <w:rPr>
          <w:rFonts w:ascii="Arial" w:hAnsi="Arial" w:cs="Arial"/>
        </w:rPr>
        <w:t xml:space="preserve"> score better on </w:t>
      </w:r>
      <w:r w:rsidR="006B6DE5" w:rsidRPr="00B66A1B">
        <w:rPr>
          <w:rFonts w:ascii="Arial" w:hAnsi="Arial" w:cs="Arial"/>
        </w:rPr>
        <w:t>par four</w:t>
      </w:r>
      <w:r w:rsidR="002E791E" w:rsidRPr="00B66A1B">
        <w:rPr>
          <w:rFonts w:ascii="Arial" w:hAnsi="Arial" w:cs="Arial"/>
        </w:rPr>
        <w:t xml:space="preserve"> and </w:t>
      </w:r>
      <w:r w:rsidR="00A658B1" w:rsidRPr="00B66A1B">
        <w:rPr>
          <w:rFonts w:ascii="Arial" w:hAnsi="Arial" w:cs="Arial"/>
        </w:rPr>
        <w:t>five</w:t>
      </w:r>
      <w:r w:rsidR="002E791E" w:rsidRPr="00B66A1B">
        <w:rPr>
          <w:rFonts w:ascii="Arial" w:hAnsi="Arial" w:cs="Arial"/>
        </w:rPr>
        <w:t xml:space="preserve"> holes </w:t>
      </w:r>
      <w:r w:rsidR="00B66A1B">
        <w:rPr>
          <w:rFonts w:ascii="Arial" w:hAnsi="Arial" w:cs="Arial"/>
        </w:rPr>
        <w:t>(</w:t>
      </w:r>
      <w:proofErr w:type="spellStart"/>
      <w:r w:rsidR="00B66A1B">
        <w:rPr>
          <w:rFonts w:ascii="Arial" w:hAnsi="Arial" w:cs="Arial"/>
        </w:rPr>
        <w:t>Hellstrom</w:t>
      </w:r>
      <w:proofErr w:type="spellEnd"/>
      <w:r w:rsidR="00B66A1B">
        <w:rPr>
          <w:rFonts w:ascii="Arial" w:hAnsi="Arial" w:cs="Arial"/>
        </w:rPr>
        <w:t xml:space="preserve">, Nilsson, &amp; </w:t>
      </w:r>
      <w:proofErr w:type="spellStart"/>
      <w:r w:rsidR="00B66A1B">
        <w:rPr>
          <w:rFonts w:ascii="Arial" w:hAnsi="Arial" w:cs="Arial"/>
        </w:rPr>
        <w:t>Isberg</w:t>
      </w:r>
      <w:proofErr w:type="spellEnd"/>
      <w:r w:rsidR="00B66A1B">
        <w:rPr>
          <w:rFonts w:ascii="Arial" w:hAnsi="Arial" w:cs="Arial"/>
        </w:rPr>
        <w:t>, 2014)</w:t>
      </w:r>
      <w:r w:rsidR="002E791E" w:rsidRPr="00B66A1B">
        <w:rPr>
          <w:rFonts w:ascii="Arial" w:hAnsi="Arial" w:cs="Arial"/>
        </w:rPr>
        <w:t xml:space="preserve">. Despite the usefulness of these findings, specifically on </w:t>
      </w:r>
      <w:r w:rsidR="006B6DE5" w:rsidRPr="00B66A1B">
        <w:rPr>
          <w:rFonts w:ascii="Arial" w:hAnsi="Arial" w:cs="Arial"/>
        </w:rPr>
        <w:t>par four</w:t>
      </w:r>
      <w:r w:rsidR="002E791E" w:rsidRPr="00B66A1B">
        <w:rPr>
          <w:rFonts w:ascii="Arial" w:hAnsi="Arial" w:cs="Arial"/>
        </w:rPr>
        <w:t xml:space="preserve"> and </w:t>
      </w:r>
      <w:r w:rsidR="00A658B1" w:rsidRPr="00B66A1B">
        <w:rPr>
          <w:rFonts w:ascii="Arial" w:hAnsi="Arial" w:cs="Arial"/>
        </w:rPr>
        <w:t>five</w:t>
      </w:r>
      <w:r w:rsidR="002E791E" w:rsidRPr="00B66A1B">
        <w:rPr>
          <w:rFonts w:ascii="Arial" w:hAnsi="Arial" w:cs="Arial"/>
        </w:rPr>
        <w:t xml:space="preserve"> holes, no analysis of hole type (</w:t>
      </w:r>
      <w:r w:rsidR="006B6DE5" w:rsidRPr="00B66A1B">
        <w:rPr>
          <w:rFonts w:ascii="Arial" w:hAnsi="Arial" w:cs="Arial"/>
        </w:rPr>
        <w:t>par three</w:t>
      </w:r>
      <w:r w:rsidR="002E791E" w:rsidRPr="00B66A1B">
        <w:rPr>
          <w:rFonts w:ascii="Arial" w:hAnsi="Arial" w:cs="Arial"/>
        </w:rPr>
        <w:t xml:space="preserve">, </w:t>
      </w:r>
      <w:r w:rsidR="00C20AC3" w:rsidRPr="00B66A1B">
        <w:rPr>
          <w:rFonts w:ascii="Arial" w:hAnsi="Arial" w:cs="Arial"/>
        </w:rPr>
        <w:t>four</w:t>
      </w:r>
      <w:r w:rsidR="002E791E" w:rsidRPr="00B66A1B">
        <w:rPr>
          <w:rFonts w:ascii="Arial" w:hAnsi="Arial" w:cs="Arial"/>
        </w:rPr>
        <w:t xml:space="preserve">, or </w:t>
      </w:r>
      <w:r w:rsidR="00C20AC3" w:rsidRPr="00B66A1B">
        <w:rPr>
          <w:rFonts w:ascii="Arial" w:hAnsi="Arial" w:cs="Arial"/>
        </w:rPr>
        <w:t>five</w:t>
      </w:r>
      <w:r w:rsidR="002E791E" w:rsidRPr="00B66A1B">
        <w:rPr>
          <w:rFonts w:ascii="Arial" w:hAnsi="Arial" w:cs="Arial"/>
        </w:rPr>
        <w:t>) and performance variables has previously been conducted</w:t>
      </w:r>
      <w:r w:rsidR="00A658B1" w:rsidRPr="00B66A1B">
        <w:rPr>
          <w:rFonts w:ascii="Arial" w:hAnsi="Arial" w:cs="Arial"/>
        </w:rPr>
        <w:t xml:space="preserve"> on the European Tour</w:t>
      </w:r>
      <w:r w:rsidR="002E791E" w:rsidRPr="00B66A1B">
        <w:rPr>
          <w:rFonts w:ascii="Arial" w:hAnsi="Arial" w:cs="Arial"/>
        </w:rPr>
        <w:t>. Such an analysis would help players and coaches with their strategic performance planning and will help golfers understand which metrics determine performance across hole types</w:t>
      </w:r>
      <w:r w:rsidR="00C95AB6" w:rsidRPr="00B66A1B">
        <w:rPr>
          <w:rFonts w:ascii="Arial" w:hAnsi="Arial" w:cs="Arial"/>
        </w:rPr>
        <w:t>,</w:t>
      </w:r>
      <w:r w:rsidR="002E791E" w:rsidRPr="00B66A1B">
        <w:rPr>
          <w:rFonts w:ascii="Arial" w:hAnsi="Arial" w:cs="Arial"/>
        </w:rPr>
        <w:t xml:space="preserve"> across time.</w:t>
      </w:r>
      <w:r w:rsidR="006E79DA" w:rsidRPr="00B66A1B">
        <w:rPr>
          <w:rFonts w:ascii="Arial" w:hAnsi="Arial" w:cs="Arial"/>
        </w:rPr>
        <w:t xml:space="preserve"> </w:t>
      </w:r>
      <w:r w:rsidR="001D2901" w:rsidRPr="00B66A1B">
        <w:rPr>
          <w:rFonts w:ascii="Arial" w:hAnsi="Arial" w:cs="Arial"/>
        </w:rPr>
        <w:t xml:space="preserve">Therefore, to understand which variables predict performance, </w:t>
      </w:r>
      <w:r w:rsidR="0009418C" w:rsidRPr="00B66A1B">
        <w:rPr>
          <w:rFonts w:ascii="Arial" w:hAnsi="Arial" w:cs="Arial"/>
        </w:rPr>
        <w:t xml:space="preserve">there were two aims </w:t>
      </w:r>
      <w:r w:rsidR="00AA5E39" w:rsidRPr="00B66A1B">
        <w:rPr>
          <w:rFonts w:ascii="Arial" w:hAnsi="Arial" w:cs="Arial"/>
        </w:rPr>
        <w:t>of the study</w:t>
      </w:r>
      <w:r w:rsidR="00020453" w:rsidRPr="00B66A1B">
        <w:rPr>
          <w:rFonts w:ascii="Arial" w:hAnsi="Arial" w:cs="Arial"/>
        </w:rPr>
        <w:t>: 1) Compare performance variables to identify changes across the three most recent seasons. 2) I</w:t>
      </w:r>
      <w:r w:rsidR="000348BD" w:rsidRPr="00B66A1B">
        <w:rPr>
          <w:rFonts w:ascii="Arial" w:hAnsi="Arial" w:cs="Arial"/>
        </w:rPr>
        <w:t>nvestigat</w:t>
      </w:r>
      <w:r w:rsidR="00A03EC7" w:rsidRPr="00B66A1B">
        <w:rPr>
          <w:rFonts w:ascii="Arial" w:hAnsi="Arial" w:cs="Arial"/>
        </w:rPr>
        <w:t>e</w:t>
      </w:r>
      <w:r w:rsidR="000348BD" w:rsidRPr="00B66A1B">
        <w:rPr>
          <w:rFonts w:ascii="Arial" w:hAnsi="Arial" w:cs="Arial"/>
        </w:rPr>
        <w:t xml:space="preserve"> predictors of </w:t>
      </w:r>
      <w:r w:rsidR="00E234EF" w:rsidRPr="00B66A1B">
        <w:rPr>
          <w:rFonts w:ascii="Arial" w:hAnsi="Arial" w:cs="Arial"/>
        </w:rPr>
        <w:t xml:space="preserve">par </w:t>
      </w:r>
      <w:r w:rsidR="00020453" w:rsidRPr="00B66A1B">
        <w:rPr>
          <w:rFonts w:ascii="Arial" w:hAnsi="Arial" w:cs="Arial"/>
        </w:rPr>
        <w:t>three</w:t>
      </w:r>
      <w:r w:rsidR="00E234EF" w:rsidRPr="00B66A1B">
        <w:rPr>
          <w:rFonts w:ascii="Arial" w:hAnsi="Arial" w:cs="Arial"/>
        </w:rPr>
        <w:t xml:space="preserve">, par </w:t>
      </w:r>
      <w:r w:rsidR="00020453" w:rsidRPr="00B66A1B">
        <w:rPr>
          <w:rFonts w:ascii="Arial" w:hAnsi="Arial" w:cs="Arial"/>
        </w:rPr>
        <w:t>four</w:t>
      </w:r>
      <w:r w:rsidR="00E234EF" w:rsidRPr="00B66A1B">
        <w:rPr>
          <w:rFonts w:ascii="Arial" w:hAnsi="Arial" w:cs="Arial"/>
        </w:rPr>
        <w:t xml:space="preserve">, and par </w:t>
      </w:r>
      <w:r w:rsidR="00020453" w:rsidRPr="00B66A1B">
        <w:rPr>
          <w:rFonts w:ascii="Arial" w:hAnsi="Arial" w:cs="Arial"/>
        </w:rPr>
        <w:t>five</w:t>
      </w:r>
      <w:r w:rsidR="00E234EF" w:rsidRPr="00B66A1B">
        <w:rPr>
          <w:rFonts w:ascii="Arial" w:hAnsi="Arial" w:cs="Arial"/>
        </w:rPr>
        <w:t xml:space="preserve"> </w:t>
      </w:r>
      <w:r w:rsidR="00020453" w:rsidRPr="00B66A1B">
        <w:rPr>
          <w:rFonts w:ascii="Arial" w:hAnsi="Arial" w:cs="Arial"/>
        </w:rPr>
        <w:t>average score</w:t>
      </w:r>
      <w:r w:rsidR="000348BD" w:rsidRPr="00B66A1B">
        <w:rPr>
          <w:rFonts w:ascii="Arial" w:hAnsi="Arial" w:cs="Arial"/>
        </w:rPr>
        <w:t xml:space="preserve"> in elite golf at the European Tour level</w:t>
      </w:r>
      <w:r w:rsidR="00A03EC7" w:rsidRPr="00B66A1B">
        <w:rPr>
          <w:rFonts w:ascii="Arial" w:hAnsi="Arial" w:cs="Arial"/>
        </w:rPr>
        <w:t xml:space="preserve"> </w:t>
      </w:r>
      <w:r w:rsidR="00B246A1" w:rsidRPr="00B66A1B">
        <w:rPr>
          <w:rFonts w:ascii="Arial" w:hAnsi="Arial" w:cs="Arial"/>
        </w:rPr>
        <w:t>across</w:t>
      </w:r>
      <w:r w:rsidR="001D2901" w:rsidRPr="00B66A1B">
        <w:rPr>
          <w:rFonts w:ascii="Arial" w:hAnsi="Arial" w:cs="Arial"/>
        </w:rPr>
        <w:t xml:space="preserve"> recent</w:t>
      </w:r>
      <w:r w:rsidR="00B246A1" w:rsidRPr="00B66A1B">
        <w:rPr>
          <w:rFonts w:ascii="Arial" w:hAnsi="Arial" w:cs="Arial"/>
        </w:rPr>
        <w:t xml:space="preserve"> seasons.</w:t>
      </w:r>
    </w:p>
    <w:p w14:paraId="3B3F24A7" w14:textId="795568E6" w:rsidR="00CF2710" w:rsidRPr="00B66A1B" w:rsidRDefault="006405EE" w:rsidP="000A2755">
      <w:pPr>
        <w:pStyle w:val="ListParagraph"/>
        <w:numPr>
          <w:ilvl w:val="0"/>
          <w:numId w:val="10"/>
        </w:numPr>
        <w:spacing w:line="480" w:lineRule="auto"/>
        <w:jc w:val="both"/>
        <w:rPr>
          <w:rFonts w:ascii="Arial" w:hAnsi="Arial" w:cs="Arial"/>
          <w:b/>
        </w:rPr>
      </w:pPr>
      <w:r w:rsidRPr="00B66A1B">
        <w:rPr>
          <w:rFonts w:ascii="Arial" w:hAnsi="Arial" w:cs="Arial"/>
          <w:b/>
        </w:rPr>
        <w:t>Method</w:t>
      </w:r>
      <w:r w:rsidR="00CD0291" w:rsidRPr="00B66A1B">
        <w:rPr>
          <w:rFonts w:ascii="Arial" w:hAnsi="Arial" w:cs="Arial"/>
          <w:b/>
        </w:rPr>
        <w:t>s</w:t>
      </w:r>
    </w:p>
    <w:p w14:paraId="006DDEA2" w14:textId="2B68A872" w:rsidR="00CD0291" w:rsidRPr="00B66A1B" w:rsidRDefault="000A2755" w:rsidP="00F03707">
      <w:pPr>
        <w:spacing w:line="480" w:lineRule="auto"/>
        <w:jc w:val="both"/>
        <w:rPr>
          <w:rFonts w:ascii="Arial" w:hAnsi="Arial" w:cs="Arial"/>
          <w:b/>
          <w:i/>
        </w:rPr>
      </w:pPr>
      <w:r w:rsidRPr="00B66A1B">
        <w:rPr>
          <w:rFonts w:ascii="Arial" w:hAnsi="Arial" w:cs="Arial"/>
          <w:b/>
          <w:i/>
        </w:rPr>
        <w:t xml:space="preserve">2.1 </w:t>
      </w:r>
      <w:r w:rsidR="00CD0291" w:rsidRPr="00B66A1B">
        <w:rPr>
          <w:rFonts w:ascii="Arial" w:hAnsi="Arial" w:cs="Arial"/>
          <w:b/>
          <w:i/>
        </w:rPr>
        <w:t>Participants</w:t>
      </w:r>
    </w:p>
    <w:p w14:paraId="120296AA" w14:textId="67D8A73E" w:rsidR="0030390C" w:rsidRPr="00B66A1B" w:rsidRDefault="0030390C" w:rsidP="00F03707">
      <w:pPr>
        <w:spacing w:line="480" w:lineRule="auto"/>
        <w:jc w:val="both"/>
        <w:rPr>
          <w:rFonts w:ascii="Arial" w:hAnsi="Arial" w:cs="Arial"/>
        </w:rPr>
      </w:pPr>
      <w:r w:rsidRPr="00B66A1B">
        <w:rPr>
          <w:rFonts w:ascii="Arial" w:hAnsi="Arial" w:cs="Arial"/>
        </w:rPr>
        <w:t xml:space="preserve">A total of </w:t>
      </w:r>
      <w:r w:rsidR="005C06B9" w:rsidRPr="00B66A1B">
        <w:rPr>
          <w:rFonts w:ascii="Arial" w:hAnsi="Arial" w:cs="Arial"/>
        </w:rPr>
        <w:t>249 individual</w:t>
      </w:r>
      <w:r w:rsidRPr="00B66A1B">
        <w:rPr>
          <w:rFonts w:ascii="Arial" w:hAnsi="Arial" w:cs="Arial"/>
        </w:rPr>
        <w:t xml:space="preserve"> players </w:t>
      </w:r>
      <w:r w:rsidR="00D36F28" w:rsidRPr="00B66A1B">
        <w:rPr>
          <w:rFonts w:ascii="Arial" w:hAnsi="Arial" w:cs="Arial"/>
        </w:rPr>
        <w:t>w</w:t>
      </w:r>
      <w:r w:rsidRPr="00B66A1B">
        <w:rPr>
          <w:rFonts w:ascii="Arial" w:hAnsi="Arial" w:cs="Arial"/>
        </w:rPr>
        <w:t>ere included in the study.</w:t>
      </w:r>
      <w:r w:rsidR="005C06B9" w:rsidRPr="00B66A1B">
        <w:rPr>
          <w:rFonts w:ascii="Arial" w:hAnsi="Arial" w:cs="Arial"/>
        </w:rPr>
        <w:t xml:space="preserve"> </w:t>
      </w:r>
      <w:r w:rsidRPr="00B66A1B">
        <w:rPr>
          <w:rFonts w:ascii="Arial" w:hAnsi="Arial" w:cs="Arial"/>
        </w:rPr>
        <w:t>Data were obtained from the European Tour website (</w:t>
      </w:r>
      <w:hyperlink r:id="rId7" w:history="1">
        <w:r w:rsidRPr="00B66A1B">
          <w:rPr>
            <w:rStyle w:val="Hyperlink"/>
            <w:rFonts w:ascii="Arial" w:hAnsi="Arial" w:cs="Arial"/>
            <w:color w:val="auto"/>
          </w:rPr>
          <w:t>www.europeantour.com</w:t>
        </w:r>
      </w:hyperlink>
      <w:r w:rsidRPr="00B66A1B">
        <w:rPr>
          <w:rFonts w:ascii="Arial" w:hAnsi="Arial" w:cs="Arial"/>
        </w:rPr>
        <w:t xml:space="preserve"> accessed 1</w:t>
      </w:r>
      <w:r w:rsidR="00757968" w:rsidRPr="00B66A1B">
        <w:rPr>
          <w:rFonts w:ascii="Arial" w:hAnsi="Arial" w:cs="Arial"/>
          <w:vertAlign w:val="superscript"/>
        </w:rPr>
        <w:t>st</w:t>
      </w:r>
      <w:r w:rsidRPr="00B66A1B">
        <w:rPr>
          <w:rFonts w:ascii="Arial" w:hAnsi="Arial" w:cs="Arial"/>
        </w:rPr>
        <w:t xml:space="preserve"> </w:t>
      </w:r>
      <w:r w:rsidR="007B58CA" w:rsidRPr="00B66A1B">
        <w:rPr>
          <w:rFonts w:ascii="Arial" w:hAnsi="Arial" w:cs="Arial"/>
        </w:rPr>
        <w:t>December</w:t>
      </w:r>
      <w:r w:rsidRPr="00B66A1B">
        <w:rPr>
          <w:rFonts w:ascii="Arial" w:hAnsi="Arial" w:cs="Arial"/>
        </w:rPr>
        <w:t xml:space="preserve"> 2019). To be included in the study, players must have completed at least 30 rounds</w:t>
      </w:r>
      <w:r w:rsidR="001427FD" w:rsidRPr="00B66A1B">
        <w:rPr>
          <w:rFonts w:ascii="Arial" w:hAnsi="Arial" w:cs="Arial"/>
        </w:rPr>
        <w:t xml:space="preserve"> (the minimum number to be recorded on the Tour’s website)</w:t>
      </w:r>
      <w:r w:rsidRPr="00B66A1B">
        <w:rPr>
          <w:rFonts w:ascii="Arial" w:hAnsi="Arial" w:cs="Arial"/>
        </w:rPr>
        <w:t xml:space="preserve"> on the European Tour in the corresponding season being analysed and were required to have a complete data set across all dependent and independent variables outlined below.</w:t>
      </w:r>
      <w:r w:rsidR="00AA5E39" w:rsidRPr="00B66A1B">
        <w:rPr>
          <w:rFonts w:ascii="Arial" w:hAnsi="Arial" w:cs="Arial"/>
        </w:rPr>
        <w:t xml:space="preserve"> The 2017, 2018, and 2019 seasons were chosen as </w:t>
      </w:r>
      <w:r w:rsidR="00AA5E39" w:rsidRPr="00B66A1B">
        <w:rPr>
          <w:rFonts w:ascii="Arial" w:hAnsi="Arial" w:cs="Arial"/>
        </w:rPr>
        <w:lastRenderedPageBreak/>
        <w:t xml:space="preserve">they were the three seasons that had complete data sets available at the time of access and were unaffected by COVID-19. </w:t>
      </w:r>
      <w:r w:rsidRPr="00B66A1B">
        <w:rPr>
          <w:rFonts w:ascii="Arial" w:hAnsi="Arial" w:cs="Arial"/>
        </w:rPr>
        <w:t xml:space="preserve"> </w:t>
      </w:r>
      <w:r w:rsidR="00153541" w:rsidRPr="00B66A1B">
        <w:rPr>
          <w:rFonts w:ascii="Arial" w:hAnsi="Arial" w:cs="Arial"/>
        </w:rPr>
        <w:t>The top ranked 200 players</w:t>
      </w:r>
      <w:r w:rsidR="00A658B1" w:rsidRPr="00B66A1B">
        <w:rPr>
          <w:rFonts w:ascii="Arial" w:hAnsi="Arial" w:cs="Arial"/>
        </w:rPr>
        <w:t xml:space="preserve"> in the European Tour’s Race to Dubai (R2D) classification system</w:t>
      </w:r>
      <w:r w:rsidR="00153541" w:rsidRPr="00B66A1B">
        <w:rPr>
          <w:rFonts w:ascii="Arial" w:hAnsi="Arial" w:cs="Arial"/>
        </w:rPr>
        <w:t xml:space="preserve"> in each year were identified for the study as players outside this rank often had incomplete data sets. </w:t>
      </w:r>
      <w:r w:rsidR="001475F0" w:rsidRPr="00B66A1B">
        <w:rPr>
          <w:rFonts w:ascii="Arial" w:hAnsi="Arial" w:cs="Arial"/>
        </w:rPr>
        <w:t>As these data were publicly available and did not contain any sensitive, personal information, ethical approval was not required.</w:t>
      </w:r>
      <w:r w:rsidR="005C06B9" w:rsidRPr="00B66A1B">
        <w:rPr>
          <w:rFonts w:ascii="Arial" w:hAnsi="Arial" w:cs="Arial"/>
        </w:rPr>
        <w:t xml:space="preserve"> Eighty players had data for all three seasons, 73 played two of three seasons, with 96 having data for a single season. The number of individual players analysed per season were as follows: 2017 n= 1</w:t>
      </w:r>
      <w:r w:rsidR="00D94724" w:rsidRPr="00B66A1B">
        <w:rPr>
          <w:rFonts w:ascii="Arial" w:hAnsi="Arial" w:cs="Arial"/>
        </w:rPr>
        <w:t>51</w:t>
      </w:r>
      <w:r w:rsidR="005C06B9" w:rsidRPr="00B66A1B">
        <w:rPr>
          <w:rFonts w:ascii="Arial" w:hAnsi="Arial" w:cs="Arial"/>
        </w:rPr>
        <w:t>; 2018 n= 1</w:t>
      </w:r>
      <w:r w:rsidR="00D94724" w:rsidRPr="00B66A1B">
        <w:rPr>
          <w:rFonts w:ascii="Arial" w:hAnsi="Arial" w:cs="Arial"/>
        </w:rPr>
        <w:t>65</w:t>
      </w:r>
      <w:r w:rsidR="005C06B9" w:rsidRPr="00B66A1B">
        <w:rPr>
          <w:rFonts w:ascii="Arial" w:hAnsi="Arial" w:cs="Arial"/>
        </w:rPr>
        <w:t>; 2019 n= 1</w:t>
      </w:r>
      <w:r w:rsidR="00D94724" w:rsidRPr="00B66A1B">
        <w:rPr>
          <w:rFonts w:ascii="Arial" w:hAnsi="Arial" w:cs="Arial"/>
        </w:rPr>
        <w:t>61</w:t>
      </w:r>
      <w:r w:rsidR="005C06B9" w:rsidRPr="00B66A1B">
        <w:rPr>
          <w:rFonts w:ascii="Arial" w:hAnsi="Arial" w:cs="Arial"/>
        </w:rPr>
        <w:t>.</w:t>
      </w:r>
      <w:r w:rsidR="00AA5E39" w:rsidRPr="00B66A1B">
        <w:rPr>
          <w:rFonts w:ascii="Arial" w:hAnsi="Arial" w:cs="Arial"/>
        </w:rPr>
        <w:t xml:space="preserve"> These were the three seasons that had complete data sets available at the time of access. </w:t>
      </w:r>
    </w:p>
    <w:p w14:paraId="18B3AFC5" w14:textId="75F4BB1D" w:rsidR="001F6523" w:rsidRPr="00B66A1B" w:rsidRDefault="008A47F4" w:rsidP="00F03707">
      <w:pPr>
        <w:spacing w:line="480" w:lineRule="auto"/>
        <w:jc w:val="both"/>
        <w:rPr>
          <w:rFonts w:ascii="Arial" w:hAnsi="Arial" w:cs="Arial"/>
        </w:rPr>
      </w:pPr>
      <w:r w:rsidRPr="00B66A1B">
        <w:rPr>
          <w:rFonts w:ascii="Arial" w:hAnsi="Arial" w:cs="Arial"/>
        </w:rPr>
        <w:t>***Table 1 Here</w:t>
      </w:r>
      <w:r w:rsidR="00EC74EC" w:rsidRPr="00B66A1B">
        <w:rPr>
          <w:rFonts w:ascii="Arial" w:hAnsi="Arial" w:cs="Arial"/>
        </w:rPr>
        <w:t>. Caption in Table document</w:t>
      </w:r>
      <w:r w:rsidRPr="00B66A1B">
        <w:rPr>
          <w:rFonts w:ascii="Arial" w:hAnsi="Arial" w:cs="Arial"/>
        </w:rPr>
        <w:t>***</w:t>
      </w:r>
    </w:p>
    <w:p w14:paraId="085AB8E0" w14:textId="3661F308" w:rsidR="005B5E0C" w:rsidRPr="00B66A1B" w:rsidRDefault="000A2755" w:rsidP="00F03707">
      <w:pPr>
        <w:spacing w:line="480" w:lineRule="auto"/>
        <w:jc w:val="both"/>
        <w:rPr>
          <w:rFonts w:ascii="Arial" w:hAnsi="Arial" w:cs="Arial"/>
          <w:b/>
          <w:i/>
        </w:rPr>
      </w:pPr>
      <w:r w:rsidRPr="00B66A1B">
        <w:rPr>
          <w:rFonts w:ascii="Arial" w:hAnsi="Arial" w:cs="Arial"/>
          <w:b/>
          <w:i/>
        </w:rPr>
        <w:t xml:space="preserve">2.2 </w:t>
      </w:r>
      <w:r w:rsidR="00CD0291" w:rsidRPr="00B66A1B">
        <w:rPr>
          <w:rFonts w:ascii="Arial" w:hAnsi="Arial" w:cs="Arial"/>
          <w:b/>
          <w:i/>
        </w:rPr>
        <w:t>Analysis</w:t>
      </w:r>
    </w:p>
    <w:p w14:paraId="31A4B3B6" w14:textId="77777777" w:rsidR="0075774B" w:rsidRPr="00B66A1B" w:rsidRDefault="00CD0291" w:rsidP="00F03707">
      <w:pPr>
        <w:spacing w:line="480" w:lineRule="auto"/>
        <w:jc w:val="both"/>
        <w:rPr>
          <w:rFonts w:ascii="Arial" w:hAnsi="Arial" w:cs="Arial"/>
        </w:rPr>
      </w:pPr>
      <w:r w:rsidRPr="00B66A1B">
        <w:rPr>
          <w:rFonts w:ascii="Arial" w:hAnsi="Arial" w:cs="Arial"/>
        </w:rPr>
        <w:t xml:space="preserve">All data were </w:t>
      </w:r>
      <w:r w:rsidR="00DC7AFB" w:rsidRPr="00B66A1B">
        <w:rPr>
          <w:rFonts w:ascii="Arial" w:hAnsi="Arial" w:cs="Arial"/>
        </w:rPr>
        <w:t xml:space="preserve">downloaded from the European Tour website, </w:t>
      </w:r>
      <w:r w:rsidRPr="00B66A1B">
        <w:rPr>
          <w:rFonts w:ascii="Arial" w:hAnsi="Arial" w:cs="Arial"/>
        </w:rPr>
        <w:t>stored on an electronic spreadsheet (Excel, v2016, Microsoft, USA) and transferred to a statistical package for further analysis (IBM SPSS Statistics, v2</w:t>
      </w:r>
      <w:r w:rsidR="007B58CA" w:rsidRPr="00B66A1B">
        <w:rPr>
          <w:rFonts w:ascii="Arial" w:hAnsi="Arial" w:cs="Arial"/>
        </w:rPr>
        <w:t>4</w:t>
      </w:r>
      <w:r w:rsidRPr="00B66A1B">
        <w:rPr>
          <w:rFonts w:ascii="Arial" w:hAnsi="Arial" w:cs="Arial"/>
        </w:rPr>
        <w:t>.0, IBM Corporation, USA).</w:t>
      </w:r>
      <w:r w:rsidR="001427FD" w:rsidRPr="00B66A1B">
        <w:rPr>
          <w:rFonts w:ascii="Arial" w:hAnsi="Arial" w:cs="Arial"/>
        </w:rPr>
        <w:t xml:space="preserve"> 2017, 2018, and 2019 were chosen as they were the three most recent years with comprehensive statistics that were publicly available.</w:t>
      </w:r>
      <w:r w:rsidR="008159E5" w:rsidRPr="00B66A1B">
        <w:rPr>
          <w:rFonts w:ascii="Arial" w:hAnsi="Arial" w:cs="Arial"/>
        </w:rPr>
        <w:t xml:space="preserve"> </w:t>
      </w:r>
      <w:r w:rsidR="00960975" w:rsidRPr="00B66A1B">
        <w:rPr>
          <w:rFonts w:ascii="Arial" w:hAnsi="Arial" w:cs="Arial"/>
        </w:rPr>
        <w:t xml:space="preserve">Data were assessed for normality using the Kolmogorov-Smirnov test as well as visual inspection of histograms and Q-Q plots. </w:t>
      </w:r>
      <w:r w:rsidR="007E54AA" w:rsidRPr="00B66A1B">
        <w:rPr>
          <w:rFonts w:ascii="Arial" w:hAnsi="Arial" w:cs="Arial"/>
        </w:rPr>
        <w:t xml:space="preserve">Homogeneity of variance was assessed using </w:t>
      </w:r>
      <w:proofErr w:type="spellStart"/>
      <w:r w:rsidR="007E54AA" w:rsidRPr="00B66A1B">
        <w:rPr>
          <w:rFonts w:ascii="Arial" w:hAnsi="Arial" w:cs="Arial"/>
        </w:rPr>
        <w:t>Levene’s</w:t>
      </w:r>
      <w:proofErr w:type="spellEnd"/>
      <w:r w:rsidR="007E54AA" w:rsidRPr="00B66A1B">
        <w:rPr>
          <w:rFonts w:ascii="Arial" w:hAnsi="Arial" w:cs="Arial"/>
        </w:rPr>
        <w:t xml:space="preserve"> test. </w:t>
      </w:r>
      <w:r w:rsidR="0075774B" w:rsidRPr="00B66A1B">
        <w:rPr>
          <w:rFonts w:ascii="Arial" w:hAnsi="Arial" w:cs="Arial"/>
        </w:rPr>
        <w:t xml:space="preserve">Mixed linear modelling (MLM) was conducted with 2017, 2018, and 2019 as fixed factors, and individual players as random factors. Where significance was observed between fixed factors, Bonferroni post-hoc tests were used for pairwise comparisons. </w:t>
      </w:r>
    </w:p>
    <w:p w14:paraId="3FA6F6E5" w14:textId="2AA4CA85" w:rsidR="00CD0291" w:rsidRPr="00B66A1B" w:rsidRDefault="007B58CA" w:rsidP="00F03707">
      <w:pPr>
        <w:spacing w:line="480" w:lineRule="auto"/>
        <w:jc w:val="both"/>
        <w:rPr>
          <w:rFonts w:ascii="Arial" w:hAnsi="Arial" w:cs="Arial"/>
          <w:b/>
        </w:rPr>
      </w:pPr>
      <w:r w:rsidRPr="00B66A1B">
        <w:rPr>
          <w:rFonts w:ascii="Arial" w:hAnsi="Arial" w:cs="Arial"/>
        </w:rPr>
        <w:t>S</w:t>
      </w:r>
      <w:r w:rsidR="00CD0291" w:rsidRPr="00B66A1B">
        <w:rPr>
          <w:rFonts w:ascii="Arial" w:hAnsi="Arial" w:cs="Arial"/>
        </w:rPr>
        <w:t>tepwise multiple linear regressions were conducted</w:t>
      </w:r>
      <w:r w:rsidR="0030390C" w:rsidRPr="00B66A1B">
        <w:rPr>
          <w:rFonts w:ascii="Arial" w:hAnsi="Arial" w:cs="Arial"/>
        </w:rPr>
        <w:t xml:space="preserve"> </w:t>
      </w:r>
      <w:r w:rsidRPr="00B66A1B">
        <w:rPr>
          <w:rFonts w:ascii="Arial" w:hAnsi="Arial" w:cs="Arial"/>
        </w:rPr>
        <w:t>for each season</w:t>
      </w:r>
      <w:r w:rsidR="00CD0291" w:rsidRPr="00B66A1B">
        <w:rPr>
          <w:rFonts w:ascii="Arial" w:hAnsi="Arial" w:cs="Arial"/>
        </w:rPr>
        <w:t xml:space="preserve"> with </w:t>
      </w:r>
      <w:r w:rsidR="006B6DE5" w:rsidRPr="00B66A1B">
        <w:rPr>
          <w:rFonts w:ascii="Arial" w:hAnsi="Arial" w:cs="Arial"/>
        </w:rPr>
        <w:t>par three</w:t>
      </w:r>
      <w:r w:rsidR="00960975" w:rsidRPr="00B66A1B">
        <w:rPr>
          <w:rFonts w:ascii="Arial" w:hAnsi="Arial" w:cs="Arial"/>
        </w:rPr>
        <w:t xml:space="preserve"> average score, </w:t>
      </w:r>
      <w:r w:rsidR="006B6DE5" w:rsidRPr="00B66A1B">
        <w:rPr>
          <w:rFonts w:ascii="Arial" w:hAnsi="Arial" w:cs="Arial"/>
        </w:rPr>
        <w:t>par four</w:t>
      </w:r>
      <w:r w:rsidR="00960975" w:rsidRPr="00B66A1B">
        <w:rPr>
          <w:rFonts w:ascii="Arial" w:hAnsi="Arial" w:cs="Arial"/>
        </w:rPr>
        <w:t xml:space="preserve"> average score, and </w:t>
      </w:r>
      <w:r w:rsidR="006B6DE5" w:rsidRPr="00B66A1B">
        <w:rPr>
          <w:rFonts w:ascii="Arial" w:hAnsi="Arial" w:cs="Arial"/>
        </w:rPr>
        <w:t>par five</w:t>
      </w:r>
      <w:r w:rsidR="00960975" w:rsidRPr="00B66A1B">
        <w:rPr>
          <w:rFonts w:ascii="Arial" w:hAnsi="Arial" w:cs="Arial"/>
        </w:rPr>
        <w:t xml:space="preserve"> average score </w:t>
      </w:r>
      <w:r w:rsidR="0030390C" w:rsidRPr="00B66A1B">
        <w:rPr>
          <w:rFonts w:ascii="Arial" w:hAnsi="Arial" w:cs="Arial"/>
        </w:rPr>
        <w:t xml:space="preserve">as the </w:t>
      </w:r>
      <w:r w:rsidR="00CD0291" w:rsidRPr="00B66A1B">
        <w:rPr>
          <w:rFonts w:ascii="Arial" w:hAnsi="Arial" w:cs="Arial"/>
        </w:rPr>
        <w:t>dependent variable.</w:t>
      </w:r>
      <w:r w:rsidR="00D55857" w:rsidRPr="00B66A1B">
        <w:rPr>
          <w:rFonts w:ascii="Arial" w:hAnsi="Arial" w:cs="Arial"/>
        </w:rPr>
        <w:t xml:space="preserve"> </w:t>
      </w:r>
      <w:r w:rsidR="00757968" w:rsidRPr="00B66A1B">
        <w:rPr>
          <w:rFonts w:ascii="Arial" w:hAnsi="Arial" w:cs="Arial"/>
        </w:rPr>
        <w:t xml:space="preserve">Variables were removed from the regression calculation if they displayed high collinearity, as determined through a variable impact factor (VIF) (whether one predictor in the model has a relationship with another predictor) &gt; </w:t>
      </w:r>
      <w:r w:rsidR="000802E5" w:rsidRPr="00B66A1B">
        <w:rPr>
          <w:rFonts w:ascii="Arial" w:hAnsi="Arial" w:cs="Arial"/>
        </w:rPr>
        <w:t>10</w:t>
      </w:r>
      <w:r w:rsidR="00757968" w:rsidRPr="00B66A1B">
        <w:rPr>
          <w:rFonts w:ascii="Arial" w:hAnsi="Arial" w:cs="Arial"/>
        </w:rPr>
        <w:t xml:space="preserve"> or a tolerance (the reciprocal of VIF) of &lt;</w:t>
      </w:r>
      <w:r w:rsidR="002E077D" w:rsidRPr="00B66A1B">
        <w:rPr>
          <w:rFonts w:ascii="Arial" w:hAnsi="Arial" w:cs="Arial"/>
        </w:rPr>
        <w:t xml:space="preserve"> </w:t>
      </w:r>
      <w:r w:rsidR="00757968" w:rsidRPr="00B66A1B">
        <w:rPr>
          <w:rFonts w:ascii="Arial" w:hAnsi="Arial" w:cs="Arial"/>
        </w:rPr>
        <w:t xml:space="preserve">0.2 </w:t>
      </w:r>
      <w:r w:rsidR="00B66A1B">
        <w:rPr>
          <w:rFonts w:ascii="Arial" w:hAnsi="Arial" w:cs="Arial"/>
        </w:rPr>
        <w:t>(Field, 2013)</w:t>
      </w:r>
      <w:r w:rsidR="00757968" w:rsidRPr="00B66A1B">
        <w:rPr>
          <w:rFonts w:ascii="Arial" w:hAnsi="Arial" w:cs="Arial"/>
        </w:rPr>
        <w:t>.</w:t>
      </w:r>
      <w:r w:rsidR="0075774B" w:rsidRPr="00B66A1B">
        <w:rPr>
          <w:rFonts w:ascii="Arial" w:hAnsi="Arial" w:cs="Arial"/>
        </w:rPr>
        <w:t xml:space="preserve"> </w:t>
      </w:r>
      <w:r w:rsidR="00CD0291" w:rsidRPr="00B66A1B">
        <w:rPr>
          <w:rFonts w:ascii="Arial" w:hAnsi="Arial" w:cs="Arial"/>
        </w:rPr>
        <w:t xml:space="preserve">The same independent variables were used for </w:t>
      </w:r>
      <w:r w:rsidR="00D64B2D" w:rsidRPr="00B66A1B">
        <w:rPr>
          <w:rFonts w:ascii="Arial" w:hAnsi="Arial" w:cs="Arial"/>
        </w:rPr>
        <w:t>the par four and par five</w:t>
      </w:r>
      <w:r w:rsidR="00CD0291" w:rsidRPr="00B66A1B">
        <w:rPr>
          <w:rFonts w:ascii="Arial" w:hAnsi="Arial" w:cs="Arial"/>
        </w:rPr>
        <w:t xml:space="preserve"> regression calculation</w:t>
      </w:r>
      <w:r w:rsidR="00D64B2D" w:rsidRPr="00B66A1B">
        <w:rPr>
          <w:rFonts w:ascii="Arial" w:hAnsi="Arial" w:cs="Arial"/>
        </w:rPr>
        <w:t>s</w:t>
      </w:r>
      <w:r w:rsidR="00CD0291" w:rsidRPr="00B66A1B">
        <w:rPr>
          <w:rFonts w:ascii="Arial" w:hAnsi="Arial" w:cs="Arial"/>
        </w:rPr>
        <w:t xml:space="preserve">, </w:t>
      </w:r>
      <w:r w:rsidR="00CD0291" w:rsidRPr="00B66A1B">
        <w:rPr>
          <w:rFonts w:ascii="Arial" w:hAnsi="Arial" w:cs="Arial"/>
        </w:rPr>
        <w:lastRenderedPageBreak/>
        <w:t>the</w:t>
      </w:r>
      <w:r w:rsidR="00D64B2D" w:rsidRPr="00B66A1B">
        <w:rPr>
          <w:rFonts w:ascii="Arial" w:hAnsi="Arial" w:cs="Arial"/>
        </w:rPr>
        <w:t>se</w:t>
      </w:r>
      <w:r w:rsidR="00CD0291" w:rsidRPr="00B66A1B">
        <w:rPr>
          <w:rFonts w:ascii="Arial" w:hAnsi="Arial" w:cs="Arial"/>
        </w:rPr>
        <w:t xml:space="preserve"> were: </w:t>
      </w:r>
      <w:r w:rsidR="00A658B1" w:rsidRPr="00B66A1B">
        <w:rPr>
          <w:rFonts w:ascii="Arial" w:hAnsi="Arial" w:cs="Arial"/>
        </w:rPr>
        <w:t>DA, which represents the number of fairways hit</w:t>
      </w:r>
      <w:r w:rsidR="00E27D4B" w:rsidRPr="00B66A1B">
        <w:rPr>
          <w:rFonts w:ascii="Arial" w:hAnsi="Arial" w:cs="Arial"/>
        </w:rPr>
        <w:t xml:space="preserve"> (%); </w:t>
      </w:r>
      <w:r w:rsidR="00A658B1" w:rsidRPr="00B66A1B">
        <w:rPr>
          <w:rFonts w:ascii="Arial" w:hAnsi="Arial" w:cs="Arial"/>
        </w:rPr>
        <w:t>DD</w:t>
      </w:r>
      <w:r w:rsidR="00915B52" w:rsidRPr="00B66A1B">
        <w:rPr>
          <w:rFonts w:ascii="Arial" w:hAnsi="Arial" w:cs="Arial"/>
        </w:rPr>
        <w:t xml:space="preserve"> (yards)</w:t>
      </w:r>
      <w:r w:rsidR="00E27D4B" w:rsidRPr="00B66A1B">
        <w:rPr>
          <w:rFonts w:ascii="Arial" w:hAnsi="Arial" w:cs="Arial"/>
        </w:rPr>
        <w:t xml:space="preserve">; GIR; scramble %; sand save %; </w:t>
      </w:r>
      <w:r w:rsidR="00960975" w:rsidRPr="00B66A1B">
        <w:rPr>
          <w:rFonts w:ascii="Arial" w:hAnsi="Arial" w:cs="Arial"/>
        </w:rPr>
        <w:t xml:space="preserve">and </w:t>
      </w:r>
      <w:r w:rsidR="00E27D4B" w:rsidRPr="00B66A1B">
        <w:rPr>
          <w:rFonts w:ascii="Arial" w:hAnsi="Arial" w:cs="Arial"/>
        </w:rPr>
        <w:t>putts per round</w:t>
      </w:r>
      <w:r w:rsidR="0075774B" w:rsidRPr="00B66A1B">
        <w:rPr>
          <w:rFonts w:ascii="Arial" w:hAnsi="Arial" w:cs="Arial"/>
        </w:rPr>
        <w:t>.</w:t>
      </w:r>
      <w:r w:rsidR="00CE59EE" w:rsidRPr="00B66A1B">
        <w:rPr>
          <w:rFonts w:ascii="Arial" w:hAnsi="Arial" w:cs="Arial"/>
        </w:rPr>
        <w:t xml:space="preserve"> DA was removed for the par three regression</w:t>
      </w:r>
      <w:r w:rsidR="001E2564" w:rsidRPr="00B66A1B">
        <w:rPr>
          <w:rFonts w:ascii="Arial" w:hAnsi="Arial" w:cs="Arial"/>
        </w:rPr>
        <w:t>s</w:t>
      </w:r>
      <w:r w:rsidR="00C95AB6" w:rsidRPr="00B66A1B">
        <w:rPr>
          <w:rFonts w:ascii="Arial" w:hAnsi="Arial" w:cs="Arial"/>
        </w:rPr>
        <w:t xml:space="preserve"> as it was not relevant because of the length of the holes and it was also covered by GIR,</w:t>
      </w:r>
      <w:r w:rsidR="00CE59EE" w:rsidRPr="00B66A1B">
        <w:rPr>
          <w:rFonts w:ascii="Arial" w:hAnsi="Arial" w:cs="Arial"/>
        </w:rPr>
        <w:t xml:space="preserve"> but all other independent variables were included. DD was included for the par three analysis as although par three holes will not require a maximum distance tee shot with a driver, longer hitters have higher </w:t>
      </w:r>
      <w:r w:rsidR="001E2564" w:rsidRPr="00B66A1B">
        <w:rPr>
          <w:rFonts w:ascii="Arial" w:hAnsi="Arial" w:cs="Arial"/>
        </w:rPr>
        <w:t>clubhead speeds</w:t>
      </w:r>
      <w:r w:rsidR="00CE59EE" w:rsidRPr="00B66A1B">
        <w:rPr>
          <w:rFonts w:ascii="Arial" w:hAnsi="Arial" w:cs="Arial"/>
        </w:rPr>
        <w:t xml:space="preserve"> and will need to</w:t>
      </w:r>
      <w:r w:rsidR="00EF49ED" w:rsidRPr="00B66A1B">
        <w:rPr>
          <w:rFonts w:ascii="Arial" w:hAnsi="Arial" w:cs="Arial"/>
        </w:rPr>
        <w:t xml:space="preserve"> </w:t>
      </w:r>
      <w:r w:rsidR="00CE59EE" w:rsidRPr="00B66A1B">
        <w:rPr>
          <w:rFonts w:ascii="Arial" w:hAnsi="Arial" w:cs="Arial"/>
        </w:rPr>
        <w:t>hit “less club” for their approaches to par three</w:t>
      </w:r>
      <w:r w:rsidR="001E2564" w:rsidRPr="00B66A1B">
        <w:rPr>
          <w:rFonts w:ascii="Arial" w:hAnsi="Arial" w:cs="Arial"/>
        </w:rPr>
        <w:t xml:space="preserve"> holes</w:t>
      </w:r>
      <w:r w:rsidR="00CE59EE" w:rsidRPr="00B66A1B">
        <w:rPr>
          <w:rFonts w:ascii="Arial" w:hAnsi="Arial" w:cs="Arial"/>
        </w:rPr>
        <w:t xml:space="preserve"> compared to shorter hitters.</w:t>
      </w:r>
      <w:r w:rsidR="00E27D4B" w:rsidRPr="00B66A1B">
        <w:rPr>
          <w:rFonts w:ascii="Arial" w:hAnsi="Arial" w:cs="Arial"/>
        </w:rPr>
        <w:t xml:space="preserve"> </w:t>
      </w:r>
      <w:r w:rsidR="00CD0291" w:rsidRPr="00B66A1B">
        <w:rPr>
          <w:rFonts w:ascii="Arial" w:hAnsi="Arial" w:cs="Arial"/>
        </w:rPr>
        <w:t xml:space="preserve">An alpha level of p </w:t>
      </w:r>
      <w:r w:rsidR="00CD0291" w:rsidRPr="00B66A1B">
        <w:rPr>
          <w:rFonts w:ascii="Arial" w:hAnsi="Arial" w:cs="Arial"/>
          <w:u w:val="single"/>
        </w:rPr>
        <w:t>&lt;</w:t>
      </w:r>
      <w:r w:rsidR="00CD0291" w:rsidRPr="00B66A1B">
        <w:rPr>
          <w:rFonts w:ascii="Arial" w:hAnsi="Arial" w:cs="Arial"/>
        </w:rPr>
        <w:t xml:space="preserve">0.05 was set for statistical significance with 95% confidence intervals reported. Cohen’s </w:t>
      </w:r>
      <w:r w:rsidR="00CD0291" w:rsidRPr="00B66A1B">
        <w:rPr>
          <w:rFonts w:ascii="Arial" w:hAnsi="Arial" w:cs="Arial"/>
          <w:i/>
        </w:rPr>
        <w:t>d</w:t>
      </w:r>
      <w:r w:rsidR="00CD0291" w:rsidRPr="00B66A1B">
        <w:rPr>
          <w:rFonts w:ascii="Arial" w:hAnsi="Arial" w:cs="Arial"/>
        </w:rPr>
        <w:t xml:space="preserve"> effect sizes</w:t>
      </w:r>
      <w:r w:rsidR="00795E67" w:rsidRPr="00B66A1B">
        <w:rPr>
          <w:rFonts w:ascii="Arial" w:hAnsi="Arial" w:cs="Arial"/>
        </w:rPr>
        <w:t xml:space="preserve"> (ES)</w:t>
      </w:r>
      <w:r w:rsidR="00CD0291" w:rsidRPr="00B66A1B">
        <w:rPr>
          <w:rFonts w:ascii="Arial" w:hAnsi="Arial" w:cs="Arial"/>
        </w:rPr>
        <w:t xml:space="preserve"> were calculated</w:t>
      </w:r>
      <w:r w:rsidR="00020453" w:rsidRPr="00B66A1B">
        <w:rPr>
          <w:rFonts w:ascii="Arial" w:hAnsi="Arial" w:cs="Arial"/>
        </w:rPr>
        <w:t xml:space="preserve"> with 95% confidence intervals (CI)</w:t>
      </w:r>
      <w:r w:rsidR="00CD0291" w:rsidRPr="00B66A1B">
        <w:rPr>
          <w:rFonts w:ascii="Arial" w:hAnsi="Arial" w:cs="Arial"/>
        </w:rPr>
        <w:t xml:space="preserve"> with the following threshold values: ≥0.2 = small, ≥0.5 = moderate, ≥0.8= large </w:t>
      </w:r>
      <w:r w:rsidR="00B66A1B">
        <w:rPr>
          <w:rFonts w:ascii="Arial" w:hAnsi="Arial" w:cs="Arial"/>
        </w:rPr>
        <w:t>(Cohen, 1977)</w:t>
      </w:r>
      <w:r w:rsidR="00CE59EE" w:rsidRPr="00B66A1B">
        <w:rPr>
          <w:rFonts w:ascii="Arial" w:hAnsi="Arial" w:cs="Arial"/>
        </w:rPr>
        <w:t xml:space="preserve"> for MLMs. Cohen’s </w:t>
      </w:r>
      <w:r w:rsidR="00CE59EE" w:rsidRPr="00B66A1B">
        <w:rPr>
          <w:rFonts w:ascii="Arial" w:hAnsi="Arial" w:cs="Arial"/>
          <w:i/>
        </w:rPr>
        <w:t>f</w:t>
      </w:r>
      <w:r w:rsidR="00CE59EE" w:rsidRPr="00B66A1B">
        <w:rPr>
          <w:rFonts w:ascii="Arial" w:hAnsi="Arial" w:cs="Arial"/>
          <w:vertAlign w:val="superscript"/>
        </w:rPr>
        <w:t xml:space="preserve">2 </w:t>
      </w:r>
      <w:r w:rsidR="00CE59EE" w:rsidRPr="00B66A1B">
        <w:rPr>
          <w:rFonts w:ascii="Arial" w:hAnsi="Arial" w:cs="Arial"/>
        </w:rPr>
        <w:t xml:space="preserve">effect sizes were calculated for multiple regressions with the same thresholds </w:t>
      </w:r>
      <w:r w:rsidR="00B66A1B">
        <w:rPr>
          <w:rFonts w:ascii="Arial" w:hAnsi="Arial" w:cs="Arial"/>
        </w:rPr>
        <w:t>(Cohen, 1977)</w:t>
      </w:r>
      <w:r w:rsidR="00CE59EE" w:rsidRPr="00B66A1B">
        <w:rPr>
          <w:rFonts w:ascii="Arial" w:hAnsi="Arial" w:cs="Arial"/>
        </w:rPr>
        <w:t>.</w:t>
      </w:r>
    </w:p>
    <w:p w14:paraId="035A72F8" w14:textId="5E565FEE" w:rsidR="00F518E3" w:rsidRPr="00B66A1B" w:rsidRDefault="000A2755" w:rsidP="000A2755">
      <w:pPr>
        <w:pStyle w:val="ListParagraph"/>
        <w:numPr>
          <w:ilvl w:val="0"/>
          <w:numId w:val="10"/>
        </w:numPr>
        <w:spacing w:line="480" w:lineRule="auto"/>
        <w:jc w:val="both"/>
        <w:rPr>
          <w:rFonts w:ascii="Arial" w:hAnsi="Arial" w:cs="Arial"/>
          <w:b/>
          <w:iCs/>
        </w:rPr>
      </w:pPr>
      <w:r w:rsidRPr="00B66A1B">
        <w:rPr>
          <w:rFonts w:ascii="Arial" w:hAnsi="Arial" w:cs="Arial"/>
          <w:b/>
          <w:iCs/>
        </w:rPr>
        <w:t xml:space="preserve"> </w:t>
      </w:r>
      <w:r w:rsidR="00CD0291" w:rsidRPr="00B66A1B">
        <w:rPr>
          <w:rFonts w:ascii="Arial" w:hAnsi="Arial" w:cs="Arial"/>
          <w:b/>
          <w:iCs/>
        </w:rPr>
        <w:t>Results</w:t>
      </w:r>
    </w:p>
    <w:p w14:paraId="3FF93FB4" w14:textId="0B2F6BF2" w:rsidR="00795E67" w:rsidRPr="00B66A1B" w:rsidRDefault="006C36F0" w:rsidP="00F03707">
      <w:pPr>
        <w:spacing w:line="480" w:lineRule="auto"/>
        <w:jc w:val="both"/>
        <w:rPr>
          <w:rFonts w:ascii="Arial" w:hAnsi="Arial" w:cs="Arial"/>
        </w:rPr>
      </w:pPr>
      <w:r w:rsidRPr="00B66A1B">
        <w:rPr>
          <w:rFonts w:ascii="Arial" w:hAnsi="Arial" w:cs="Arial"/>
        </w:rPr>
        <w:t>Data from the 2017</w:t>
      </w:r>
      <w:r w:rsidR="00757968" w:rsidRPr="00B66A1B">
        <w:rPr>
          <w:rFonts w:ascii="Arial" w:hAnsi="Arial" w:cs="Arial"/>
        </w:rPr>
        <w:t xml:space="preserve">, </w:t>
      </w:r>
      <w:r w:rsidRPr="00B66A1B">
        <w:rPr>
          <w:rFonts w:ascii="Arial" w:hAnsi="Arial" w:cs="Arial"/>
        </w:rPr>
        <w:t>2018</w:t>
      </w:r>
      <w:r w:rsidR="00757968" w:rsidRPr="00B66A1B">
        <w:rPr>
          <w:rFonts w:ascii="Arial" w:hAnsi="Arial" w:cs="Arial"/>
        </w:rPr>
        <w:t>, and 2019</w:t>
      </w:r>
      <w:r w:rsidRPr="00B66A1B">
        <w:rPr>
          <w:rFonts w:ascii="Arial" w:hAnsi="Arial" w:cs="Arial"/>
        </w:rPr>
        <w:t xml:space="preserve"> seasons and results from </w:t>
      </w:r>
      <w:r w:rsidR="00757968" w:rsidRPr="00B66A1B">
        <w:rPr>
          <w:rFonts w:ascii="Arial" w:hAnsi="Arial" w:cs="Arial"/>
        </w:rPr>
        <w:t xml:space="preserve">the </w:t>
      </w:r>
      <w:r w:rsidR="006C4DFC" w:rsidRPr="00B66A1B">
        <w:rPr>
          <w:rFonts w:ascii="Arial" w:hAnsi="Arial" w:cs="Arial"/>
        </w:rPr>
        <w:t>MLM</w:t>
      </w:r>
      <w:r w:rsidR="00E234EF" w:rsidRPr="00B66A1B">
        <w:rPr>
          <w:rFonts w:ascii="Arial" w:hAnsi="Arial" w:cs="Arial"/>
        </w:rPr>
        <w:t xml:space="preserve"> are reported in Table 1.</w:t>
      </w:r>
      <w:r w:rsidR="00757968" w:rsidRPr="00B66A1B">
        <w:rPr>
          <w:rFonts w:ascii="Arial" w:hAnsi="Arial" w:cs="Arial"/>
        </w:rPr>
        <w:t xml:space="preserve"> </w:t>
      </w:r>
      <w:r w:rsidR="00294BE6" w:rsidRPr="00B66A1B">
        <w:rPr>
          <w:rFonts w:ascii="Arial" w:hAnsi="Arial" w:cs="Arial"/>
        </w:rPr>
        <w:t>ES</w:t>
      </w:r>
      <w:r w:rsidR="00E234EF" w:rsidRPr="00B66A1B">
        <w:rPr>
          <w:rFonts w:ascii="Arial" w:hAnsi="Arial" w:cs="Arial"/>
        </w:rPr>
        <w:t xml:space="preserve"> are displayed in Figure 1</w:t>
      </w:r>
      <w:r w:rsidRPr="00B66A1B">
        <w:rPr>
          <w:rFonts w:ascii="Arial" w:hAnsi="Arial" w:cs="Arial"/>
        </w:rPr>
        <w:t>.</w:t>
      </w:r>
      <w:r w:rsidR="00926909" w:rsidRPr="00B66A1B">
        <w:rPr>
          <w:rFonts w:ascii="Arial" w:hAnsi="Arial" w:cs="Arial"/>
        </w:rPr>
        <w:t xml:space="preserve"> </w:t>
      </w:r>
      <w:r w:rsidR="00757968" w:rsidRPr="00B66A1B">
        <w:rPr>
          <w:rFonts w:ascii="Arial" w:hAnsi="Arial" w:cs="Arial"/>
        </w:rPr>
        <w:t>No statistically significant</w:t>
      </w:r>
      <w:r w:rsidR="002E077D" w:rsidRPr="00B66A1B">
        <w:rPr>
          <w:rFonts w:ascii="Arial" w:hAnsi="Arial" w:cs="Arial"/>
        </w:rPr>
        <w:t xml:space="preserve"> </w:t>
      </w:r>
      <w:r w:rsidR="00757968" w:rsidRPr="00B66A1B">
        <w:rPr>
          <w:rFonts w:ascii="Arial" w:hAnsi="Arial" w:cs="Arial"/>
        </w:rPr>
        <w:t xml:space="preserve">differences were observed for </w:t>
      </w:r>
      <w:r w:rsidR="00A658B1" w:rsidRPr="00B66A1B">
        <w:rPr>
          <w:rFonts w:ascii="Arial" w:hAnsi="Arial" w:cs="Arial"/>
        </w:rPr>
        <w:t>DA</w:t>
      </w:r>
      <w:r w:rsidR="00757968" w:rsidRPr="00B66A1B">
        <w:rPr>
          <w:rFonts w:ascii="Arial" w:hAnsi="Arial" w:cs="Arial"/>
        </w:rPr>
        <w:t>, GIR, or putts per</w:t>
      </w:r>
      <w:r w:rsidR="001427FD" w:rsidRPr="00B66A1B">
        <w:rPr>
          <w:rFonts w:ascii="Arial" w:hAnsi="Arial" w:cs="Arial"/>
        </w:rPr>
        <w:t xml:space="preserve"> </w:t>
      </w:r>
      <w:r w:rsidR="00A658B1" w:rsidRPr="00B66A1B">
        <w:rPr>
          <w:rFonts w:ascii="Arial" w:hAnsi="Arial" w:cs="Arial"/>
        </w:rPr>
        <w:t xml:space="preserve">round </w:t>
      </w:r>
      <w:r w:rsidR="001427FD" w:rsidRPr="00B66A1B">
        <w:rPr>
          <w:rFonts w:ascii="Arial" w:hAnsi="Arial" w:cs="Arial"/>
        </w:rPr>
        <w:t>(p</w:t>
      </w:r>
      <w:r w:rsidR="00E234EF" w:rsidRPr="00B66A1B">
        <w:rPr>
          <w:rFonts w:ascii="Arial" w:hAnsi="Arial" w:cs="Arial"/>
        </w:rPr>
        <w:t xml:space="preserve"> </w:t>
      </w:r>
      <w:r w:rsidR="001427FD" w:rsidRPr="00B66A1B">
        <w:rPr>
          <w:rFonts w:ascii="Arial" w:hAnsi="Arial" w:cs="Arial"/>
        </w:rPr>
        <w:t xml:space="preserve">&gt;0.05). </w:t>
      </w:r>
      <w:r w:rsidR="00795E67" w:rsidRPr="00B66A1B">
        <w:rPr>
          <w:rFonts w:ascii="Arial" w:hAnsi="Arial" w:cs="Arial"/>
        </w:rPr>
        <w:t xml:space="preserve">Comparing 2017 and 2018 revealed that </w:t>
      </w:r>
      <w:r w:rsidR="00E234D7" w:rsidRPr="00B66A1B">
        <w:rPr>
          <w:rFonts w:ascii="Arial" w:hAnsi="Arial" w:cs="Arial"/>
        </w:rPr>
        <w:t xml:space="preserve">R2D rank (p &lt;0.01) </w:t>
      </w:r>
      <w:r w:rsidR="006B6DE5" w:rsidRPr="00B66A1B">
        <w:rPr>
          <w:rFonts w:ascii="Arial" w:hAnsi="Arial" w:cs="Arial"/>
        </w:rPr>
        <w:t>par four</w:t>
      </w:r>
      <w:r w:rsidR="00795E67" w:rsidRPr="00B66A1B">
        <w:rPr>
          <w:rFonts w:ascii="Arial" w:hAnsi="Arial" w:cs="Arial"/>
        </w:rPr>
        <w:t xml:space="preserve"> average score (p= 0.01), </w:t>
      </w:r>
      <w:r w:rsidR="006B6DE5" w:rsidRPr="00B66A1B">
        <w:rPr>
          <w:rFonts w:ascii="Arial" w:hAnsi="Arial" w:cs="Arial"/>
        </w:rPr>
        <w:t>par five</w:t>
      </w:r>
      <w:r w:rsidR="00795E67" w:rsidRPr="00B66A1B">
        <w:rPr>
          <w:rFonts w:ascii="Arial" w:hAnsi="Arial" w:cs="Arial"/>
        </w:rPr>
        <w:t xml:space="preserve"> average score (p</w:t>
      </w:r>
      <w:r w:rsidR="00E234EF" w:rsidRPr="00B66A1B">
        <w:rPr>
          <w:rFonts w:ascii="Arial" w:hAnsi="Arial" w:cs="Arial"/>
        </w:rPr>
        <w:t xml:space="preserve"> &lt;0</w:t>
      </w:r>
      <w:r w:rsidR="00795E67" w:rsidRPr="00B66A1B">
        <w:rPr>
          <w:rFonts w:ascii="Arial" w:hAnsi="Arial" w:cs="Arial"/>
        </w:rPr>
        <w:t>.0</w:t>
      </w:r>
      <w:r w:rsidR="00CB2F87" w:rsidRPr="00B66A1B">
        <w:rPr>
          <w:rFonts w:ascii="Arial" w:hAnsi="Arial" w:cs="Arial"/>
        </w:rPr>
        <w:t>1</w:t>
      </w:r>
      <w:r w:rsidR="00795E67" w:rsidRPr="00B66A1B">
        <w:rPr>
          <w:rFonts w:ascii="Arial" w:hAnsi="Arial" w:cs="Arial"/>
        </w:rPr>
        <w:t>),</w:t>
      </w:r>
      <w:r w:rsidR="00ED5A02" w:rsidRPr="00B66A1B">
        <w:rPr>
          <w:rFonts w:ascii="Arial" w:hAnsi="Arial" w:cs="Arial"/>
        </w:rPr>
        <w:t xml:space="preserve"> DD (p</w:t>
      </w:r>
      <w:r w:rsidR="002E791E" w:rsidRPr="00B66A1B">
        <w:rPr>
          <w:rFonts w:ascii="Arial" w:hAnsi="Arial" w:cs="Arial"/>
        </w:rPr>
        <w:t xml:space="preserve"> </w:t>
      </w:r>
      <w:r w:rsidR="00ED5A02" w:rsidRPr="00B66A1B">
        <w:rPr>
          <w:rFonts w:ascii="Arial" w:hAnsi="Arial" w:cs="Arial"/>
        </w:rPr>
        <w:t>&lt;0.01)</w:t>
      </w:r>
      <w:r w:rsidR="00795E67" w:rsidRPr="00B66A1B">
        <w:rPr>
          <w:rFonts w:ascii="Arial" w:hAnsi="Arial" w:cs="Arial"/>
        </w:rPr>
        <w:t xml:space="preserve"> scramble</w:t>
      </w:r>
      <w:r w:rsidR="00A53C99" w:rsidRPr="00B66A1B">
        <w:rPr>
          <w:rFonts w:ascii="Arial" w:hAnsi="Arial" w:cs="Arial"/>
        </w:rPr>
        <w:t xml:space="preserve"> </w:t>
      </w:r>
      <w:r w:rsidR="00A658B1" w:rsidRPr="00B66A1B">
        <w:rPr>
          <w:rFonts w:ascii="Arial" w:hAnsi="Arial" w:cs="Arial"/>
        </w:rPr>
        <w:t>%</w:t>
      </w:r>
      <w:r w:rsidR="00A53C99" w:rsidRPr="00B66A1B">
        <w:rPr>
          <w:rFonts w:ascii="Arial" w:hAnsi="Arial" w:cs="Arial"/>
        </w:rPr>
        <w:t xml:space="preserve"> </w:t>
      </w:r>
      <w:r w:rsidR="00795E67" w:rsidRPr="00B66A1B">
        <w:rPr>
          <w:rFonts w:ascii="Arial" w:hAnsi="Arial" w:cs="Arial"/>
        </w:rPr>
        <w:t>(p &lt;0.0</w:t>
      </w:r>
      <w:r w:rsidR="00CB2F87" w:rsidRPr="00B66A1B">
        <w:rPr>
          <w:rFonts w:ascii="Arial" w:hAnsi="Arial" w:cs="Arial"/>
        </w:rPr>
        <w:t>1</w:t>
      </w:r>
      <w:r w:rsidR="00795E67" w:rsidRPr="00B66A1B">
        <w:rPr>
          <w:rFonts w:ascii="Arial" w:hAnsi="Arial" w:cs="Arial"/>
        </w:rPr>
        <w:t>),</w:t>
      </w:r>
      <w:r w:rsidR="00A53C99" w:rsidRPr="00B66A1B">
        <w:rPr>
          <w:rFonts w:ascii="Arial" w:hAnsi="Arial" w:cs="Arial"/>
        </w:rPr>
        <w:t xml:space="preserve"> and</w:t>
      </w:r>
      <w:r w:rsidR="00795E67" w:rsidRPr="00B66A1B">
        <w:rPr>
          <w:rFonts w:ascii="Arial" w:hAnsi="Arial" w:cs="Arial"/>
        </w:rPr>
        <w:t xml:space="preserve"> sand save</w:t>
      </w:r>
      <w:r w:rsidR="00A658B1" w:rsidRPr="00B66A1B">
        <w:rPr>
          <w:rFonts w:ascii="Arial" w:hAnsi="Arial" w:cs="Arial"/>
        </w:rPr>
        <w:t xml:space="preserve"> %</w:t>
      </w:r>
      <w:r w:rsidR="00795E67" w:rsidRPr="00B66A1B">
        <w:rPr>
          <w:rFonts w:ascii="Arial" w:hAnsi="Arial" w:cs="Arial"/>
        </w:rPr>
        <w:t xml:space="preserve"> (p &lt;0.0</w:t>
      </w:r>
      <w:r w:rsidR="00CB2F87" w:rsidRPr="00B66A1B">
        <w:rPr>
          <w:rFonts w:ascii="Arial" w:hAnsi="Arial" w:cs="Arial"/>
        </w:rPr>
        <w:t>1</w:t>
      </w:r>
      <w:r w:rsidR="00795E67" w:rsidRPr="00B66A1B">
        <w:rPr>
          <w:rFonts w:ascii="Arial" w:hAnsi="Arial" w:cs="Arial"/>
        </w:rPr>
        <w:t>) all showed significant differences. Effect sizes were small or moderate, except scramble which was large (ES</w:t>
      </w:r>
      <w:r w:rsidR="00E234EF" w:rsidRPr="00B66A1B">
        <w:rPr>
          <w:rFonts w:ascii="Arial" w:hAnsi="Arial" w:cs="Arial"/>
        </w:rPr>
        <w:t>=</w:t>
      </w:r>
      <w:r w:rsidR="00795E67" w:rsidRPr="00B66A1B">
        <w:rPr>
          <w:rFonts w:ascii="Arial" w:hAnsi="Arial" w:cs="Arial"/>
        </w:rPr>
        <w:t xml:space="preserve"> -3.01) and sand save</w:t>
      </w:r>
      <w:r w:rsidR="00A658B1" w:rsidRPr="00B66A1B">
        <w:rPr>
          <w:rFonts w:ascii="Arial" w:hAnsi="Arial" w:cs="Arial"/>
        </w:rPr>
        <w:t>s %</w:t>
      </w:r>
      <w:r w:rsidR="00795E67" w:rsidRPr="00B66A1B">
        <w:rPr>
          <w:rFonts w:ascii="Arial" w:hAnsi="Arial" w:cs="Arial"/>
        </w:rPr>
        <w:t xml:space="preserve"> (ES= 1.00). Comparing 2018 and 2019 revealed differences in par </w:t>
      </w:r>
      <w:r w:rsidR="00A53C99" w:rsidRPr="00B66A1B">
        <w:rPr>
          <w:rFonts w:ascii="Arial" w:hAnsi="Arial" w:cs="Arial"/>
        </w:rPr>
        <w:t>three</w:t>
      </w:r>
      <w:r w:rsidR="00795E67" w:rsidRPr="00B66A1B">
        <w:rPr>
          <w:rFonts w:ascii="Arial" w:hAnsi="Arial" w:cs="Arial"/>
        </w:rPr>
        <w:t xml:space="preserve"> (p= 0.02), </w:t>
      </w:r>
      <w:r w:rsidR="00A53C99" w:rsidRPr="00B66A1B">
        <w:rPr>
          <w:rFonts w:ascii="Arial" w:hAnsi="Arial" w:cs="Arial"/>
        </w:rPr>
        <w:t>four</w:t>
      </w:r>
      <w:r w:rsidR="00795E67" w:rsidRPr="00B66A1B">
        <w:rPr>
          <w:rFonts w:ascii="Arial" w:hAnsi="Arial" w:cs="Arial"/>
        </w:rPr>
        <w:t xml:space="preserve"> (p= 0.01), and </w:t>
      </w:r>
      <w:r w:rsidR="00A53C99" w:rsidRPr="00B66A1B">
        <w:rPr>
          <w:rFonts w:ascii="Arial" w:hAnsi="Arial" w:cs="Arial"/>
        </w:rPr>
        <w:t>five</w:t>
      </w:r>
      <w:r w:rsidR="00795E67" w:rsidRPr="00B66A1B">
        <w:rPr>
          <w:rFonts w:ascii="Arial" w:hAnsi="Arial" w:cs="Arial"/>
        </w:rPr>
        <w:t xml:space="preserve"> average score (p &lt;0.0</w:t>
      </w:r>
      <w:r w:rsidR="00CB2F87" w:rsidRPr="00B66A1B">
        <w:rPr>
          <w:rFonts w:ascii="Arial" w:hAnsi="Arial" w:cs="Arial"/>
        </w:rPr>
        <w:t>1</w:t>
      </w:r>
      <w:r w:rsidR="00795E67" w:rsidRPr="00B66A1B">
        <w:rPr>
          <w:rFonts w:ascii="Arial" w:hAnsi="Arial" w:cs="Arial"/>
        </w:rPr>
        <w:t xml:space="preserve">). Effect sizes were all below 0.5. Comparing 2017 and 2019 revealed differences in </w:t>
      </w:r>
      <w:r w:rsidR="00E234D7" w:rsidRPr="00B66A1B">
        <w:rPr>
          <w:rFonts w:ascii="Arial" w:hAnsi="Arial" w:cs="Arial"/>
        </w:rPr>
        <w:t>R2D rank (p= 0.05)</w:t>
      </w:r>
      <w:r w:rsidR="001F6523" w:rsidRPr="00B66A1B">
        <w:rPr>
          <w:rFonts w:ascii="Arial" w:hAnsi="Arial" w:cs="Arial"/>
        </w:rPr>
        <w:t>,</w:t>
      </w:r>
      <w:r w:rsidR="00E234D7" w:rsidRPr="00B66A1B">
        <w:rPr>
          <w:rFonts w:ascii="Arial" w:hAnsi="Arial" w:cs="Arial"/>
        </w:rPr>
        <w:t xml:space="preserve"> </w:t>
      </w:r>
      <w:r w:rsidR="00A53C99" w:rsidRPr="00B66A1B">
        <w:rPr>
          <w:rFonts w:ascii="Arial" w:hAnsi="Arial" w:cs="Arial"/>
        </w:rPr>
        <w:t>par three score (p= 0.02)</w:t>
      </w:r>
      <w:r w:rsidR="001F6523" w:rsidRPr="00B66A1B">
        <w:rPr>
          <w:rFonts w:ascii="Arial" w:hAnsi="Arial" w:cs="Arial"/>
        </w:rPr>
        <w:t>,</w:t>
      </w:r>
      <w:r w:rsidR="00A53C99" w:rsidRPr="00B66A1B">
        <w:rPr>
          <w:rFonts w:ascii="Arial" w:hAnsi="Arial" w:cs="Arial"/>
        </w:rPr>
        <w:t xml:space="preserve"> </w:t>
      </w:r>
      <w:r w:rsidR="00795E67" w:rsidRPr="00B66A1B">
        <w:rPr>
          <w:rFonts w:ascii="Arial" w:hAnsi="Arial" w:cs="Arial"/>
        </w:rPr>
        <w:t>drive distance (p= 0.01), scramble</w:t>
      </w:r>
      <w:r w:rsidR="00A658B1" w:rsidRPr="00B66A1B">
        <w:rPr>
          <w:rFonts w:ascii="Arial" w:hAnsi="Arial" w:cs="Arial"/>
        </w:rPr>
        <w:t xml:space="preserve"> %</w:t>
      </w:r>
      <w:r w:rsidR="00795E67" w:rsidRPr="00B66A1B">
        <w:rPr>
          <w:rFonts w:ascii="Arial" w:hAnsi="Arial" w:cs="Arial"/>
        </w:rPr>
        <w:t xml:space="preserve"> (p &lt;0.0</w:t>
      </w:r>
      <w:r w:rsidR="00CB2F87" w:rsidRPr="00B66A1B">
        <w:rPr>
          <w:rFonts w:ascii="Arial" w:hAnsi="Arial" w:cs="Arial"/>
        </w:rPr>
        <w:t>1</w:t>
      </w:r>
      <w:r w:rsidR="00795E67" w:rsidRPr="00B66A1B">
        <w:rPr>
          <w:rFonts w:ascii="Arial" w:hAnsi="Arial" w:cs="Arial"/>
        </w:rPr>
        <w:t xml:space="preserve">), </w:t>
      </w:r>
      <w:r w:rsidR="00E234EF" w:rsidRPr="00B66A1B">
        <w:rPr>
          <w:rFonts w:ascii="Arial" w:hAnsi="Arial" w:cs="Arial"/>
        </w:rPr>
        <w:t xml:space="preserve">and </w:t>
      </w:r>
      <w:r w:rsidR="00795E67" w:rsidRPr="00B66A1B">
        <w:rPr>
          <w:rFonts w:ascii="Arial" w:hAnsi="Arial" w:cs="Arial"/>
        </w:rPr>
        <w:t>sand save</w:t>
      </w:r>
      <w:r w:rsidR="00A658B1" w:rsidRPr="00B66A1B">
        <w:rPr>
          <w:rFonts w:ascii="Arial" w:hAnsi="Arial" w:cs="Arial"/>
        </w:rPr>
        <w:t xml:space="preserve"> %</w:t>
      </w:r>
      <w:r w:rsidR="00795E67" w:rsidRPr="00B66A1B">
        <w:rPr>
          <w:rFonts w:ascii="Arial" w:hAnsi="Arial" w:cs="Arial"/>
        </w:rPr>
        <w:t xml:space="preserve"> (p= 0.0</w:t>
      </w:r>
      <w:r w:rsidR="00CB2F87" w:rsidRPr="00B66A1B">
        <w:rPr>
          <w:rFonts w:ascii="Arial" w:hAnsi="Arial" w:cs="Arial"/>
        </w:rPr>
        <w:t>1</w:t>
      </w:r>
      <w:r w:rsidR="00795E67" w:rsidRPr="00B66A1B">
        <w:rPr>
          <w:rFonts w:ascii="Arial" w:hAnsi="Arial" w:cs="Arial"/>
        </w:rPr>
        <w:t>).</w:t>
      </w:r>
      <w:r w:rsidR="00A658B1" w:rsidRPr="00B66A1B">
        <w:rPr>
          <w:rFonts w:ascii="Arial" w:hAnsi="Arial" w:cs="Arial"/>
        </w:rPr>
        <w:t xml:space="preserve"> All effect sizes were </w:t>
      </w:r>
      <w:r w:rsidR="00B055E5">
        <w:rPr>
          <w:rFonts w:ascii="Arial" w:hAnsi="Arial" w:cs="Arial"/>
        </w:rPr>
        <w:t>within ±</w:t>
      </w:r>
      <w:r w:rsidR="00A658B1" w:rsidRPr="00B66A1B">
        <w:rPr>
          <w:rFonts w:ascii="Arial" w:hAnsi="Arial" w:cs="Arial"/>
        </w:rPr>
        <w:t>1.0, except for scramble %, which was -3.19.</w:t>
      </w:r>
    </w:p>
    <w:p w14:paraId="580DAB4A" w14:textId="6E15AD30" w:rsidR="00680F58" w:rsidRPr="00B66A1B" w:rsidRDefault="00680F58" w:rsidP="00F03707">
      <w:pPr>
        <w:spacing w:line="480" w:lineRule="auto"/>
        <w:jc w:val="both"/>
        <w:rPr>
          <w:rFonts w:ascii="Arial" w:hAnsi="Arial" w:cs="Arial"/>
        </w:rPr>
      </w:pPr>
      <w:r w:rsidRPr="00B66A1B">
        <w:rPr>
          <w:rFonts w:ascii="Arial" w:hAnsi="Arial" w:cs="Arial"/>
        </w:rPr>
        <w:t xml:space="preserve">The </w:t>
      </w:r>
      <w:r w:rsidR="00E234EF" w:rsidRPr="00B66A1B">
        <w:rPr>
          <w:rFonts w:ascii="Arial" w:hAnsi="Arial" w:cs="Arial"/>
        </w:rPr>
        <w:t xml:space="preserve">outcomes from the </w:t>
      </w:r>
      <w:r w:rsidRPr="00B66A1B">
        <w:rPr>
          <w:rFonts w:ascii="Arial" w:hAnsi="Arial" w:cs="Arial"/>
        </w:rPr>
        <w:t>stepwise multiple regression</w:t>
      </w:r>
      <w:r w:rsidR="00E234EF" w:rsidRPr="00B66A1B">
        <w:rPr>
          <w:rFonts w:ascii="Arial" w:hAnsi="Arial" w:cs="Arial"/>
        </w:rPr>
        <w:t>s</w:t>
      </w:r>
      <w:r w:rsidRPr="00B66A1B">
        <w:rPr>
          <w:rFonts w:ascii="Arial" w:hAnsi="Arial" w:cs="Arial"/>
        </w:rPr>
        <w:t xml:space="preserve"> </w:t>
      </w:r>
      <w:r w:rsidR="00E234EF" w:rsidRPr="00B66A1B">
        <w:rPr>
          <w:rFonts w:ascii="Arial" w:hAnsi="Arial" w:cs="Arial"/>
        </w:rPr>
        <w:t xml:space="preserve">are displayed in </w:t>
      </w:r>
      <w:r w:rsidR="008F6961" w:rsidRPr="00B66A1B">
        <w:rPr>
          <w:rFonts w:ascii="Arial" w:hAnsi="Arial" w:cs="Arial"/>
        </w:rPr>
        <w:t>Table</w:t>
      </w:r>
      <w:r w:rsidR="00E234EF" w:rsidRPr="00B66A1B">
        <w:rPr>
          <w:rFonts w:ascii="Arial" w:hAnsi="Arial" w:cs="Arial"/>
        </w:rPr>
        <w:t xml:space="preserve"> 2. </w:t>
      </w:r>
    </w:p>
    <w:p w14:paraId="0FDBB67A" w14:textId="6EDFB8F1" w:rsidR="004642D6" w:rsidRPr="00B66A1B" w:rsidRDefault="004642D6" w:rsidP="00F03707">
      <w:pPr>
        <w:spacing w:line="480" w:lineRule="auto"/>
        <w:jc w:val="both"/>
        <w:rPr>
          <w:rFonts w:ascii="Arial" w:hAnsi="Arial" w:cs="Arial"/>
        </w:rPr>
      </w:pPr>
      <w:r w:rsidRPr="00B66A1B">
        <w:rPr>
          <w:rFonts w:ascii="Arial" w:hAnsi="Arial" w:cs="Arial"/>
        </w:rPr>
        <w:t>***Table</w:t>
      </w:r>
      <w:r w:rsidR="008A47F4" w:rsidRPr="00B66A1B">
        <w:rPr>
          <w:rFonts w:ascii="Arial" w:hAnsi="Arial" w:cs="Arial"/>
        </w:rPr>
        <w:t xml:space="preserve"> 2</w:t>
      </w:r>
      <w:r w:rsidRPr="00B66A1B">
        <w:rPr>
          <w:rFonts w:ascii="Arial" w:hAnsi="Arial" w:cs="Arial"/>
        </w:rPr>
        <w:t xml:space="preserve"> here</w:t>
      </w:r>
      <w:r w:rsidR="00EC74EC" w:rsidRPr="00B66A1B">
        <w:rPr>
          <w:rFonts w:ascii="Arial" w:hAnsi="Arial" w:cs="Arial"/>
        </w:rPr>
        <w:t>. Caption in Table document</w:t>
      </w:r>
      <w:r w:rsidRPr="00B66A1B">
        <w:rPr>
          <w:rFonts w:ascii="Arial" w:hAnsi="Arial" w:cs="Arial"/>
        </w:rPr>
        <w:t>***</w:t>
      </w:r>
    </w:p>
    <w:p w14:paraId="5B9FB95B" w14:textId="46B943C7" w:rsidR="00020453" w:rsidRPr="00B66A1B" w:rsidRDefault="00020453" w:rsidP="00F03707">
      <w:pPr>
        <w:spacing w:line="480" w:lineRule="auto"/>
        <w:jc w:val="both"/>
        <w:rPr>
          <w:rFonts w:ascii="Arial" w:hAnsi="Arial" w:cs="Arial"/>
        </w:rPr>
      </w:pPr>
      <w:r w:rsidRPr="00B66A1B">
        <w:rPr>
          <w:rFonts w:ascii="Arial" w:hAnsi="Arial" w:cs="Arial"/>
        </w:rPr>
        <w:lastRenderedPageBreak/>
        <w:t>***Figure 1</w:t>
      </w:r>
      <w:r w:rsidR="00EC74EC" w:rsidRPr="00B66A1B">
        <w:rPr>
          <w:rFonts w:ascii="Arial" w:hAnsi="Arial" w:cs="Arial"/>
        </w:rPr>
        <w:t xml:space="preserve">: Effect sizes for all variables across years. Minus effect sizes favour the earlier year and positive effect sizes favour the later </w:t>
      </w:r>
      <w:proofErr w:type="gramStart"/>
      <w:r w:rsidR="00EC74EC" w:rsidRPr="00B66A1B">
        <w:rPr>
          <w:rFonts w:ascii="Arial" w:hAnsi="Arial" w:cs="Arial"/>
        </w:rPr>
        <w:t>year.</w:t>
      </w:r>
      <w:r w:rsidRPr="00B66A1B">
        <w:rPr>
          <w:rFonts w:ascii="Arial" w:hAnsi="Arial" w:cs="Arial"/>
        </w:rPr>
        <w:t>*</w:t>
      </w:r>
      <w:proofErr w:type="gramEnd"/>
      <w:r w:rsidRPr="00B66A1B">
        <w:rPr>
          <w:rFonts w:ascii="Arial" w:hAnsi="Arial" w:cs="Arial"/>
        </w:rPr>
        <w:t>**</w:t>
      </w:r>
    </w:p>
    <w:p w14:paraId="0329864B" w14:textId="1EACC057" w:rsidR="00CD0291" w:rsidRPr="00B66A1B" w:rsidRDefault="00CD0291" w:rsidP="000A2755">
      <w:pPr>
        <w:pStyle w:val="ListParagraph"/>
        <w:numPr>
          <w:ilvl w:val="0"/>
          <w:numId w:val="10"/>
        </w:numPr>
        <w:spacing w:line="480" w:lineRule="auto"/>
        <w:jc w:val="both"/>
        <w:rPr>
          <w:rFonts w:ascii="Arial" w:hAnsi="Arial" w:cs="Arial"/>
          <w:b/>
        </w:rPr>
      </w:pPr>
      <w:r w:rsidRPr="00B66A1B">
        <w:rPr>
          <w:rFonts w:ascii="Arial" w:hAnsi="Arial" w:cs="Arial"/>
          <w:b/>
        </w:rPr>
        <w:t>Discussion</w:t>
      </w:r>
    </w:p>
    <w:p w14:paraId="287BC58F" w14:textId="03CA9767" w:rsidR="00020453" w:rsidRPr="00B66A1B" w:rsidRDefault="00DC7AFB" w:rsidP="00F03707">
      <w:pPr>
        <w:spacing w:line="480" w:lineRule="auto"/>
        <w:jc w:val="both"/>
        <w:rPr>
          <w:rFonts w:ascii="Arial" w:hAnsi="Arial" w:cs="Arial"/>
        </w:rPr>
      </w:pPr>
      <w:r w:rsidRPr="00B66A1B">
        <w:rPr>
          <w:rFonts w:ascii="Arial" w:hAnsi="Arial" w:cs="Arial"/>
        </w:rPr>
        <w:t xml:space="preserve">This paper </w:t>
      </w:r>
      <w:r w:rsidR="00ED5A02" w:rsidRPr="00B66A1B">
        <w:rPr>
          <w:rFonts w:ascii="Arial" w:hAnsi="Arial" w:cs="Arial"/>
        </w:rPr>
        <w:t xml:space="preserve">aimed to investigate changes in performance across </w:t>
      </w:r>
      <w:r w:rsidR="005A4185" w:rsidRPr="00B66A1B">
        <w:rPr>
          <w:rFonts w:ascii="Arial" w:hAnsi="Arial" w:cs="Arial"/>
        </w:rPr>
        <w:t xml:space="preserve">the </w:t>
      </w:r>
      <w:r w:rsidR="00ED5A02" w:rsidRPr="00B66A1B">
        <w:rPr>
          <w:rFonts w:ascii="Arial" w:hAnsi="Arial" w:cs="Arial"/>
        </w:rPr>
        <w:t>three</w:t>
      </w:r>
      <w:r w:rsidR="005A4185" w:rsidRPr="00B66A1B">
        <w:rPr>
          <w:rFonts w:ascii="Arial" w:hAnsi="Arial" w:cs="Arial"/>
        </w:rPr>
        <w:t xml:space="preserve"> most</w:t>
      </w:r>
      <w:r w:rsidR="00ED5A02" w:rsidRPr="00B66A1B">
        <w:rPr>
          <w:rFonts w:ascii="Arial" w:hAnsi="Arial" w:cs="Arial"/>
        </w:rPr>
        <w:t xml:space="preserve"> recent seasons</w:t>
      </w:r>
      <w:r w:rsidR="005A4185" w:rsidRPr="00B66A1B">
        <w:rPr>
          <w:rFonts w:ascii="Arial" w:hAnsi="Arial" w:cs="Arial"/>
        </w:rPr>
        <w:t xml:space="preserve"> on the E</w:t>
      </w:r>
      <w:r w:rsidR="00A658B1" w:rsidRPr="00B66A1B">
        <w:rPr>
          <w:rFonts w:ascii="Arial" w:hAnsi="Arial" w:cs="Arial"/>
        </w:rPr>
        <w:t>uropean Tour</w:t>
      </w:r>
      <w:r w:rsidR="00ED5A02" w:rsidRPr="00B66A1B">
        <w:rPr>
          <w:rFonts w:ascii="Arial" w:hAnsi="Arial" w:cs="Arial"/>
        </w:rPr>
        <w:t xml:space="preserve"> </w:t>
      </w:r>
      <w:proofErr w:type="gramStart"/>
      <w:r w:rsidR="00ED5A02" w:rsidRPr="00B66A1B">
        <w:rPr>
          <w:rFonts w:ascii="Arial" w:hAnsi="Arial" w:cs="Arial"/>
        </w:rPr>
        <w:t>and also</w:t>
      </w:r>
      <w:proofErr w:type="gramEnd"/>
      <w:r w:rsidR="00ED5A02" w:rsidRPr="00B66A1B">
        <w:rPr>
          <w:rFonts w:ascii="Arial" w:hAnsi="Arial" w:cs="Arial"/>
        </w:rPr>
        <w:t xml:space="preserve"> use </w:t>
      </w:r>
      <w:r w:rsidR="00B055E5">
        <w:rPr>
          <w:rFonts w:ascii="Arial" w:hAnsi="Arial" w:cs="Arial"/>
        </w:rPr>
        <w:t xml:space="preserve">multiple </w:t>
      </w:r>
      <w:r w:rsidR="00ED5A02" w:rsidRPr="00B66A1B">
        <w:rPr>
          <w:rFonts w:ascii="Arial" w:hAnsi="Arial" w:cs="Arial"/>
        </w:rPr>
        <w:t>linear regression to explain performance on par three, par four, and par five holes. This study is</w:t>
      </w:r>
      <w:r w:rsidRPr="00B66A1B">
        <w:rPr>
          <w:rFonts w:ascii="Arial" w:hAnsi="Arial" w:cs="Arial"/>
        </w:rPr>
        <w:t xml:space="preserve"> the first to </w:t>
      </w:r>
      <w:r w:rsidR="00ED5A02" w:rsidRPr="00B66A1B">
        <w:rPr>
          <w:rFonts w:ascii="Arial" w:hAnsi="Arial" w:cs="Arial"/>
        </w:rPr>
        <w:t>undertake this analysis</w:t>
      </w:r>
      <w:r w:rsidRPr="00B66A1B">
        <w:rPr>
          <w:rFonts w:ascii="Arial" w:hAnsi="Arial" w:cs="Arial"/>
        </w:rPr>
        <w:t xml:space="preserve"> in elite golfers on the </w:t>
      </w:r>
      <w:r w:rsidR="005A4185" w:rsidRPr="00B66A1B">
        <w:rPr>
          <w:rFonts w:ascii="Arial" w:hAnsi="Arial" w:cs="Arial"/>
        </w:rPr>
        <w:t>E</w:t>
      </w:r>
      <w:r w:rsidR="00B055E5">
        <w:rPr>
          <w:rFonts w:ascii="Arial" w:hAnsi="Arial" w:cs="Arial"/>
        </w:rPr>
        <w:t>uropean Tour</w:t>
      </w:r>
      <w:r w:rsidR="005A4185" w:rsidRPr="00B66A1B">
        <w:rPr>
          <w:rFonts w:ascii="Arial" w:hAnsi="Arial" w:cs="Arial"/>
        </w:rPr>
        <w:t>.</w:t>
      </w:r>
      <w:r w:rsidRPr="00B66A1B">
        <w:rPr>
          <w:rFonts w:ascii="Arial" w:hAnsi="Arial" w:cs="Arial"/>
        </w:rPr>
        <w:t xml:space="preserve"> </w:t>
      </w:r>
      <w:r w:rsidR="00ED5A02" w:rsidRPr="00B66A1B">
        <w:rPr>
          <w:rFonts w:ascii="Arial" w:hAnsi="Arial" w:cs="Arial"/>
        </w:rPr>
        <w:t xml:space="preserve">The main findings were that mean </w:t>
      </w:r>
      <w:r w:rsidR="00A658B1" w:rsidRPr="00B66A1B">
        <w:rPr>
          <w:rFonts w:ascii="Arial" w:hAnsi="Arial" w:cs="Arial"/>
        </w:rPr>
        <w:t>DD</w:t>
      </w:r>
      <w:r w:rsidR="00ED5A02" w:rsidRPr="00B66A1B">
        <w:rPr>
          <w:rFonts w:ascii="Arial" w:hAnsi="Arial" w:cs="Arial"/>
        </w:rPr>
        <w:t xml:space="preserve"> was greater in 2018 and 2019 than 2017.</w:t>
      </w:r>
      <w:r w:rsidR="00A53C99" w:rsidRPr="00B66A1B">
        <w:rPr>
          <w:rFonts w:ascii="Arial" w:hAnsi="Arial" w:cs="Arial"/>
        </w:rPr>
        <w:t xml:space="preserve"> Interestingly, despite this increase in distance, DA showed no difference across all years.</w:t>
      </w:r>
      <w:r w:rsidR="00ED5A02" w:rsidRPr="00B66A1B">
        <w:rPr>
          <w:rFonts w:ascii="Arial" w:hAnsi="Arial" w:cs="Arial"/>
        </w:rPr>
        <w:t xml:space="preserve"> 2019 also ha</w:t>
      </w:r>
      <w:r w:rsidR="00A53C99" w:rsidRPr="00B66A1B">
        <w:rPr>
          <w:rFonts w:ascii="Arial" w:hAnsi="Arial" w:cs="Arial"/>
        </w:rPr>
        <w:t>d</w:t>
      </w:r>
      <w:r w:rsidR="00ED5A02" w:rsidRPr="00B66A1B">
        <w:rPr>
          <w:rFonts w:ascii="Arial" w:hAnsi="Arial" w:cs="Arial"/>
        </w:rPr>
        <w:t xml:space="preserve"> better par four average scores than 2018. </w:t>
      </w:r>
      <w:r w:rsidR="005A4185" w:rsidRPr="00B66A1B">
        <w:rPr>
          <w:rFonts w:ascii="Arial" w:hAnsi="Arial" w:cs="Arial"/>
        </w:rPr>
        <w:t xml:space="preserve">2017 had the greatest par three average score and sand save % of all years, but scramble % was greater in 2018 and 2019. Interestingly, despite these differences, stroke average, GIR, and </w:t>
      </w:r>
      <w:r w:rsidR="00A658B1" w:rsidRPr="00B66A1B">
        <w:rPr>
          <w:rFonts w:ascii="Arial" w:hAnsi="Arial" w:cs="Arial"/>
        </w:rPr>
        <w:t>p</w:t>
      </w:r>
      <w:r w:rsidR="005A4185" w:rsidRPr="00B66A1B">
        <w:rPr>
          <w:rFonts w:ascii="Arial" w:hAnsi="Arial" w:cs="Arial"/>
        </w:rPr>
        <w:t>utts per round showed no change in any of the three seasons studied.</w:t>
      </w:r>
    </w:p>
    <w:p w14:paraId="6266135F" w14:textId="2D48B827" w:rsidR="00020453" w:rsidRPr="00B66A1B" w:rsidRDefault="00DC7AFB" w:rsidP="00F03707">
      <w:pPr>
        <w:spacing w:line="480" w:lineRule="auto"/>
        <w:jc w:val="both"/>
        <w:rPr>
          <w:rFonts w:ascii="Arial" w:hAnsi="Arial" w:cs="Arial"/>
        </w:rPr>
      </w:pPr>
      <w:r w:rsidRPr="00B66A1B">
        <w:rPr>
          <w:rFonts w:ascii="Arial" w:hAnsi="Arial" w:cs="Arial"/>
        </w:rPr>
        <w:t xml:space="preserve">The </w:t>
      </w:r>
      <w:r w:rsidR="005A4185" w:rsidRPr="00B66A1B">
        <w:rPr>
          <w:rFonts w:ascii="Arial" w:hAnsi="Arial" w:cs="Arial"/>
        </w:rPr>
        <w:t xml:space="preserve">other </w:t>
      </w:r>
      <w:r w:rsidRPr="00B66A1B">
        <w:rPr>
          <w:rFonts w:ascii="Arial" w:hAnsi="Arial" w:cs="Arial"/>
        </w:rPr>
        <w:t xml:space="preserve">main findings from this study are that </w:t>
      </w:r>
      <w:r w:rsidR="00020453" w:rsidRPr="00B66A1B">
        <w:rPr>
          <w:rFonts w:ascii="Arial" w:hAnsi="Arial" w:cs="Arial"/>
        </w:rPr>
        <w:t>3</w:t>
      </w:r>
      <w:r w:rsidR="002B4590" w:rsidRPr="00B66A1B">
        <w:rPr>
          <w:rFonts w:ascii="Arial" w:hAnsi="Arial" w:cs="Arial"/>
        </w:rPr>
        <w:t>6</w:t>
      </w:r>
      <w:r w:rsidR="00020453" w:rsidRPr="00B66A1B">
        <w:rPr>
          <w:rFonts w:ascii="Arial" w:hAnsi="Arial" w:cs="Arial"/>
        </w:rPr>
        <w:t>-57</w:t>
      </w:r>
      <w:r w:rsidR="00EA6815" w:rsidRPr="00B66A1B">
        <w:rPr>
          <w:rFonts w:ascii="Arial" w:hAnsi="Arial" w:cs="Arial"/>
        </w:rPr>
        <w:t xml:space="preserve">% of a player’s </w:t>
      </w:r>
      <w:r w:rsidR="00020453" w:rsidRPr="00B66A1B">
        <w:rPr>
          <w:rFonts w:ascii="Arial" w:hAnsi="Arial" w:cs="Arial"/>
        </w:rPr>
        <w:t>average par three score can b</w:t>
      </w:r>
      <w:r w:rsidR="00EA6815" w:rsidRPr="00B66A1B">
        <w:rPr>
          <w:rFonts w:ascii="Arial" w:hAnsi="Arial" w:cs="Arial"/>
        </w:rPr>
        <w:t>e explained by regression modelling</w:t>
      </w:r>
      <w:r w:rsidR="00B246A1" w:rsidRPr="00B66A1B">
        <w:rPr>
          <w:rFonts w:ascii="Arial" w:hAnsi="Arial" w:cs="Arial"/>
        </w:rPr>
        <w:t xml:space="preserve"> of performance variables available on the European Tour website</w:t>
      </w:r>
      <w:r w:rsidR="007F5CDC" w:rsidRPr="00B66A1B">
        <w:rPr>
          <w:rFonts w:ascii="Arial" w:hAnsi="Arial" w:cs="Arial"/>
        </w:rPr>
        <w:t xml:space="preserve"> and explained</w:t>
      </w:r>
      <w:r w:rsidR="00020453" w:rsidRPr="00B66A1B">
        <w:rPr>
          <w:rFonts w:ascii="Arial" w:hAnsi="Arial" w:cs="Arial"/>
        </w:rPr>
        <w:t xml:space="preserve"> 77-81%</w:t>
      </w:r>
      <w:r w:rsidR="007F5CDC" w:rsidRPr="00B66A1B">
        <w:rPr>
          <w:rFonts w:ascii="Arial" w:hAnsi="Arial" w:cs="Arial"/>
        </w:rPr>
        <w:t xml:space="preserve"> of par 4</w:t>
      </w:r>
      <w:r w:rsidR="00020453" w:rsidRPr="00B66A1B">
        <w:rPr>
          <w:rFonts w:ascii="Arial" w:hAnsi="Arial" w:cs="Arial"/>
        </w:rPr>
        <w:t xml:space="preserve"> </w:t>
      </w:r>
      <w:r w:rsidR="007F5CDC" w:rsidRPr="00B66A1B">
        <w:rPr>
          <w:rFonts w:ascii="Arial" w:hAnsi="Arial" w:cs="Arial"/>
        </w:rPr>
        <w:t>and</w:t>
      </w:r>
      <w:r w:rsidR="00020453" w:rsidRPr="00B66A1B">
        <w:rPr>
          <w:rFonts w:ascii="Arial" w:hAnsi="Arial" w:cs="Arial"/>
        </w:rPr>
        <w:t xml:space="preserve"> 56-68%</w:t>
      </w:r>
      <w:r w:rsidR="007F5CDC" w:rsidRPr="00B66A1B">
        <w:rPr>
          <w:rFonts w:ascii="Arial" w:hAnsi="Arial" w:cs="Arial"/>
        </w:rPr>
        <w:t xml:space="preserve"> of par 5 holes, respectively</w:t>
      </w:r>
      <w:r w:rsidR="00020453" w:rsidRPr="00B66A1B">
        <w:rPr>
          <w:rFonts w:ascii="Arial" w:hAnsi="Arial" w:cs="Arial"/>
        </w:rPr>
        <w:t>. Average par</w:t>
      </w:r>
      <w:r w:rsidR="00ED5A02" w:rsidRPr="00B66A1B">
        <w:rPr>
          <w:rFonts w:ascii="Arial" w:hAnsi="Arial" w:cs="Arial"/>
        </w:rPr>
        <w:t xml:space="preserve"> </w:t>
      </w:r>
      <w:r w:rsidR="00020453" w:rsidRPr="00B66A1B">
        <w:rPr>
          <w:rFonts w:ascii="Arial" w:hAnsi="Arial" w:cs="Arial"/>
        </w:rPr>
        <w:t xml:space="preserve">three scores could be least explained using </w:t>
      </w:r>
      <w:r w:rsidR="00ED5A02" w:rsidRPr="00B66A1B">
        <w:rPr>
          <w:rFonts w:ascii="Arial" w:hAnsi="Arial" w:cs="Arial"/>
        </w:rPr>
        <w:t>regression modelling, with par four average score having the highest explanatory</w:t>
      </w:r>
      <w:r w:rsidR="005A4185" w:rsidRPr="00B66A1B">
        <w:rPr>
          <w:rFonts w:ascii="Arial" w:hAnsi="Arial" w:cs="Arial"/>
        </w:rPr>
        <w:t xml:space="preserve"> outcomes. GIR and putts per round entered all nine of the predictive models, DD entered seven, DA entered four, and scramble % two. Sand save % did not feature as an explanatory variable in any model.</w:t>
      </w:r>
    </w:p>
    <w:p w14:paraId="30BA8551" w14:textId="6FDE1E39" w:rsidR="00830091" w:rsidRPr="00B66A1B" w:rsidRDefault="00830091" w:rsidP="00F03707">
      <w:pPr>
        <w:spacing w:line="480" w:lineRule="auto"/>
        <w:jc w:val="both"/>
        <w:rPr>
          <w:rFonts w:ascii="Arial" w:hAnsi="Arial" w:cs="Arial"/>
        </w:rPr>
      </w:pPr>
      <w:r w:rsidRPr="00B66A1B">
        <w:rPr>
          <w:rFonts w:ascii="Arial" w:hAnsi="Arial" w:cs="Arial"/>
        </w:rPr>
        <w:t xml:space="preserve">A key finding from this research when comparing performance variables across years was that DD </w:t>
      </w:r>
      <w:r w:rsidR="00207259" w:rsidRPr="00B66A1B">
        <w:rPr>
          <w:rFonts w:ascii="Arial" w:hAnsi="Arial" w:cs="Arial"/>
        </w:rPr>
        <w:t>was greater in 2018 and 2019 than 2017.</w:t>
      </w:r>
      <w:r w:rsidR="006B6DE5" w:rsidRPr="00B66A1B">
        <w:rPr>
          <w:rFonts w:ascii="Arial" w:hAnsi="Arial" w:cs="Arial"/>
        </w:rPr>
        <w:t xml:space="preserve"> In 2019 average DD was 295 yards</w:t>
      </w:r>
      <w:r w:rsidR="005275FE" w:rsidRPr="00B66A1B">
        <w:rPr>
          <w:rFonts w:ascii="Arial" w:hAnsi="Arial" w:cs="Arial"/>
        </w:rPr>
        <w:t>. Although contextual factors such as courses played and environmental conditions may explain some of this change,</w:t>
      </w:r>
      <w:r w:rsidR="006B6DE5" w:rsidRPr="00B66A1B">
        <w:rPr>
          <w:rFonts w:ascii="Arial" w:hAnsi="Arial" w:cs="Arial"/>
        </w:rPr>
        <w:t xml:space="preserve"> </w:t>
      </w:r>
      <w:r w:rsidR="005275FE" w:rsidRPr="00B66A1B">
        <w:rPr>
          <w:rFonts w:ascii="Arial" w:hAnsi="Arial" w:cs="Arial"/>
        </w:rPr>
        <w:t>average DD of 295 yards</w:t>
      </w:r>
      <w:r w:rsidR="006B6DE5" w:rsidRPr="00B66A1B">
        <w:rPr>
          <w:rFonts w:ascii="Arial" w:hAnsi="Arial" w:cs="Arial"/>
        </w:rPr>
        <w:t xml:space="preserve"> </w:t>
      </w:r>
      <w:r w:rsidR="005275FE" w:rsidRPr="00B66A1B">
        <w:rPr>
          <w:rFonts w:ascii="Arial" w:hAnsi="Arial" w:cs="Arial"/>
        </w:rPr>
        <w:t>is</w:t>
      </w:r>
      <w:r w:rsidR="006B6DE5" w:rsidRPr="00B66A1B">
        <w:rPr>
          <w:rFonts w:ascii="Arial" w:hAnsi="Arial" w:cs="Arial"/>
        </w:rPr>
        <w:t xml:space="preserve"> </w:t>
      </w:r>
      <w:r w:rsidR="00993334" w:rsidRPr="00B66A1B">
        <w:rPr>
          <w:rFonts w:ascii="Arial" w:hAnsi="Arial" w:cs="Arial"/>
        </w:rPr>
        <w:t>nine yard</w:t>
      </w:r>
      <w:r w:rsidR="005275FE" w:rsidRPr="00B66A1B">
        <w:rPr>
          <w:rFonts w:ascii="Arial" w:hAnsi="Arial" w:cs="Arial"/>
        </w:rPr>
        <w:t>s further than the average DD in</w:t>
      </w:r>
      <w:r w:rsidR="006B6DE5" w:rsidRPr="00B66A1B">
        <w:rPr>
          <w:rFonts w:ascii="Arial" w:hAnsi="Arial" w:cs="Arial"/>
        </w:rPr>
        <w:t xml:space="preserve"> 2003 and 45 yard</w:t>
      </w:r>
      <w:r w:rsidR="005275FE" w:rsidRPr="00B66A1B">
        <w:rPr>
          <w:rFonts w:ascii="Arial" w:hAnsi="Arial" w:cs="Arial"/>
        </w:rPr>
        <w:t>s further than</w:t>
      </w:r>
      <w:r w:rsidR="006B6DE5" w:rsidRPr="00B66A1B">
        <w:rPr>
          <w:rFonts w:ascii="Arial" w:hAnsi="Arial" w:cs="Arial"/>
        </w:rPr>
        <w:t xml:space="preserve"> 1992 when compared to the PGA tour </w:t>
      </w:r>
      <w:r w:rsidR="00094D93">
        <w:rPr>
          <w:rFonts w:ascii="Arial" w:hAnsi="Arial" w:cs="Arial"/>
        </w:rPr>
        <w:t>(</w:t>
      </w:r>
      <w:proofErr w:type="spellStart"/>
      <w:r w:rsidR="00094D93">
        <w:rPr>
          <w:rFonts w:ascii="Arial" w:hAnsi="Arial" w:cs="Arial"/>
        </w:rPr>
        <w:t>Heiny</w:t>
      </w:r>
      <w:proofErr w:type="spellEnd"/>
      <w:r w:rsidR="00094D93">
        <w:rPr>
          <w:rFonts w:ascii="Arial" w:hAnsi="Arial" w:cs="Arial"/>
        </w:rPr>
        <w:t>, 2008)</w:t>
      </w:r>
      <w:r w:rsidR="006F2249" w:rsidRPr="00B66A1B">
        <w:rPr>
          <w:rFonts w:ascii="Arial" w:hAnsi="Arial" w:cs="Arial"/>
        </w:rPr>
        <w:t xml:space="preserve">, </w:t>
      </w:r>
      <w:r w:rsidR="006B6DE5" w:rsidRPr="00B66A1B">
        <w:rPr>
          <w:rFonts w:ascii="Arial" w:hAnsi="Arial" w:cs="Arial"/>
        </w:rPr>
        <w:t xml:space="preserve">and </w:t>
      </w:r>
      <w:r w:rsidR="005275FE" w:rsidRPr="00B66A1B">
        <w:rPr>
          <w:rFonts w:ascii="Arial" w:hAnsi="Arial" w:cs="Arial"/>
        </w:rPr>
        <w:t>is</w:t>
      </w:r>
      <w:r w:rsidR="006B6DE5" w:rsidRPr="00B66A1B">
        <w:rPr>
          <w:rFonts w:ascii="Arial" w:hAnsi="Arial" w:cs="Arial"/>
        </w:rPr>
        <w:t xml:space="preserve"> 22 yard</w:t>
      </w:r>
      <w:r w:rsidR="005275FE" w:rsidRPr="00B66A1B">
        <w:rPr>
          <w:rFonts w:ascii="Arial" w:hAnsi="Arial" w:cs="Arial"/>
        </w:rPr>
        <w:t>s further than the</w:t>
      </w:r>
      <w:r w:rsidR="006B6DE5" w:rsidRPr="00B66A1B">
        <w:rPr>
          <w:rFonts w:ascii="Arial" w:hAnsi="Arial" w:cs="Arial"/>
        </w:rPr>
        <w:t xml:space="preserve"> top 10 players from the 1998 European Tour </w:t>
      </w:r>
      <w:r w:rsidR="00094D93">
        <w:rPr>
          <w:rFonts w:ascii="Arial" w:hAnsi="Arial" w:cs="Arial"/>
        </w:rPr>
        <w:t>(Jimenez &amp; Fierro-Hernandez, 1999)</w:t>
      </w:r>
      <w:r w:rsidR="006B6DE5" w:rsidRPr="00B66A1B">
        <w:rPr>
          <w:rFonts w:ascii="Arial" w:hAnsi="Arial" w:cs="Arial"/>
        </w:rPr>
        <w:t xml:space="preserve">. </w:t>
      </w:r>
      <w:r w:rsidR="005275FE" w:rsidRPr="00B66A1B">
        <w:rPr>
          <w:rFonts w:ascii="Arial" w:hAnsi="Arial" w:cs="Arial"/>
        </w:rPr>
        <w:t>However, d</w:t>
      </w:r>
      <w:r w:rsidR="006B6DE5" w:rsidRPr="00B66A1B">
        <w:rPr>
          <w:rFonts w:ascii="Arial" w:hAnsi="Arial" w:cs="Arial"/>
        </w:rPr>
        <w:t xml:space="preserve">espite these increases, </w:t>
      </w:r>
      <w:r w:rsidR="005074CB" w:rsidRPr="00B66A1B">
        <w:rPr>
          <w:rFonts w:ascii="Arial" w:hAnsi="Arial" w:cs="Arial"/>
        </w:rPr>
        <w:t xml:space="preserve">DA did not change throughout the three </w:t>
      </w:r>
      <w:r w:rsidR="005074CB" w:rsidRPr="00B66A1B">
        <w:rPr>
          <w:rFonts w:ascii="Arial" w:hAnsi="Arial" w:cs="Arial"/>
        </w:rPr>
        <w:lastRenderedPageBreak/>
        <w:t>seasons analysed here. DA figures do appear to be lower from 2017-2019 (58-59%) when compared to 1999 (67% top 10 players, 61% bottom 10 players)</w:t>
      </w:r>
      <w:r w:rsidR="00993334" w:rsidRPr="00B66A1B">
        <w:rPr>
          <w:rFonts w:ascii="Arial" w:hAnsi="Arial" w:cs="Arial"/>
        </w:rPr>
        <w:t xml:space="preserve"> and are lower than those reported from the PGA Tour (64-65%) in 2009. </w:t>
      </w:r>
      <w:r w:rsidR="00373B7C" w:rsidRPr="00B66A1B">
        <w:rPr>
          <w:rFonts w:ascii="Arial" w:hAnsi="Arial" w:cs="Arial"/>
        </w:rPr>
        <w:t xml:space="preserve"> </w:t>
      </w:r>
      <w:r w:rsidR="00DD07B8" w:rsidRPr="00B66A1B">
        <w:rPr>
          <w:rFonts w:ascii="Arial" w:hAnsi="Arial" w:cs="Arial"/>
        </w:rPr>
        <w:t xml:space="preserve">A likely explanation, in part, for the difference in comparison to the PGA Tour is that the work of </w:t>
      </w:r>
      <w:proofErr w:type="spellStart"/>
      <w:r w:rsidR="00DD07B8" w:rsidRPr="00B66A1B">
        <w:rPr>
          <w:rFonts w:ascii="Arial" w:hAnsi="Arial" w:cs="Arial"/>
        </w:rPr>
        <w:t>Hellstrom</w:t>
      </w:r>
      <w:proofErr w:type="spellEnd"/>
      <w:r w:rsidR="00DD07B8" w:rsidRPr="00B66A1B">
        <w:rPr>
          <w:rFonts w:ascii="Arial" w:hAnsi="Arial" w:cs="Arial"/>
        </w:rPr>
        <w:t xml:space="preserve"> and colleagues </w:t>
      </w:r>
      <w:r w:rsidR="00094D93">
        <w:rPr>
          <w:rFonts w:ascii="Arial" w:hAnsi="Arial" w:cs="Arial"/>
        </w:rPr>
        <w:t>(2014)</w:t>
      </w:r>
      <w:r w:rsidR="00DD07B8" w:rsidRPr="00B66A1B">
        <w:rPr>
          <w:rFonts w:ascii="Arial" w:hAnsi="Arial" w:cs="Arial"/>
        </w:rPr>
        <w:t xml:space="preserve"> focused on the top 125 players of that season, </w:t>
      </w:r>
      <w:r w:rsidR="001F6523" w:rsidRPr="00B66A1B">
        <w:rPr>
          <w:rFonts w:ascii="Arial" w:hAnsi="Arial" w:cs="Arial"/>
        </w:rPr>
        <w:t>whereas</w:t>
      </w:r>
      <w:r w:rsidR="00DD07B8" w:rsidRPr="00B66A1B">
        <w:rPr>
          <w:rFonts w:ascii="Arial" w:hAnsi="Arial" w:cs="Arial"/>
        </w:rPr>
        <w:t xml:space="preserve"> the players here were from the top 200. It is probable that players lower on the overall rankings would perfor</w:t>
      </w:r>
      <w:r w:rsidR="006F2249" w:rsidRPr="00B66A1B">
        <w:rPr>
          <w:rFonts w:ascii="Arial" w:hAnsi="Arial" w:cs="Arial"/>
        </w:rPr>
        <w:t>m at a lower level</w:t>
      </w:r>
      <w:r w:rsidR="00DD07B8" w:rsidRPr="00B66A1B">
        <w:rPr>
          <w:rFonts w:ascii="Arial" w:hAnsi="Arial" w:cs="Arial"/>
        </w:rPr>
        <w:t xml:space="preserve"> across a number of metrics, bringing the overall average down. However, the benefit of including their performances is that it provides a </w:t>
      </w:r>
      <w:r w:rsidR="00B32E7E" w:rsidRPr="00B66A1B">
        <w:rPr>
          <w:rFonts w:ascii="Arial" w:hAnsi="Arial" w:cs="Arial"/>
        </w:rPr>
        <w:t>broader</w:t>
      </w:r>
      <w:r w:rsidR="00DD07B8" w:rsidRPr="00B66A1B">
        <w:rPr>
          <w:rFonts w:ascii="Arial" w:hAnsi="Arial" w:cs="Arial"/>
        </w:rPr>
        <w:t xml:space="preserve"> range for scoring analysis and is more reflective of the majority of the </w:t>
      </w:r>
      <w:r w:rsidR="00154252">
        <w:rPr>
          <w:rFonts w:ascii="Arial" w:hAnsi="Arial" w:cs="Arial"/>
        </w:rPr>
        <w:t>European T</w:t>
      </w:r>
      <w:r w:rsidR="00DD07B8" w:rsidRPr="00B66A1B">
        <w:rPr>
          <w:rFonts w:ascii="Arial" w:hAnsi="Arial" w:cs="Arial"/>
        </w:rPr>
        <w:t>our, rather than just the top performers. Additionally, the cut off point for retention of full European Tour status is usually a finish position of 110-115,</w:t>
      </w:r>
      <w:r w:rsidR="006F2249" w:rsidRPr="00B66A1B">
        <w:rPr>
          <w:rFonts w:ascii="Arial" w:hAnsi="Arial" w:cs="Arial"/>
        </w:rPr>
        <w:t xml:space="preserve"> although players who finish below this point may retain some playing privileges. Therefore, including players both inside and outside of this </w:t>
      </w:r>
      <w:r w:rsidR="00154252">
        <w:rPr>
          <w:rFonts w:ascii="Arial" w:hAnsi="Arial" w:cs="Arial"/>
        </w:rPr>
        <w:t>threshold</w:t>
      </w:r>
      <w:r w:rsidR="006F2249" w:rsidRPr="00B66A1B">
        <w:rPr>
          <w:rFonts w:ascii="Arial" w:hAnsi="Arial" w:cs="Arial"/>
        </w:rPr>
        <w:t xml:space="preserve"> provides useful information</w:t>
      </w:r>
      <w:r w:rsidR="00720768" w:rsidRPr="00B66A1B">
        <w:rPr>
          <w:rFonts w:ascii="Arial" w:hAnsi="Arial" w:cs="Arial"/>
        </w:rPr>
        <w:t xml:space="preserve"> for players who finish in these positions and</w:t>
      </w:r>
      <w:r w:rsidR="001F6523" w:rsidRPr="00B66A1B">
        <w:rPr>
          <w:rFonts w:ascii="Arial" w:hAnsi="Arial" w:cs="Arial"/>
        </w:rPr>
        <w:t xml:space="preserve"> for</w:t>
      </w:r>
      <w:r w:rsidR="00720768" w:rsidRPr="00B66A1B">
        <w:rPr>
          <w:rFonts w:ascii="Arial" w:hAnsi="Arial" w:cs="Arial"/>
        </w:rPr>
        <w:t xml:space="preserve"> their coaching and support staff</w:t>
      </w:r>
      <w:r w:rsidR="006F2249" w:rsidRPr="00B66A1B">
        <w:rPr>
          <w:rFonts w:ascii="Arial" w:hAnsi="Arial" w:cs="Arial"/>
        </w:rPr>
        <w:t>.</w:t>
      </w:r>
      <w:r w:rsidR="00DD07B8" w:rsidRPr="00B66A1B">
        <w:rPr>
          <w:rFonts w:ascii="Arial" w:hAnsi="Arial" w:cs="Arial"/>
        </w:rPr>
        <w:t xml:space="preserve"> Future research should compare the performance variables of top performers, versus those who finish below the cut off point for retention of playing privileges. This will help to establish a minimum threshold to maintain Tour status. Additionally, a study that assesses the within- and between-player variability across multiple seasons would be of interest</w:t>
      </w:r>
      <w:r w:rsidR="0006279A" w:rsidRPr="00B66A1B">
        <w:rPr>
          <w:rFonts w:ascii="Arial" w:hAnsi="Arial" w:cs="Arial"/>
        </w:rPr>
        <w:t xml:space="preserve"> as it would allow coaches and players to understand</w:t>
      </w:r>
      <w:r w:rsidR="00FB1B1B" w:rsidRPr="00B66A1B">
        <w:rPr>
          <w:rFonts w:ascii="Arial" w:hAnsi="Arial" w:cs="Arial"/>
        </w:rPr>
        <w:t xml:space="preserve"> the performance “bandwidth” and how performance changes for players over time.</w:t>
      </w:r>
    </w:p>
    <w:p w14:paraId="36677A50" w14:textId="6AFE31C2" w:rsidR="00373B7C" w:rsidRPr="00B66A1B" w:rsidRDefault="00373B7C" w:rsidP="00F03707">
      <w:pPr>
        <w:spacing w:line="480" w:lineRule="auto"/>
        <w:jc w:val="both"/>
        <w:rPr>
          <w:rFonts w:ascii="Arial" w:hAnsi="Arial" w:cs="Arial"/>
        </w:rPr>
      </w:pPr>
      <w:r w:rsidRPr="00B66A1B">
        <w:rPr>
          <w:rFonts w:ascii="Arial" w:hAnsi="Arial" w:cs="Arial"/>
        </w:rPr>
        <w:t xml:space="preserve">The linear regressions conducted herein demonstrated that GIR and putts per round were the primary explanatory variables for performance on all hole types. </w:t>
      </w:r>
      <w:r w:rsidR="00FB1B1B" w:rsidRPr="00B66A1B">
        <w:rPr>
          <w:rFonts w:ascii="Arial" w:hAnsi="Arial" w:cs="Arial"/>
        </w:rPr>
        <w:t>While each regression calculation had multiple variables that entered the respective models</w:t>
      </w:r>
      <w:r w:rsidR="0046694D" w:rsidRPr="00B66A1B">
        <w:rPr>
          <w:rFonts w:ascii="Arial" w:hAnsi="Arial" w:cs="Arial"/>
        </w:rPr>
        <w:t>, it must also be noted that it is the combination of these variables that account for the model rather than the variables in isolation. As such, coaches and players should consider the combination of the variables in each model if seeking to structure their performance approach</w:t>
      </w:r>
      <w:r w:rsidR="00F2464F" w:rsidRPr="00B66A1B">
        <w:rPr>
          <w:rFonts w:ascii="Arial" w:hAnsi="Arial" w:cs="Arial"/>
        </w:rPr>
        <w:t>.</w:t>
      </w:r>
      <w:r w:rsidR="0046694D" w:rsidRPr="00B66A1B">
        <w:rPr>
          <w:rFonts w:ascii="Arial" w:hAnsi="Arial" w:cs="Arial"/>
        </w:rPr>
        <w:t xml:space="preserve"> Notwithstanding</w:t>
      </w:r>
      <w:r w:rsidR="00FB1B1B" w:rsidRPr="00B66A1B">
        <w:rPr>
          <w:rFonts w:ascii="Arial" w:hAnsi="Arial" w:cs="Arial"/>
        </w:rPr>
        <w:t xml:space="preserve">, </w:t>
      </w:r>
      <w:r w:rsidRPr="00B66A1B">
        <w:rPr>
          <w:rFonts w:ascii="Arial" w:hAnsi="Arial" w:cs="Arial"/>
        </w:rPr>
        <w:t xml:space="preserve">GIR and putts per round were in all predictive models, for all hole types across all three seasons. DD was a predictor variable in seven of nine calculations, with DA in four, and Scramble </w:t>
      </w:r>
      <w:r w:rsidR="00DC007D" w:rsidRPr="00B66A1B">
        <w:rPr>
          <w:rFonts w:ascii="Arial" w:hAnsi="Arial" w:cs="Arial"/>
        </w:rPr>
        <w:t>%</w:t>
      </w:r>
      <w:r w:rsidRPr="00B66A1B">
        <w:rPr>
          <w:rFonts w:ascii="Arial" w:hAnsi="Arial" w:cs="Arial"/>
        </w:rPr>
        <w:t xml:space="preserve"> in </w:t>
      </w:r>
      <w:r w:rsidRPr="00B66A1B">
        <w:rPr>
          <w:rFonts w:ascii="Arial" w:hAnsi="Arial" w:cs="Arial"/>
        </w:rPr>
        <w:lastRenderedPageBreak/>
        <w:t>three. Sand save % did not enter any predictive model.</w:t>
      </w:r>
      <w:r w:rsidR="00740FA0" w:rsidRPr="00B66A1B">
        <w:rPr>
          <w:rFonts w:ascii="Arial" w:hAnsi="Arial" w:cs="Arial"/>
        </w:rPr>
        <w:t xml:space="preserve"> GIR has long been understood to be a crucial performance determinant in elite golf, with Davidson &amp; Templin </w:t>
      </w:r>
      <w:r w:rsidR="00094D93">
        <w:rPr>
          <w:rFonts w:ascii="Arial" w:hAnsi="Arial" w:cs="Arial"/>
        </w:rPr>
        <w:t>(1985)</w:t>
      </w:r>
      <w:r w:rsidR="00740FA0" w:rsidRPr="00B66A1B">
        <w:rPr>
          <w:rFonts w:ascii="Arial" w:hAnsi="Arial" w:cs="Arial"/>
        </w:rPr>
        <w:t xml:space="preserve"> reporting it as the strongest correlate of scoring performance on the PGA Tour as far back as 1983. Using data from around the same time, Jones </w:t>
      </w:r>
      <w:r w:rsidR="00094D93">
        <w:rPr>
          <w:rFonts w:ascii="Arial" w:hAnsi="Arial" w:cs="Arial"/>
        </w:rPr>
        <w:t>(1990)</w:t>
      </w:r>
      <w:r w:rsidR="00740FA0" w:rsidRPr="00B66A1B">
        <w:rPr>
          <w:rFonts w:ascii="Arial" w:hAnsi="Arial" w:cs="Arial"/>
        </w:rPr>
        <w:t xml:space="preserve"> demonstrated putts per round was the best predictor of both scoring and </w:t>
      </w:r>
      <w:r w:rsidR="00154252">
        <w:rPr>
          <w:rFonts w:ascii="Arial" w:hAnsi="Arial" w:cs="Arial"/>
        </w:rPr>
        <w:t xml:space="preserve">monetary </w:t>
      </w:r>
      <w:r w:rsidR="00740FA0" w:rsidRPr="00B66A1B">
        <w:rPr>
          <w:rFonts w:ascii="Arial" w:hAnsi="Arial" w:cs="Arial"/>
        </w:rPr>
        <w:t>earning on the PGA Tour. In 2002</w:t>
      </w:r>
      <w:r w:rsidR="00FF7FFC" w:rsidRPr="00B66A1B">
        <w:rPr>
          <w:rFonts w:ascii="Arial" w:hAnsi="Arial" w:cs="Arial"/>
        </w:rPr>
        <w:t xml:space="preserve"> and 2006</w:t>
      </w:r>
      <w:r w:rsidR="00740FA0" w:rsidRPr="00B66A1B">
        <w:rPr>
          <w:rFonts w:ascii="Arial" w:hAnsi="Arial" w:cs="Arial"/>
        </w:rPr>
        <w:t>,</w:t>
      </w:r>
      <w:r w:rsidR="00FF7FFC" w:rsidRPr="00B66A1B">
        <w:rPr>
          <w:rFonts w:ascii="Arial" w:hAnsi="Arial" w:cs="Arial"/>
        </w:rPr>
        <w:t xml:space="preserve"> using data from 1990 to 2004,</w:t>
      </w:r>
      <w:r w:rsidR="00740FA0" w:rsidRPr="00B66A1B">
        <w:rPr>
          <w:rFonts w:ascii="Arial" w:hAnsi="Arial" w:cs="Arial"/>
        </w:rPr>
        <w:t xml:space="preserve"> regression modelling showed that GIR and putts per round were </w:t>
      </w:r>
      <w:r w:rsidR="00FF7FFC" w:rsidRPr="00B66A1B">
        <w:rPr>
          <w:rFonts w:ascii="Arial" w:hAnsi="Arial" w:cs="Arial"/>
        </w:rPr>
        <w:t xml:space="preserve">also </w:t>
      </w:r>
      <w:r w:rsidR="00740FA0" w:rsidRPr="00B66A1B">
        <w:rPr>
          <w:rFonts w:ascii="Arial" w:hAnsi="Arial" w:cs="Arial"/>
        </w:rPr>
        <w:t xml:space="preserve">the two strongest predictor variables </w:t>
      </w:r>
      <w:r w:rsidR="00D64B2D" w:rsidRPr="00B66A1B">
        <w:rPr>
          <w:rFonts w:ascii="Arial" w:hAnsi="Arial" w:cs="Arial"/>
        </w:rPr>
        <w:t xml:space="preserve">of stroke average </w:t>
      </w:r>
      <w:r w:rsidR="00740FA0" w:rsidRPr="00B66A1B">
        <w:rPr>
          <w:rFonts w:ascii="Arial" w:hAnsi="Arial" w:cs="Arial"/>
        </w:rPr>
        <w:t xml:space="preserve">on the PGA Tour </w:t>
      </w:r>
      <w:r w:rsidR="00094D93">
        <w:rPr>
          <w:rFonts w:ascii="Arial" w:hAnsi="Arial" w:cs="Arial"/>
        </w:rPr>
        <w:t>(Wiseman &amp; Chatterjee, 2006; Finley &amp; Halsey, 2004)</w:t>
      </w:r>
      <w:r w:rsidR="00740FA0" w:rsidRPr="00B66A1B">
        <w:rPr>
          <w:rFonts w:ascii="Arial" w:hAnsi="Arial" w:cs="Arial"/>
        </w:rPr>
        <w:t xml:space="preserve">. </w:t>
      </w:r>
      <w:r w:rsidR="00DC007D" w:rsidRPr="00B66A1B">
        <w:rPr>
          <w:rFonts w:ascii="Arial" w:hAnsi="Arial" w:cs="Arial"/>
        </w:rPr>
        <w:t>It appears that the</w:t>
      </w:r>
      <w:r w:rsidR="00FF7FFC" w:rsidRPr="00B66A1B">
        <w:rPr>
          <w:rFonts w:ascii="Arial" w:hAnsi="Arial" w:cs="Arial"/>
        </w:rPr>
        <w:t>se variables are stable predictors of performance and this also transfers to the</w:t>
      </w:r>
      <w:r w:rsidR="00DC007D" w:rsidRPr="00B66A1B">
        <w:rPr>
          <w:rFonts w:ascii="Arial" w:hAnsi="Arial" w:cs="Arial"/>
        </w:rPr>
        <w:t xml:space="preserve"> European Tour</w:t>
      </w:r>
      <w:r w:rsidR="00FF7FFC" w:rsidRPr="00B66A1B">
        <w:rPr>
          <w:rFonts w:ascii="Arial" w:hAnsi="Arial" w:cs="Arial"/>
        </w:rPr>
        <w:t xml:space="preserve">. </w:t>
      </w:r>
    </w:p>
    <w:p w14:paraId="152E275D" w14:textId="0D538A19" w:rsidR="006B6900" w:rsidRPr="00B66A1B" w:rsidRDefault="008C127A" w:rsidP="00F03707">
      <w:pPr>
        <w:spacing w:line="480" w:lineRule="auto"/>
        <w:jc w:val="both"/>
        <w:rPr>
          <w:rFonts w:ascii="Arial" w:hAnsi="Arial" w:cs="Arial"/>
        </w:rPr>
      </w:pPr>
      <w:r w:rsidRPr="00B66A1B">
        <w:rPr>
          <w:rFonts w:ascii="Arial" w:hAnsi="Arial" w:cs="Arial"/>
        </w:rPr>
        <w:t xml:space="preserve">DD was a predictor variable in seven of the nine regression models carried out. </w:t>
      </w:r>
      <w:r w:rsidR="006B6900" w:rsidRPr="00B66A1B">
        <w:rPr>
          <w:rFonts w:ascii="Arial" w:hAnsi="Arial" w:cs="Arial"/>
        </w:rPr>
        <w:t>While this is perhaps to be expected for longer holes, i</w:t>
      </w:r>
      <w:r w:rsidRPr="00B66A1B">
        <w:rPr>
          <w:rFonts w:ascii="Arial" w:hAnsi="Arial" w:cs="Arial"/>
        </w:rPr>
        <w:t>nterestingly, DD was a predictor variable for par three holes in all years investigated. Although DD will not be a direct predictor on par three holes owing to hole distance being too short to maximise a full drive, it is probable that longer drivers will generate higher clubhead speeds and will, consequently, be able to hit “shorter”</w:t>
      </w:r>
      <w:r w:rsidR="001F6523" w:rsidRPr="00B66A1B">
        <w:rPr>
          <w:rFonts w:ascii="Arial" w:hAnsi="Arial" w:cs="Arial"/>
        </w:rPr>
        <w:t xml:space="preserve"> and have increased control over ball flight with shorter </w:t>
      </w:r>
      <w:r w:rsidR="00B66A1B" w:rsidRPr="00B66A1B">
        <w:rPr>
          <w:rFonts w:ascii="Arial" w:hAnsi="Arial" w:cs="Arial"/>
        </w:rPr>
        <w:t>and</w:t>
      </w:r>
      <w:r w:rsidR="001F6523" w:rsidRPr="00B66A1B">
        <w:rPr>
          <w:rFonts w:ascii="Arial" w:hAnsi="Arial" w:cs="Arial"/>
        </w:rPr>
        <w:t xml:space="preserve"> more lofted</w:t>
      </w:r>
      <w:r w:rsidRPr="00B66A1B">
        <w:rPr>
          <w:rFonts w:ascii="Arial" w:hAnsi="Arial" w:cs="Arial"/>
        </w:rPr>
        <w:t xml:space="preserve"> clubs for their approaches. It has been demonstrated on the PGA Tour that as </w:t>
      </w:r>
      <w:r w:rsidR="00F53694" w:rsidRPr="00B66A1B">
        <w:rPr>
          <w:rFonts w:ascii="Arial" w:hAnsi="Arial" w:cs="Arial"/>
        </w:rPr>
        <w:t xml:space="preserve">distance to the hole for approach shots increases, so does error, with players missing more greens playing approaches from over 200 yards, when compared to 100 to 200 yards </w:t>
      </w:r>
      <w:r w:rsidR="00094D93">
        <w:rPr>
          <w:rFonts w:ascii="Arial" w:hAnsi="Arial" w:cs="Arial"/>
        </w:rPr>
        <w:t>(James &amp; Rees, 2008)</w:t>
      </w:r>
      <w:r w:rsidR="00F53694" w:rsidRPr="00B66A1B">
        <w:rPr>
          <w:rFonts w:ascii="Arial" w:hAnsi="Arial" w:cs="Arial"/>
        </w:rPr>
        <w:t>. Therefore</w:t>
      </w:r>
      <w:r w:rsidR="006B6900" w:rsidRPr="00B66A1B">
        <w:rPr>
          <w:rFonts w:ascii="Arial" w:hAnsi="Arial" w:cs="Arial"/>
        </w:rPr>
        <w:t>, players who have greater DD also perform well on par three holes, probably owing to their higher clubhead speeds and having to hit “less” club to a par three hole in comparison to shorter drivers.</w:t>
      </w:r>
    </w:p>
    <w:p w14:paraId="17FFF134" w14:textId="65369E19" w:rsidR="008805A9" w:rsidRPr="00B66A1B" w:rsidRDefault="008F6961" w:rsidP="008805A9">
      <w:pPr>
        <w:spacing w:line="480" w:lineRule="auto"/>
        <w:jc w:val="both"/>
        <w:rPr>
          <w:rFonts w:ascii="Arial" w:hAnsi="Arial" w:cs="Arial"/>
        </w:rPr>
      </w:pPr>
      <w:r w:rsidRPr="00B66A1B">
        <w:rPr>
          <w:rFonts w:ascii="Arial" w:hAnsi="Arial" w:cs="Arial"/>
        </w:rPr>
        <w:t>S</w:t>
      </w:r>
      <w:r w:rsidR="008805A9" w:rsidRPr="00B66A1B">
        <w:rPr>
          <w:rFonts w:ascii="Arial" w:hAnsi="Arial" w:cs="Arial"/>
        </w:rPr>
        <w:t>cramble % also appears to be a</w:t>
      </w:r>
      <w:r w:rsidR="00F25C33" w:rsidRPr="00B66A1B">
        <w:rPr>
          <w:rFonts w:ascii="Arial" w:hAnsi="Arial" w:cs="Arial"/>
        </w:rPr>
        <w:t xml:space="preserve">n important </w:t>
      </w:r>
      <w:r w:rsidR="008805A9" w:rsidRPr="00B66A1B">
        <w:rPr>
          <w:rFonts w:ascii="Arial" w:hAnsi="Arial" w:cs="Arial"/>
        </w:rPr>
        <w:t>performance determinant on the European Tour</w:t>
      </w:r>
      <w:r w:rsidR="00F25C33" w:rsidRPr="00B66A1B">
        <w:rPr>
          <w:rFonts w:ascii="Arial" w:hAnsi="Arial" w:cs="Arial"/>
        </w:rPr>
        <w:t xml:space="preserve"> as it entered three predictive models</w:t>
      </w:r>
      <w:r w:rsidR="008805A9" w:rsidRPr="00B66A1B">
        <w:rPr>
          <w:rFonts w:ascii="Arial" w:hAnsi="Arial" w:cs="Arial"/>
        </w:rPr>
        <w:t>.</w:t>
      </w:r>
      <w:r w:rsidR="00EF49ED" w:rsidRPr="00B66A1B">
        <w:rPr>
          <w:rFonts w:ascii="Arial" w:hAnsi="Arial" w:cs="Arial"/>
        </w:rPr>
        <w:t xml:space="preserve"> </w:t>
      </w:r>
      <w:r w:rsidR="00F25C33" w:rsidRPr="00B66A1B">
        <w:rPr>
          <w:rFonts w:ascii="Arial" w:hAnsi="Arial" w:cs="Arial"/>
        </w:rPr>
        <w:t>Additionally, scramble % showed</w:t>
      </w:r>
      <w:r w:rsidR="008805A9" w:rsidRPr="00B66A1B">
        <w:rPr>
          <w:rFonts w:ascii="Arial" w:hAnsi="Arial" w:cs="Arial"/>
        </w:rPr>
        <w:t xml:space="preserve"> a large increase from 2017 to 2018 and was maintained in 2019</w:t>
      </w:r>
      <w:r w:rsidR="00F25C33" w:rsidRPr="00B66A1B">
        <w:rPr>
          <w:rFonts w:ascii="Arial" w:hAnsi="Arial" w:cs="Arial"/>
        </w:rPr>
        <w:t>. Again, this appears comparable to recent findings from the PGA Tour where</w:t>
      </w:r>
      <w:r w:rsidR="008805A9" w:rsidRPr="00B66A1B">
        <w:rPr>
          <w:rFonts w:ascii="Arial" w:hAnsi="Arial" w:cs="Arial"/>
        </w:rPr>
        <w:t xml:space="preserve"> on par four and par five holes, driving further and having the ball closer to the green for approach shots, even if off the fairway</w:t>
      </w:r>
      <w:r w:rsidR="001F6523" w:rsidRPr="00B66A1B">
        <w:rPr>
          <w:rFonts w:ascii="Arial" w:hAnsi="Arial" w:cs="Arial"/>
        </w:rPr>
        <w:t>,</w:t>
      </w:r>
      <w:r w:rsidR="008805A9" w:rsidRPr="00B66A1B">
        <w:rPr>
          <w:rFonts w:ascii="Arial" w:hAnsi="Arial" w:cs="Arial"/>
        </w:rPr>
        <w:t xml:space="preserve"> was desirable for reducing hole score</w:t>
      </w:r>
      <w:r w:rsidR="00EF49ED" w:rsidRPr="00B66A1B">
        <w:rPr>
          <w:rFonts w:ascii="Arial" w:hAnsi="Arial" w:cs="Arial"/>
        </w:rPr>
        <w:t xml:space="preserve"> </w:t>
      </w:r>
      <w:r w:rsidR="00094D93">
        <w:rPr>
          <w:rFonts w:ascii="Arial" w:hAnsi="Arial" w:cs="Arial"/>
        </w:rPr>
        <w:t>(</w:t>
      </w:r>
      <w:proofErr w:type="spellStart"/>
      <w:r w:rsidR="00094D93">
        <w:rPr>
          <w:rFonts w:ascii="Arial" w:hAnsi="Arial" w:cs="Arial"/>
        </w:rPr>
        <w:t>Hellstr</w:t>
      </w:r>
      <w:r w:rsidR="00094D93" w:rsidRPr="00B66A1B">
        <w:rPr>
          <w:rFonts w:ascii="Arial" w:hAnsi="Arial" w:cs="Arial"/>
        </w:rPr>
        <w:t>öm</w:t>
      </w:r>
      <w:proofErr w:type="spellEnd"/>
      <w:r w:rsidR="00094D93">
        <w:rPr>
          <w:rFonts w:ascii="Arial" w:hAnsi="Arial" w:cs="Arial"/>
        </w:rPr>
        <w:t xml:space="preserve"> </w:t>
      </w:r>
      <w:r w:rsidR="00094D93">
        <w:rPr>
          <w:rFonts w:ascii="Arial" w:hAnsi="Arial" w:cs="Arial"/>
          <w:i/>
          <w:iCs/>
        </w:rPr>
        <w:t xml:space="preserve">et al., </w:t>
      </w:r>
      <w:r w:rsidR="00094D93">
        <w:rPr>
          <w:rFonts w:ascii="Arial" w:hAnsi="Arial" w:cs="Arial"/>
        </w:rPr>
        <w:t>2014)</w:t>
      </w:r>
      <w:r w:rsidR="008805A9" w:rsidRPr="00B66A1B">
        <w:rPr>
          <w:rFonts w:ascii="Arial" w:hAnsi="Arial" w:cs="Arial"/>
        </w:rPr>
        <w:t>.</w:t>
      </w:r>
      <w:r w:rsidR="00EF49ED" w:rsidRPr="00B66A1B">
        <w:rPr>
          <w:rFonts w:ascii="Arial" w:hAnsi="Arial" w:cs="Arial"/>
        </w:rPr>
        <w:t xml:space="preserve"> </w:t>
      </w:r>
      <w:r w:rsidR="00C92784" w:rsidRPr="00B66A1B">
        <w:rPr>
          <w:rFonts w:ascii="Arial" w:hAnsi="Arial" w:cs="Arial"/>
        </w:rPr>
        <w:t xml:space="preserve">If players can score more effectively from closer to the green, </w:t>
      </w:r>
      <w:r w:rsidR="00C92784" w:rsidRPr="00B66A1B">
        <w:rPr>
          <w:rFonts w:ascii="Arial" w:hAnsi="Arial" w:cs="Arial"/>
        </w:rPr>
        <w:lastRenderedPageBreak/>
        <w:t>even if off the fairway, then the ability to scramble becomes an important characteristic of the golfer’s performance make-up and it appears that this is also the case for the European Tour, although not for each year observed.</w:t>
      </w:r>
      <w:r w:rsidR="00F25C33" w:rsidRPr="00B66A1B">
        <w:rPr>
          <w:rFonts w:ascii="Arial" w:hAnsi="Arial" w:cs="Arial"/>
        </w:rPr>
        <w:t xml:space="preserve"> </w:t>
      </w:r>
      <w:r w:rsidR="00EF49ED" w:rsidRPr="00B66A1B">
        <w:rPr>
          <w:rFonts w:ascii="Arial" w:hAnsi="Arial" w:cs="Arial"/>
        </w:rPr>
        <w:t>Scramble % entered models in 2017 and 2019 but not for any model in 2018. While this difference cannot be conclusively explained, it may have been a result of contextual factors in that season such as cours</w:t>
      </w:r>
      <w:r w:rsidR="00C92784" w:rsidRPr="00B66A1B">
        <w:rPr>
          <w:rFonts w:ascii="Arial" w:hAnsi="Arial" w:cs="Arial"/>
        </w:rPr>
        <w:t>e set up</w:t>
      </w:r>
      <w:r w:rsidR="001561EA" w:rsidRPr="00B66A1B">
        <w:rPr>
          <w:rFonts w:ascii="Arial" w:hAnsi="Arial" w:cs="Arial"/>
        </w:rPr>
        <w:t xml:space="preserve"> and variety</w:t>
      </w:r>
      <w:r w:rsidR="00C92784" w:rsidRPr="00B66A1B">
        <w:rPr>
          <w:rFonts w:ascii="Arial" w:hAnsi="Arial" w:cs="Arial"/>
        </w:rPr>
        <w:t>.</w:t>
      </w:r>
    </w:p>
    <w:p w14:paraId="2D75D2B4" w14:textId="1AB0C296" w:rsidR="008F6961" w:rsidRPr="00B66A1B" w:rsidRDefault="008F6961" w:rsidP="008805A9">
      <w:pPr>
        <w:spacing w:line="480" w:lineRule="auto"/>
        <w:jc w:val="both"/>
        <w:rPr>
          <w:rFonts w:ascii="Arial" w:hAnsi="Arial" w:cs="Arial"/>
        </w:rPr>
      </w:pPr>
      <w:r w:rsidRPr="00B66A1B">
        <w:rPr>
          <w:rFonts w:ascii="Arial" w:hAnsi="Arial" w:cs="Arial"/>
        </w:rPr>
        <w:t>Lastly, despite the changes presented in this paper</w:t>
      </w:r>
      <w:r w:rsidR="00EE5D9E" w:rsidRPr="00B66A1B">
        <w:rPr>
          <w:rFonts w:ascii="Arial" w:hAnsi="Arial" w:cs="Arial"/>
        </w:rPr>
        <w:t xml:space="preserve"> across seasons</w:t>
      </w:r>
      <w:r w:rsidRPr="00B66A1B">
        <w:rPr>
          <w:rFonts w:ascii="Arial" w:hAnsi="Arial" w:cs="Arial"/>
        </w:rPr>
        <w:t>, stroke average, a widely accepted critical performance variable for golf performance, has remained unchanged from 2017 to 2019 inclusive. One possible explanation for this is that, in this study, the mean overall rank of the players included for analysis was lower (if a rank of 1 is considered the highest) in 2018 and 2019 when compared to 2017. Stroke average was lowest in 2018</w:t>
      </w:r>
      <w:r w:rsidR="00B32E7E" w:rsidRPr="00B66A1B">
        <w:rPr>
          <w:rFonts w:ascii="Arial" w:hAnsi="Arial" w:cs="Arial"/>
        </w:rPr>
        <w:t xml:space="preserve"> </w:t>
      </w:r>
      <w:r w:rsidRPr="00B66A1B">
        <w:rPr>
          <w:rFonts w:ascii="Arial" w:hAnsi="Arial" w:cs="Arial"/>
        </w:rPr>
        <w:t>but did not achieve significance. However, more players were included in 2018 and 2019, which probably represents an increase in the volume of</w:t>
      </w:r>
      <w:r w:rsidR="00154252">
        <w:rPr>
          <w:rFonts w:ascii="Arial" w:hAnsi="Arial" w:cs="Arial"/>
        </w:rPr>
        <w:t xml:space="preserve"> data collected by</w:t>
      </w:r>
      <w:r w:rsidRPr="00B66A1B">
        <w:rPr>
          <w:rFonts w:ascii="Arial" w:hAnsi="Arial" w:cs="Arial"/>
        </w:rPr>
        <w:t xml:space="preserve"> the European Tour. Although it would have been possible to exclude more lowly ranked players to achieve no difference across years, it was felt that including all players who met the inclusion criteria was beneficial as it provides a more holistic representation of the playing field. </w:t>
      </w:r>
      <w:r w:rsidR="00CB5922" w:rsidRPr="00B66A1B">
        <w:rPr>
          <w:rFonts w:ascii="Arial" w:hAnsi="Arial" w:cs="Arial"/>
        </w:rPr>
        <w:t>It is also probable that as the courses played on the E</w:t>
      </w:r>
      <w:r w:rsidR="00154252">
        <w:rPr>
          <w:rFonts w:ascii="Arial" w:hAnsi="Arial" w:cs="Arial"/>
        </w:rPr>
        <w:t>uropean Tour</w:t>
      </w:r>
      <w:r w:rsidR="00CB5922" w:rsidRPr="00B66A1B">
        <w:rPr>
          <w:rFonts w:ascii="Arial" w:hAnsi="Arial" w:cs="Arial"/>
        </w:rPr>
        <w:t xml:space="preserve"> (and the subsequent pars on those courses) change across seasons, that any change to stroke average may be lost in these contextual differences. </w:t>
      </w:r>
    </w:p>
    <w:p w14:paraId="03E49882" w14:textId="1892DC81" w:rsidR="00CD0291" w:rsidRPr="00B66A1B" w:rsidRDefault="00CD0291" w:rsidP="000A2755">
      <w:pPr>
        <w:pStyle w:val="ListParagraph"/>
        <w:numPr>
          <w:ilvl w:val="0"/>
          <w:numId w:val="10"/>
        </w:numPr>
        <w:spacing w:line="480" w:lineRule="auto"/>
        <w:jc w:val="both"/>
        <w:rPr>
          <w:rFonts w:ascii="Arial" w:hAnsi="Arial" w:cs="Arial"/>
          <w:b/>
        </w:rPr>
      </w:pPr>
      <w:r w:rsidRPr="00B66A1B">
        <w:rPr>
          <w:rFonts w:ascii="Arial" w:hAnsi="Arial" w:cs="Arial"/>
          <w:b/>
        </w:rPr>
        <w:t>Conclusion</w:t>
      </w:r>
    </w:p>
    <w:p w14:paraId="2BA8705A" w14:textId="1BF7C240" w:rsidR="00373B7C" w:rsidRPr="00B66A1B" w:rsidRDefault="00187FC5" w:rsidP="00F03707">
      <w:pPr>
        <w:spacing w:line="480" w:lineRule="auto"/>
        <w:jc w:val="both"/>
        <w:rPr>
          <w:rFonts w:ascii="Arial" w:hAnsi="Arial" w:cs="Arial"/>
          <w:bCs/>
        </w:rPr>
      </w:pPr>
      <w:r w:rsidRPr="00B66A1B">
        <w:rPr>
          <w:rFonts w:ascii="Arial" w:hAnsi="Arial" w:cs="Arial"/>
          <w:bCs/>
        </w:rPr>
        <w:t>Studies of golf performance across time on the European Tour are scarce. Additionally, m</w:t>
      </w:r>
      <w:r w:rsidR="008F6961" w:rsidRPr="00B66A1B">
        <w:rPr>
          <w:rFonts w:ascii="Arial" w:hAnsi="Arial" w:cs="Arial"/>
          <w:bCs/>
        </w:rPr>
        <w:t xml:space="preserve">odelling using performance variables in golf has been undertaken at the elite level for many years, </w:t>
      </w:r>
      <w:r w:rsidRPr="00B66A1B">
        <w:rPr>
          <w:rFonts w:ascii="Arial" w:hAnsi="Arial" w:cs="Arial"/>
          <w:bCs/>
        </w:rPr>
        <w:t>but the predominance of this work has been conducted on the PGA Tour</w:t>
      </w:r>
      <w:r w:rsidR="008F6961" w:rsidRPr="00B66A1B">
        <w:rPr>
          <w:rFonts w:ascii="Arial" w:hAnsi="Arial" w:cs="Arial"/>
          <w:bCs/>
        </w:rPr>
        <w:t xml:space="preserve">. The present study shows that </w:t>
      </w:r>
      <w:r w:rsidRPr="00B66A1B">
        <w:rPr>
          <w:rFonts w:ascii="Arial" w:hAnsi="Arial" w:cs="Arial"/>
          <w:bCs/>
        </w:rPr>
        <w:t>from 2017 to 2019, DD increased, while DA remained unchanged. Scramble % also showed a large increase in 2018 and 2019 when compared to 2017. On the European Tour,</w:t>
      </w:r>
      <w:r w:rsidR="00C92784" w:rsidRPr="00B66A1B">
        <w:rPr>
          <w:rFonts w:ascii="Arial" w:hAnsi="Arial" w:cs="Arial"/>
          <w:bCs/>
        </w:rPr>
        <w:t xml:space="preserve"> in conjunction with the other measured variables,</w:t>
      </w:r>
      <w:r w:rsidRPr="00B66A1B">
        <w:rPr>
          <w:rFonts w:ascii="Arial" w:hAnsi="Arial" w:cs="Arial"/>
          <w:bCs/>
        </w:rPr>
        <w:t xml:space="preserve"> </w:t>
      </w:r>
      <w:r w:rsidR="008F6961" w:rsidRPr="00B66A1B">
        <w:rPr>
          <w:rFonts w:ascii="Arial" w:hAnsi="Arial" w:cs="Arial"/>
          <w:bCs/>
        </w:rPr>
        <w:t xml:space="preserve">GIR and putts per round </w:t>
      </w:r>
      <w:r w:rsidRPr="00B66A1B">
        <w:rPr>
          <w:rFonts w:ascii="Arial" w:hAnsi="Arial" w:cs="Arial"/>
          <w:bCs/>
        </w:rPr>
        <w:t xml:space="preserve">are stable, consistent performance predictors, as well as DD. DA and scramble % also help to explain performance as where sand save % does not. </w:t>
      </w:r>
      <w:bookmarkStart w:id="2" w:name="_Hlk65572998"/>
      <w:r w:rsidRPr="00B66A1B">
        <w:rPr>
          <w:rFonts w:ascii="Arial" w:hAnsi="Arial" w:cs="Arial"/>
          <w:bCs/>
        </w:rPr>
        <w:t>These predictive models could explain</w:t>
      </w:r>
      <w:r w:rsidR="00F2464F" w:rsidRPr="00B66A1B">
        <w:rPr>
          <w:rFonts w:ascii="Arial" w:hAnsi="Arial" w:cs="Arial"/>
          <w:bCs/>
        </w:rPr>
        <w:t xml:space="preserve"> a large </w:t>
      </w:r>
      <w:r w:rsidR="00F2464F" w:rsidRPr="00B66A1B">
        <w:rPr>
          <w:rFonts w:ascii="Arial" w:hAnsi="Arial" w:cs="Arial"/>
          <w:bCs/>
        </w:rPr>
        <w:lastRenderedPageBreak/>
        <w:t>proportion of hole performance. For example, GIR, putts per round, and DA could explain</w:t>
      </w:r>
      <w:r w:rsidRPr="00B66A1B">
        <w:rPr>
          <w:rFonts w:ascii="Arial" w:hAnsi="Arial" w:cs="Arial"/>
          <w:bCs/>
        </w:rPr>
        <w:t xml:space="preserve"> up to 81% of performance</w:t>
      </w:r>
      <w:r w:rsidR="00F2464F" w:rsidRPr="00B66A1B">
        <w:rPr>
          <w:rFonts w:ascii="Arial" w:hAnsi="Arial" w:cs="Arial"/>
          <w:bCs/>
        </w:rPr>
        <w:t xml:space="preserve"> on par four holes in the 2018 season.</w:t>
      </w:r>
      <w:r w:rsidRPr="00B66A1B">
        <w:rPr>
          <w:rFonts w:ascii="Arial" w:hAnsi="Arial" w:cs="Arial"/>
          <w:bCs/>
        </w:rPr>
        <w:t xml:space="preserve"> </w:t>
      </w:r>
      <w:r w:rsidR="00F2464F" w:rsidRPr="00B66A1B">
        <w:rPr>
          <w:rFonts w:ascii="Arial" w:hAnsi="Arial" w:cs="Arial"/>
          <w:bCs/>
        </w:rPr>
        <w:t>P</w:t>
      </w:r>
      <w:r w:rsidRPr="00B66A1B">
        <w:rPr>
          <w:rFonts w:ascii="Arial" w:hAnsi="Arial" w:cs="Arial"/>
          <w:bCs/>
        </w:rPr>
        <w:t>ar three holes are more difficult to predict. Players and coaches on the European Tour may benefit from this analysis as it highlights the key variables which underpin and explain golf performance at the elite level.</w:t>
      </w:r>
      <w:bookmarkEnd w:id="2"/>
    </w:p>
    <w:p w14:paraId="7543715F" w14:textId="2C394212" w:rsidR="006405EE" w:rsidRPr="00B66A1B" w:rsidRDefault="000A2755" w:rsidP="00F03707">
      <w:pPr>
        <w:spacing w:line="480" w:lineRule="auto"/>
        <w:jc w:val="both"/>
        <w:rPr>
          <w:rFonts w:ascii="Arial" w:hAnsi="Arial" w:cs="Arial"/>
          <w:b/>
        </w:rPr>
      </w:pPr>
      <w:r w:rsidRPr="00B66A1B">
        <w:rPr>
          <w:rFonts w:ascii="Arial" w:hAnsi="Arial" w:cs="Arial"/>
          <w:b/>
        </w:rPr>
        <w:t>Disclosure of</w:t>
      </w:r>
      <w:r w:rsidR="00F03707" w:rsidRPr="00B66A1B">
        <w:rPr>
          <w:rFonts w:ascii="Arial" w:hAnsi="Arial" w:cs="Arial"/>
          <w:b/>
        </w:rPr>
        <w:t xml:space="preserve"> Interest</w:t>
      </w:r>
    </w:p>
    <w:p w14:paraId="376150E8" w14:textId="77777777" w:rsidR="00F47BD0" w:rsidRPr="00B66A1B" w:rsidRDefault="00F47BD0" w:rsidP="00F03707">
      <w:pPr>
        <w:spacing w:line="480" w:lineRule="auto"/>
        <w:jc w:val="both"/>
        <w:rPr>
          <w:rFonts w:ascii="Arial" w:hAnsi="Arial" w:cs="Arial"/>
        </w:rPr>
      </w:pPr>
      <w:r w:rsidRPr="00B66A1B">
        <w:rPr>
          <w:rFonts w:ascii="Arial" w:hAnsi="Arial" w:cs="Arial"/>
        </w:rPr>
        <w:t>The author discloses no competing interests.</w:t>
      </w:r>
    </w:p>
    <w:p w14:paraId="2B69B6D0" w14:textId="77777777" w:rsidR="00C22E15" w:rsidRPr="00B66A1B" w:rsidRDefault="00C22E15" w:rsidP="00F03707">
      <w:pPr>
        <w:spacing w:line="480" w:lineRule="auto"/>
        <w:jc w:val="both"/>
        <w:rPr>
          <w:rFonts w:ascii="Arial" w:hAnsi="Arial" w:cs="Arial"/>
          <w:b/>
        </w:rPr>
      </w:pPr>
      <w:r w:rsidRPr="00B66A1B">
        <w:rPr>
          <w:rFonts w:ascii="Arial" w:hAnsi="Arial" w:cs="Arial"/>
          <w:b/>
        </w:rPr>
        <w:t>Acknowledgements</w:t>
      </w:r>
    </w:p>
    <w:p w14:paraId="11971DEF" w14:textId="77777777" w:rsidR="00AC2F19" w:rsidRPr="00B66A1B" w:rsidRDefault="00AC2F19" w:rsidP="00F03707">
      <w:pPr>
        <w:spacing w:line="480" w:lineRule="auto"/>
        <w:jc w:val="both"/>
        <w:rPr>
          <w:rFonts w:ascii="Arial" w:hAnsi="Arial" w:cs="Arial"/>
        </w:rPr>
      </w:pPr>
      <w:r w:rsidRPr="00B66A1B">
        <w:rPr>
          <w:rFonts w:ascii="Arial" w:hAnsi="Arial" w:cs="Arial"/>
        </w:rPr>
        <w:t>None</w:t>
      </w:r>
    </w:p>
    <w:p w14:paraId="52EB85CF" w14:textId="24DC9993" w:rsidR="006405EE" w:rsidRPr="00B66A1B" w:rsidRDefault="006405EE" w:rsidP="00F03707">
      <w:pPr>
        <w:spacing w:line="480" w:lineRule="auto"/>
        <w:jc w:val="both"/>
        <w:rPr>
          <w:rFonts w:ascii="Arial" w:hAnsi="Arial" w:cs="Arial"/>
          <w:b/>
        </w:rPr>
      </w:pPr>
      <w:bookmarkStart w:id="3" w:name="_Hlk65569515"/>
      <w:r w:rsidRPr="00B66A1B">
        <w:rPr>
          <w:rFonts w:ascii="Arial" w:hAnsi="Arial" w:cs="Arial"/>
          <w:b/>
        </w:rPr>
        <w:t>References:</w:t>
      </w:r>
    </w:p>
    <w:bookmarkEnd w:id="3"/>
    <w:p w14:paraId="7089CA31" w14:textId="4109FA89" w:rsidR="00094D93" w:rsidRPr="00B66A1B" w:rsidRDefault="00094D93" w:rsidP="00B4287D">
      <w:pPr>
        <w:pStyle w:val="ListParagraph"/>
        <w:numPr>
          <w:ilvl w:val="0"/>
          <w:numId w:val="9"/>
        </w:numPr>
        <w:spacing w:line="480" w:lineRule="auto"/>
        <w:jc w:val="both"/>
        <w:rPr>
          <w:rFonts w:ascii="Arial" w:hAnsi="Arial" w:cs="Arial"/>
        </w:rPr>
      </w:pPr>
      <w:proofErr w:type="spellStart"/>
      <w:r w:rsidRPr="00B66A1B">
        <w:rPr>
          <w:rFonts w:ascii="Arial" w:hAnsi="Arial" w:cs="Arial"/>
        </w:rPr>
        <w:t>Baugher</w:t>
      </w:r>
      <w:proofErr w:type="spellEnd"/>
      <w:r w:rsidRPr="00B66A1B">
        <w:rPr>
          <w:rFonts w:ascii="Arial" w:hAnsi="Arial" w:cs="Arial"/>
        </w:rPr>
        <w:t xml:space="preserve">, </w:t>
      </w:r>
      <w:proofErr w:type="gramStart"/>
      <w:r w:rsidRPr="00B66A1B">
        <w:rPr>
          <w:rFonts w:ascii="Arial" w:hAnsi="Arial" w:cs="Arial"/>
        </w:rPr>
        <w:t>C,D.</w:t>
      </w:r>
      <w:proofErr w:type="gramEnd"/>
      <w:r w:rsidRPr="00B66A1B">
        <w:rPr>
          <w:rFonts w:ascii="Arial" w:hAnsi="Arial" w:cs="Arial"/>
        </w:rPr>
        <w:t xml:space="preserve">, Day, J., &amp; Burford, E,W. (2016). Drive for Show and Putt for Dough? Not Anymore. </w:t>
      </w:r>
      <w:r w:rsidRPr="00B66A1B">
        <w:rPr>
          <w:rFonts w:ascii="Arial" w:hAnsi="Arial" w:cs="Arial"/>
          <w:i/>
          <w:iCs/>
        </w:rPr>
        <w:t>Journal of Sports Economics.</w:t>
      </w:r>
      <w:r w:rsidRPr="00B66A1B">
        <w:rPr>
          <w:rFonts w:ascii="Arial" w:hAnsi="Arial" w:cs="Arial"/>
        </w:rPr>
        <w:t xml:space="preserve"> 17(2): 207-215</w:t>
      </w:r>
      <w:r w:rsidR="004F441F">
        <w:rPr>
          <w:rFonts w:ascii="Arial" w:hAnsi="Arial" w:cs="Arial"/>
        </w:rPr>
        <w:t>.</w:t>
      </w:r>
    </w:p>
    <w:p w14:paraId="711EB8CD" w14:textId="39CDA76B" w:rsidR="00094D93" w:rsidRPr="00B66A1B" w:rsidRDefault="00094D93" w:rsidP="00B4287D">
      <w:pPr>
        <w:pStyle w:val="ListParagraph"/>
        <w:numPr>
          <w:ilvl w:val="0"/>
          <w:numId w:val="9"/>
        </w:numPr>
        <w:spacing w:line="480" w:lineRule="auto"/>
        <w:jc w:val="both"/>
        <w:rPr>
          <w:rFonts w:ascii="Arial" w:hAnsi="Arial" w:cs="Arial"/>
        </w:rPr>
      </w:pPr>
      <w:r w:rsidRPr="00B66A1B">
        <w:rPr>
          <w:rFonts w:ascii="Arial" w:hAnsi="Arial" w:cs="Arial"/>
        </w:rPr>
        <w:t>Bliss, A.</w:t>
      </w:r>
      <w:r>
        <w:rPr>
          <w:rFonts w:ascii="Arial" w:hAnsi="Arial" w:cs="Arial"/>
        </w:rPr>
        <w:t xml:space="preserve"> (2018</w:t>
      </w:r>
      <w:r w:rsidR="004F441F">
        <w:rPr>
          <w:rFonts w:ascii="Arial" w:hAnsi="Arial" w:cs="Arial"/>
        </w:rPr>
        <w:t xml:space="preserve">, </w:t>
      </w:r>
      <w:r w:rsidR="004F441F" w:rsidRPr="00B66A1B">
        <w:rPr>
          <w:rFonts w:ascii="Arial" w:hAnsi="Arial" w:cs="Arial"/>
        </w:rPr>
        <w:t>July 11-13</w:t>
      </w:r>
      <w:r>
        <w:rPr>
          <w:rFonts w:ascii="Arial" w:hAnsi="Arial" w:cs="Arial"/>
        </w:rPr>
        <w:t>).</w:t>
      </w:r>
      <w:r w:rsidRPr="00B66A1B">
        <w:rPr>
          <w:rFonts w:ascii="Arial" w:hAnsi="Arial" w:cs="Arial"/>
        </w:rPr>
        <w:t xml:space="preserve"> </w:t>
      </w:r>
      <w:r w:rsidRPr="004F441F">
        <w:rPr>
          <w:rFonts w:ascii="Arial" w:hAnsi="Arial" w:cs="Arial"/>
          <w:i/>
          <w:iCs/>
        </w:rPr>
        <w:t>The Travelling Athlete: Challenges for the Strength and Conditioning Coach Supporting a European Tour Professional During the 2017 Season</w:t>
      </w:r>
      <w:r w:rsidRPr="00B66A1B">
        <w:rPr>
          <w:rFonts w:ascii="Arial" w:hAnsi="Arial" w:cs="Arial"/>
        </w:rPr>
        <w:t xml:space="preserve">. </w:t>
      </w:r>
      <w:r w:rsidRPr="004F441F">
        <w:rPr>
          <w:rFonts w:ascii="Arial" w:hAnsi="Arial" w:cs="Arial"/>
        </w:rPr>
        <w:t xml:space="preserve">World Scientific Congress of Golf 2018, </w:t>
      </w:r>
      <w:proofErr w:type="spellStart"/>
      <w:r w:rsidRPr="004F441F">
        <w:rPr>
          <w:rFonts w:ascii="Arial" w:hAnsi="Arial" w:cs="Arial"/>
        </w:rPr>
        <w:t>Abbortsford</w:t>
      </w:r>
      <w:proofErr w:type="spellEnd"/>
      <w:r w:rsidRPr="004F441F">
        <w:rPr>
          <w:rFonts w:ascii="Arial" w:hAnsi="Arial" w:cs="Arial"/>
        </w:rPr>
        <w:t>, British Columbia, Canada</w:t>
      </w:r>
      <w:r w:rsidR="004F441F">
        <w:rPr>
          <w:rFonts w:ascii="Arial" w:hAnsi="Arial" w:cs="Arial"/>
        </w:rPr>
        <w:t>.</w:t>
      </w:r>
    </w:p>
    <w:p w14:paraId="42A48C2E" w14:textId="60853C59" w:rsidR="00094D93" w:rsidRPr="00B66A1B" w:rsidRDefault="00094D93" w:rsidP="00B4287D">
      <w:pPr>
        <w:pStyle w:val="ListParagraph"/>
        <w:numPr>
          <w:ilvl w:val="0"/>
          <w:numId w:val="9"/>
        </w:numPr>
        <w:spacing w:line="480" w:lineRule="auto"/>
        <w:jc w:val="both"/>
        <w:rPr>
          <w:rFonts w:ascii="Arial" w:hAnsi="Arial" w:cs="Arial"/>
        </w:rPr>
      </w:pPr>
      <w:r w:rsidRPr="00B66A1B">
        <w:rPr>
          <w:rFonts w:ascii="Arial" w:hAnsi="Arial" w:cs="Arial"/>
        </w:rPr>
        <w:t xml:space="preserve">Chae, </w:t>
      </w:r>
      <w:proofErr w:type="gramStart"/>
      <w:r w:rsidRPr="00B66A1B">
        <w:rPr>
          <w:rFonts w:ascii="Arial" w:hAnsi="Arial" w:cs="Arial"/>
        </w:rPr>
        <w:t>J,S.</w:t>
      </w:r>
      <w:proofErr w:type="gramEnd"/>
      <w:r w:rsidRPr="00B66A1B">
        <w:rPr>
          <w:rFonts w:ascii="Arial" w:hAnsi="Arial" w:cs="Arial"/>
        </w:rPr>
        <w:t xml:space="preserve">, Park, J., &amp; So W,Y. (2018). Ranking prediction model using the competition record of the Ladies Professional Golf Association Players. </w:t>
      </w:r>
      <w:r w:rsidRPr="00B66A1B">
        <w:rPr>
          <w:rFonts w:ascii="Arial" w:hAnsi="Arial" w:cs="Arial"/>
          <w:i/>
          <w:iCs/>
        </w:rPr>
        <w:t xml:space="preserve">Journal of Strength and Conditioning Research. </w:t>
      </w:r>
      <w:r w:rsidRPr="00B66A1B">
        <w:rPr>
          <w:rFonts w:ascii="Arial" w:hAnsi="Arial" w:cs="Arial"/>
        </w:rPr>
        <w:t>32(8): 2363-2374</w:t>
      </w:r>
      <w:r w:rsidR="004F441F">
        <w:rPr>
          <w:rFonts w:ascii="Arial" w:hAnsi="Arial" w:cs="Arial"/>
        </w:rPr>
        <w:t>.</w:t>
      </w:r>
    </w:p>
    <w:p w14:paraId="3DA2965B" w14:textId="77777777" w:rsidR="00094D93" w:rsidRPr="00B66A1B" w:rsidRDefault="00094D93" w:rsidP="00B4287D">
      <w:pPr>
        <w:pStyle w:val="ListParagraph"/>
        <w:numPr>
          <w:ilvl w:val="0"/>
          <w:numId w:val="9"/>
        </w:numPr>
        <w:spacing w:line="480" w:lineRule="auto"/>
        <w:jc w:val="both"/>
        <w:rPr>
          <w:rFonts w:ascii="Arial" w:hAnsi="Arial" w:cs="Arial"/>
        </w:rPr>
      </w:pPr>
      <w:r w:rsidRPr="00B66A1B">
        <w:rPr>
          <w:rFonts w:ascii="Arial" w:hAnsi="Arial" w:cs="Arial"/>
        </w:rPr>
        <w:t xml:space="preserve">Cohen, J. (1977). </w:t>
      </w:r>
      <w:r w:rsidRPr="00B66A1B">
        <w:rPr>
          <w:rFonts w:ascii="Arial" w:hAnsi="Arial" w:cs="Arial"/>
          <w:i/>
          <w:iCs/>
        </w:rPr>
        <w:t>Statistical Power Analysis for Behavioural Sciences</w:t>
      </w:r>
      <w:r w:rsidRPr="00B66A1B">
        <w:rPr>
          <w:rFonts w:ascii="Arial" w:hAnsi="Arial" w:cs="Arial"/>
        </w:rPr>
        <w:t>. New York Academic Press.</w:t>
      </w:r>
    </w:p>
    <w:p w14:paraId="216EEC24" w14:textId="068B6EED" w:rsidR="00094D93" w:rsidRPr="00B66A1B" w:rsidRDefault="00094D93" w:rsidP="0033106F">
      <w:pPr>
        <w:pStyle w:val="ListParagraph"/>
        <w:numPr>
          <w:ilvl w:val="0"/>
          <w:numId w:val="9"/>
        </w:numPr>
        <w:spacing w:line="480" w:lineRule="auto"/>
        <w:jc w:val="both"/>
        <w:rPr>
          <w:rStyle w:val="pagerange"/>
          <w:rFonts w:ascii="Arial" w:hAnsi="Arial" w:cs="Arial"/>
        </w:rPr>
      </w:pPr>
      <w:r w:rsidRPr="00B66A1B">
        <w:rPr>
          <w:rStyle w:val="authors"/>
          <w:rFonts w:ascii="Arial" w:hAnsi="Arial" w:cs="Arial"/>
          <w:shd w:val="clear" w:color="auto" w:fill="FFFFFF"/>
        </w:rPr>
        <w:t xml:space="preserve">Davidson, </w:t>
      </w:r>
      <w:proofErr w:type="gramStart"/>
      <w:r w:rsidRPr="00B66A1B">
        <w:rPr>
          <w:rStyle w:val="authors"/>
          <w:rFonts w:ascii="Arial" w:hAnsi="Arial" w:cs="Arial"/>
          <w:shd w:val="clear" w:color="auto" w:fill="FFFFFF"/>
        </w:rPr>
        <w:t>J,D.</w:t>
      </w:r>
      <w:proofErr w:type="gramEnd"/>
      <w:r w:rsidRPr="00B66A1B">
        <w:rPr>
          <w:rStyle w:val="authors"/>
          <w:rFonts w:ascii="Arial" w:hAnsi="Arial" w:cs="Arial"/>
          <w:shd w:val="clear" w:color="auto" w:fill="FFFFFF"/>
        </w:rPr>
        <w:t>, &amp; Templin T,J. (1985).</w:t>
      </w:r>
      <w:r w:rsidRPr="00B66A1B">
        <w:rPr>
          <w:rFonts w:ascii="Arial" w:hAnsi="Arial" w:cs="Arial"/>
          <w:shd w:val="clear" w:color="auto" w:fill="FFFFFF"/>
        </w:rPr>
        <w:t> </w:t>
      </w:r>
      <w:r w:rsidRPr="00B66A1B">
        <w:rPr>
          <w:rStyle w:val="arttitle"/>
          <w:rFonts w:ascii="Arial" w:hAnsi="Arial" w:cs="Arial"/>
          <w:shd w:val="clear" w:color="auto" w:fill="FFFFFF"/>
        </w:rPr>
        <w:t xml:space="preserve">Determinants of Success among Professional Golfers. </w:t>
      </w:r>
      <w:r w:rsidRPr="00B66A1B">
        <w:rPr>
          <w:rStyle w:val="serialtitle"/>
          <w:rFonts w:ascii="Arial" w:hAnsi="Arial" w:cs="Arial"/>
          <w:i/>
          <w:iCs/>
          <w:shd w:val="clear" w:color="auto" w:fill="FFFFFF"/>
        </w:rPr>
        <w:t>Research Quarterly for Exercise and Sport</w:t>
      </w:r>
      <w:r w:rsidRPr="00B66A1B">
        <w:rPr>
          <w:rStyle w:val="serialtitle"/>
          <w:rFonts w:ascii="Arial" w:hAnsi="Arial" w:cs="Arial"/>
          <w:shd w:val="clear" w:color="auto" w:fill="FFFFFF"/>
        </w:rPr>
        <w:t>,</w:t>
      </w:r>
      <w:r w:rsidRPr="00B66A1B">
        <w:rPr>
          <w:rFonts w:ascii="Arial" w:hAnsi="Arial" w:cs="Arial"/>
          <w:shd w:val="clear" w:color="auto" w:fill="FFFFFF"/>
        </w:rPr>
        <w:t> </w:t>
      </w:r>
      <w:r w:rsidRPr="00B66A1B">
        <w:rPr>
          <w:rStyle w:val="volumeissue"/>
          <w:rFonts w:ascii="Arial" w:hAnsi="Arial" w:cs="Arial"/>
          <w:shd w:val="clear" w:color="auto" w:fill="FFFFFF"/>
        </w:rPr>
        <w:t>57:1,</w:t>
      </w:r>
      <w:r w:rsidRPr="00B66A1B">
        <w:rPr>
          <w:rFonts w:ascii="Arial" w:hAnsi="Arial" w:cs="Arial"/>
          <w:shd w:val="clear" w:color="auto" w:fill="FFFFFF"/>
        </w:rPr>
        <w:t> </w:t>
      </w:r>
      <w:r w:rsidRPr="00B66A1B">
        <w:rPr>
          <w:rStyle w:val="pagerange"/>
          <w:rFonts w:ascii="Arial" w:hAnsi="Arial" w:cs="Arial"/>
          <w:shd w:val="clear" w:color="auto" w:fill="FFFFFF"/>
        </w:rPr>
        <w:t>60-67</w:t>
      </w:r>
      <w:r w:rsidR="004F441F">
        <w:rPr>
          <w:rStyle w:val="pagerange"/>
          <w:rFonts w:ascii="Arial" w:hAnsi="Arial" w:cs="Arial"/>
          <w:shd w:val="clear" w:color="auto" w:fill="FFFFFF"/>
        </w:rPr>
        <w:t>.</w:t>
      </w:r>
    </w:p>
    <w:p w14:paraId="3765D4B4" w14:textId="77777777" w:rsidR="00094D93" w:rsidRPr="00B66A1B" w:rsidRDefault="00094D93" w:rsidP="00B4287D">
      <w:pPr>
        <w:pStyle w:val="ListParagraph"/>
        <w:numPr>
          <w:ilvl w:val="0"/>
          <w:numId w:val="9"/>
        </w:numPr>
        <w:spacing w:line="480" w:lineRule="auto"/>
        <w:jc w:val="both"/>
        <w:rPr>
          <w:rFonts w:ascii="Arial" w:hAnsi="Arial" w:cs="Arial"/>
        </w:rPr>
      </w:pPr>
      <w:r w:rsidRPr="00B66A1B">
        <w:rPr>
          <w:rFonts w:ascii="Arial" w:hAnsi="Arial" w:cs="Arial"/>
        </w:rPr>
        <w:t>Field, A. (2013</w:t>
      </w:r>
      <w:r w:rsidRPr="00B66A1B">
        <w:rPr>
          <w:rFonts w:ascii="Arial" w:hAnsi="Arial" w:cs="Arial"/>
          <w:i/>
          <w:iCs/>
        </w:rPr>
        <w:t>). Discovering Statistics using IBM SPSS Statistics</w:t>
      </w:r>
      <w:r w:rsidRPr="00B66A1B">
        <w:rPr>
          <w:rFonts w:ascii="Arial" w:hAnsi="Arial" w:cs="Arial"/>
        </w:rPr>
        <w:t xml:space="preserve">.; Sage Publications Ltd. London, UK. </w:t>
      </w:r>
    </w:p>
    <w:p w14:paraId="589DDCFF" w14:textId="77777777" w:rsidR="00094D93" w:rsidRPr="00B66A1B" w:rsidRDefault="00094D93" w:rsidP="0033106F">
      <w:pPr>
        <w:pStyle w:val="ListParagraph"/>
        <w:numPr>
          <w:ilvl w:val="0"/>
          <w:numId w:val="9"/>
        </w:numPr>
        <w:spacing w:line="480" w:lineRule="auto"/>
        <w:jc w:val="both"/>
        <w:rPr>
          <w:rStyle w:val="pagerange"/>
          <w:rFonts w:ascii="Arial" w:hAnsi="Arial" w:cs="Arial"/>
          <w:b/>
        </w:rPr>
      </w:pPr>
      <w:r w:rsidRPr="00B66A1B">
        <w:rPr>
          <w:rStyle w:val="pagerange"/>
          <w:rFonts w:ascii="Arial" w:hAnsi="Arial" w:cs="Arial"/>
          <w:shd w:val="clear" w:color="auto" w:fill="FFFFFF"/>
        </w:rPr>
        <w:lastRenderedPageBreak/>
        <w:t xml:space="preserve">Finley, </w:t>
      </w:r>
      <w:proofErr w:type="gramStart"/>
      <w:r w:rsidRPr="00B66A1B">
        <w:rPr>
          <w:rStyle w:val="pagerange"/>
          <w:rFonts w:ascii="Arial" w:hAnsi="Arial" w:cs="Arial"/>
          <w:shd w:val="clear" w:color="auto" w:fill="FFFFFF"/>
        </w:rPr>
        <w:t>P,S.</w:t>
      </w:r>
      <w:proofErr w:type="gramEnd"/>
      <w:r w:rsidRPr="00B66A1B">
        <w:rPr>
          <w:rStyle w:val="pagerange"/>
          <w:rFonts w:ascii="Arial" w:hAnsi="Arial" w:cs="Arial"/>
          <w:shd w:val="clear" w:color="auto" w:fill="FFFFFF"/>
        </w:rPr>
        <w:t xml:space="preserve">, &amp; Halsey, J, J. (2004). Determinants of PGA Tour success: an examination of relationships among performance, scoring, and earnings. </w:t>
      </w:r>
      <w:r w:rsidRPr="00B66A1B">
        <w:rPr>
          <w:rStyle w:val="pagerange"/>
          <w:rFonts w:ascii="Arial" w:hAnsi="Arial" w:cs="Arial"/>
          <w:i/>
          <w:iCs/>
          <w:shd w:val="clear" w:color="auto" w:fill="FFFFFF"/>
        </w:rPr>
        <w:t xml:space="preserve">Perceptual and Motor Skills. </w:t>
      </w:r>
      <w:r w:rsidRPr="00B66A1B">
        <w:rPr>
          <w:rStyle w:val="pagerange"/>
          <w:rFonts w:ascii="Arial" w:hAnsi="Arial" w:cs="Arial"/>
          <w:shd w:val="clear" w:color="auto" w:fill="FFFFFF"/>
        </w:rPr>
        <w:t>98: 1100-1106.</w:t>
      </w:r>
    </w:p>
    <w:p w14:paraId="3B341A26" w14:textId="77777777" w:rsidR="00094D93" w:rsidRPr="00B66A1B" w:rsidRDefault="00094D93" w:rsidP="00B4287D">
      <w:pPr>
        <w:pStyle w:val="ListParagraph"/>
        <w:numPr>
          <w:ilvl w:val="0"/>
          <w:numId w:val="9"/>
        </w:numPr>
        <w:spacing w:line="480" w:lineRule="auto"/>
        <w:jc w:val="both"/>
        <w:rPr>
          <w:rFonts w:ascii="Arial" w:hAnsi="Arial" w:cs="Arial"/>
        </w:rPr>
      </w:pPr>
      <w:proofErr w:type="spellStart"/>
      <w:proofErr w:type="gramStart"/>
      <w:r w:rsidRPr="00B66A1B">
        <w:rPr>
          <w:rFonts w:ascii="Arial" w:hAnsi="Arial" w:cs="Arial"/>
        </w:rPr>
        <w:t>Heiny</w:t>
      </w:r>
      <w:proofErr w:type="spellEnd"/>
      <w:r w:rsidRPr="00B66A1B">
        <w:rPr>
          <w:rFonts w:ascii="Arial" w:hAnsi="Arial" w:cs="Arial"/>
        </w:rPr>
        <w:t>,  E</w:t>
      </w:r>
      <w:proofErr w:type="gramEnd"/>
      <w:r w:rsidRPr="00B66A1B">
        <w:rPr>
          <w:rFonts w:ascii="Arial" w:hAnsi="Arial" w:cs="Arial"/>
        </w:rPr>
        <w:t xml:space="preserve">,L. (2008). Today’s PGA Tour pro: Long but not so straight. </w:t>
      </w:r>
      <w:r w:rsidRPr="00B66A1B">
        <w:rPr>
          <w:rFonts w:ascii="Arial" w:hAnsi="Arial" w:cs="Arial"/>
          <w:i/>
          <w:iCs/>
        </w:rPr>
        <w:t>Chance.</w:t>
      </w:r>
      <w:r w:rsidRPr="00B66A1B">
        <w:rPr>
          <w:rFonts w:ascii="Arial" w:hAnsi="Arial" w:cs="Arial"/>
        </w:rPr>
        <w:t xml:space="preserve"> 21: 10-21.</w:t>
      </w:r>
    </w:p>
    <w:p w14:paraId="58DBF2C7" w14:textId="1D4652D9" w:rsidR="00094D93" w:rsidRPr="00B66A1B" w:rsidRDefault="00094D93" w:rsidP="00B4287D">
      <w:pPr>
        <w:pStyle w:val="ListParagraph"/>
        <w:numPr>
          <w:ilvl w:val="0"/>
          <w:numId w:val="9"/>
        </w:numPr>
        <w:spacing w:line="480" w:lineRule="auto"/>
        <w:jc w:val="both"/>
        <w:rPr>
          <w:rFonts w:ascii="Arial" w:hAnsi="Arial" w:cs="Arial"/>
        </w:rPr>
      </w:pPr>
      <w:proofErr w:type="spellStart"/>
      <w:r w:rsidRPr="00B66A1B">
        <w:rPr>
          <w:rFonts w:ascii="Arial" w:hAnsi="Arial" w:cs="Arial"/>
        </w:rPr>
        <w:t>Hellström</w:t>
      </w:r>
      <w:proofErr w:type="spellEnd"/>
      <w:r w:rsidRPr="00B66A1B">
        <w:rPr>
          <w:rFonts w:ascii="Arial" w:hAnsi="Arial" w:cs="Arial"/>
        </w:rPr>
        <w:t xml:space="preserve">, J. (2009). Competitive Elite Golf. </w:t>
      </w:r>
      <w:r w:rsidRPr="00B66A1B">
        <w:rPr>
          <w:rFonts w:ascii="Arial" w:hAnsi="Arial" w:cs="Arial"/>
          <w:i/>
          <w:iCs/>
        </w:rPr>
        <w:t>Sport Medicine</w:t>
      </w:r>
      <w:r w:rsidRPr="00B66A1B">
        <w:rPr>
          <w:rFonts w:ascii="Arial" w:hAnsi="Arial" w:cs="Arial"/>
        </w:rPr>
        <w:t>. 39(9):</w:t>
      </w:r>
      <w:r w:rsidR="004F441F">
        <w:rPr>
          <w:rFonts w:ascii="Arial" w:hAnsi="Arial" w:cs="Arial"/>
        </w:rPr>
        <w:t xml:space="preserve"> </w:t>
      </w:r>
      <w:r w:rsidRPr="00B66A1B">
        <w:rPr>
          <w:rFonts w:ascii="Arial" w:hAnsi="Arial" w:cs="Arial"/>
        </w:rPr>
        <w:t>723–</w:t>
      </w:r>
      <w:r w:rsidR="004F441F">
        <w:rPr>
          <w:rFonts w:ascii="Arial" w:hAnsi="Arial" w:cs="Arial"/>
        </w:rPr>
        <w:t>7</w:t>
      </w:r>
      <w:r w:rsidRPr="00B66A1B">
        <w:rPr>
          <w:rFonts w:ascii="Arial" w:hAnsi="Arial" w:cs="Arial"/>
        </w:rPr>
        <w:t>41.</w:t>
      </w:r>
    </w:p>
    <w:p w14:paraId="08FDA75F" w14:textId="281EBBFF" w:rsidR="00094D93" w:rsidRPr="00B66A1B" w:rsidRDefault="00094D93" w:rsidP="00C7327C">
      <w:pPr>
        <w:pStyle w:val="ListParagraph"/>
        <w:numPr>
          <w:ilvl w:val="0"/>
          <w:numId w:val="9"/>
        </w:numPr>
        <w:spacing w:line="480" w:lineRule="auto"/>
        <w:jc w:val="both"/>
        <w:rPr>
          <w:rFonts w:ascii="Arial" w:hAnsi="Arial" w:cs="Arial"/>
        </w:rPr>
      </w:pPr>
      <w:proofErr w:type="spellStart"/>
      <w:r w:rsidRPr="00B66A1B">
        <w:rPr>
          <w:rFonts w:ascii="Arial" w:hAnsi="Arial" w:cs="Arial"/>
        </w:rPr>
        <w:t>Hellström</w:t>
      </w:r>
      <w:proofErr w:type="spellEnd"/>
      <w:r w:rsidRPr="00B66A1B">
        <w:rPr>
          <w:rFonts w:ascii="Arial" w:hAnsi="Arial" w:cs="Arial"/>
        </w:rPr>
        <w:t xml:space="preserve">, J., Nilsson, J., &amp; </w:t>
      </w:r>
      <w:proofErr w:type="spellStart"/>
      <w:r w:rsidRPr="00B66A1B">
        <w:rPr>
          <w:rFonts w:ascii="Arial" w:hAnsi="Arial" w:cs="Arial"/>
        </w:rPr>
        <w:t>Isberg</w:t>
      </w:r>
      <w:proofErr w:type="spellEnd"/>
      <w:r w:rsidRPr="00B66A1B">
        <w:rPr>
          <w:rFonts w:ascii="Arial" w:hAnsi="Arial" w:cs="Arial"/>
        </w:rPr>
        <w:t xml:space="preserve">, L. (2014). Drive for dough. PGA Tour golfers’ tee shot functional accuracy, distance and hole score. </w:t>
      </w:r>
      <w:r w:rsidRPr="00B66A1B">
        <w:rPr>
          <w:rFonts w:ascii="Arial" w:hAnsi="Arial" w:cs="Arial"/>
          <w:i/>
          <w:iCs/>
        </w:rPr>
        <w:t>Journal of Sports Sciences.</w:t>
      </w:r>
      <w:r w:rsidRPr="00B66A1B">
        <w:rPr>
          <w:rFonts w:ascii="Arial" w:hAnsi="Arial" w:cs="Arial"/>
        </w:rPr>
        <w:t xml:space="preserve"> 32(5): 462–</w:t>
      </w:r>
      <w:r w:rsidR="004F441F">
        <w:rPr>
          <w:rFonts w:ascii="Arial" w:hAnsi="Arial" w:cs="Arial"/>
        </w:rPr>
        <w:t>46</w:t>
      </w:r>
      <w:r w:rsidRPr="00B66A1B">
        <w:rPr>
          <w:rFonts w:ascii="Arial" w:hAnsi="Arial" w:cs="Arial"/>
        </w:rPr>
        <w:t xml:space="preserve">9. </w:t>
      </w:r>
    </w:p>
    <w:p w14:paraId="060A8A48" w14:textId="77777777" w:rsidR="00094D93" w:rsidRPr="00B66A1B" w:rsidRDefault="00094D93" w:rsidP="001C1496">
      <w:pPr>
        <w:pStyle w:val="ListParagraph"/>
        <w:numPr>
          <w:ilvl w:val="0"/>
          <w:numId w:val="9"/>
        </w:numPr>
        <w:spacing w:line="480" w:lineRule="auto"/>
        <w:jc w:val="both"/>
        <w:rPr>
          <w:rFonts w:ascii="Arial" w:hAnsi="Arial" w:cs="Arial"/>
          <w:b/>
        </w:rPr>
      </w:pPr>
      <w:r w:rsidRPr="00B66A1B">
        <w:rPr>
          <w:rStyle w:val="pagerange"/>
          <w:rFonts w:ascii="Arial" w:hAnsi="Arial" w:cs="Arial"/>
          <w:shd w:val="clear" w:color="auto" w:fill="FFFFFF"/>
        </w:rPr>
        <w:t xml:space="preserve">James, N., &amp; Rees, G. D. (2008). Approach shot accuracy as a performance indicator for US PGA Tour golf professionals. </w:t>
      </w:r>
      <w:r w:rsidRPr="00B66A1B">
        <w:rPr>
          <w:rStyle w:val="pagerange"/>
          <w:rFonts w:ascii="Arial" w:hAnsi="Arial" w:cs="Arial"/>
          <w:i/>
          <w:iCs/>
          <w:shd w:val="clear" w:color="auto" w:fill="FFFFFF"/>
        </w:rPr>
        <w:t>International Journal of Sports Science &amp; Coaching</w:t>
      </w:r>
      <w:r w:rsidRPr="00B66A1B">
        <w:rPr>
          <w:rStyle w:val="pagerange"/>
          <w:rFonts w:ascii="Arial" w:hAnsi="Arial" w:cs="Arial"/>
          <w:shd w:val="clear" w:color="auto" w:fill="FFFFFF"/>
        </w:rPr>
        <w:t>, 3(1_suppl), 145-160.</w:t>
      </w:r>
    </w:p>
    <w:p w14:paraId="5D67AA6C" w14:textId="3615CF13" w:rsidR="00094D93" w:rsidRPr="00B66A1B" w:rsidRDefault="00094D93" w:rsidP="00B4287D">
      <w:pPr>
        <w:pStyle w:val="ListParagraph"/>
        <w:numPr>
          <w:ilvl w:val="0"/>
          <w:numId w:val="9"/>
        </w:numPr>
        <w:spacing w:line="480" w:lineRule="auto"/>
        <w:jc w:val="both"/>
        <w:rPr>
          <w:rFonts w:ascii="Arial" w:hAnsi="Arial" w:cs="Arial"/>
        </w:rPr>
      </w:pPr>
      <w:r w:rsidRPr="00B66A1B">
        <w:rPr>
          <w:rFonts w:ascii="Arial" w:hAnsi="Arial" w:cs="Arial"/>
        </w:rPr>
        <w:t xml:space="preserve">Jimenez, </w:t>
      </w:r>
      <w:proofErr w:type="gramStart"/>
      <w:r w:rsidRPr="00B66A1B">
        <w:rPr>
          <w:rFonts w:ascii="Arial" w:hAnsi="Arial" w:cs="Arial"/>
        </w:rPr>
        <w:t>J,A.</w:t>
      </w:r>
      <w:proofErr w:type="gramEnd"/>
      <w:r w:rsidRPr="00B66A1B">
        <w:rPr>
          <w:rFonts w:ascii="Arial" w:hAnsi="Arial" w:cs="Arial"/>
        </w:rPr>
        <w:t xml:space="preserve">, Fierro-Hernandez, C. (1999). Are European and American Golf Players Different? Reply to Engelhardt (1997). </w:t>
      </w:r>
      <w:r w:rsidRPr="00B66A1B">
        <w:rPr>
          <w:rFonts w:ascii="Arial" w:hAnsi="Arial" w:cs="Arial"/>
          <w:i/>
          <w:iCs/>
        </w:rPr>
        <w:t>Perceptual and Motor Skills</w:t>
      </w:r>
      <w:r w:rsidRPr="00B66A1B">
        <w:rPr>
          <w:rFonts w:ascii="Arial" w:hAnsi="Arial" w:cs="Arial"/>
        </w:rPr>
        <w:t>. 89, 417-</w:t>
      </w:r>
      <w:r w:rsidR="004F441F">
        <w:rPr>
          <w:rFonts w:ascii="Arial" w:hAnsi="Arial" w:cs="Arial"/>
        </w:rPr>
        <w:t>41</w:t>
      </w:r>
      <w:r w:rsidRPr="00B66A1B">
        <w:rPr>
          <w:rFonts w:ascii="Arial" w:hAnsi="Arial" w:cs="Arial"/>
        </w:rPr>
        <w:t>8</w:t>
      </w:r>
      <w:r w:rsidR="004F441F">
        <w:rPr>
          <w:rFonts w:ascii="Arial" w:hAnsi="Arial" w:cs="Arial"/>
        </w:rPr>
        <w:t>.</w:t>
      </w:r>
    </w:p>
    <w:p w14:paraId="6D01C8E6" w14:textId="6DD2B728" w:rsidR="00094D93" w:rsidRPr="00B66A1B" w:rsidRDefault="00094D93" w:rsidP="0033106F">
      <w:pPr>
        <w:pStyle w:val="ListParagraph"/>
        <w:numPr>
          <w:ilvl w:val="0"/>
          <w:numId w:val="9"/>
        </w:numPr>
        <w:spacing w:line="480" w:lineRule="auto"/>
        <w:jc w:val="both"/>
        <w:rPr>
          <w:rStyle w:val="pagerange"/>
          <w:rFonts w:ascii="Arial" w:hAnsi="Arial" w:cs="Arial"/>
          <w:b/>
        </w:rPr>
      </w:pPr>
      <w:r w:rsidRPr="00B66A1B">
        <w:rPr>
          <w:rStyle w:val="pagerange"/>
          <w:rFonts w:ascii="Arial" w:hAnsi="Arial" w:cs="Arial"/>
          <w:shd w:val="clear" w:color="auto" w:fill="FFFFFF"/>
        </w:rPr>
        <w:t xml:space="preserve">Jones, R. (1990) A correlation analysis of the Professional Golf Association (USA) statistical rankings for 1988. </w:t>
      </w:r>
      <w:r w:rsidRPr="00B66A1B">
        <w:rPr>
          <w:rStyle w:val="pagerange"/>
          <w:rFonts w:ascii="Arial" w:hAnsi="Arial" w:cs="Arial"/>
          <w:i/>
          <w:iCs/>
          <w:shd w:val="clear" w:color="auto" w:fill="FFFFFF"/>
        </w:rPr>
        <w:t xml:space="preserve">In A. Cochran (Ed.), Science and golf Proceedings of the first World </w:t>
      </w:r>
      <w:proofErr w:type="spellStart"/>
      <w:r w:rsidRPr="00B66A1B">
        <w:rPr>
          <w:rStyle w:val="pagerange"/>
          <w:rFonts w:ascii="Arial" w:hAnsi="Arial" w:cs="Arial"/>
          <w:i/>
          <w:iCs/>
          <w:shd w:val="clear" w:color="auto" w:fill="FFFFFF"/>
        </w:rPr>
        <w:t>Scientifc</w:t>
      </w:r>
      <w:proofErr w:type="spellEnd"/>
      <w:r w:rsidRPr="00B66A1B">
        <w:rPr>
          <w:rStyle w:val="pagerange"/>
          <w:rFonts w:ascii="Arial" w:hAnsi="Arial" w:cs="Arial"/>
          <w:i/>
          <w:iCs/>
          <w:shd w:val="clear" w:color="auto" w:fill="FFFFFF"/>
        </w:rPr>
        <w:t xml:space="preserve"> Congress of Golf</w:t>
      </w:r>
      <w:r w:rsidRPr="00B66A1B">
        <w:rPr>
          <w:rStyle w:val="pagerange"/>
          <w:rFonts w:ascii="Arial" w:hAnsi="Arial" w:cs="Arial"/>
          <w:shd w:val="clear" w:color="auto" w:fill="FFFFFF"/>
        </w:rPr>
        <w:t>: London: E &amp; FN Spon. Pp. 165-167</w:t>
      </w:r>
      <w:r w:rsidR="004F441F">
        <w:rPr>
          <w:rStyle w:val="pagerange"/>
          <w:rFonts w:ascii="Arial" w:hAnsi="Arial" w:cs="Arial"/>
          <w:shd w:val="clear" w:color="auto" w:fill="FFFFFF"/>
        </w:rPr>
        <w:t>.</w:t>
      </w:r>
    </w:p>
    <w:p w14:paraId="78850D52" w14:textId="0A8D8576" w:rsidR="00094D93" w:rsidRPr="00B66A1B" w:rsidRDefault="00094D93" w:rsidP="00B4287D">
      <w:pPr>
        <w:pStyle w:val="ListParagraph"/>
        <w:numPr>
          <w:ilvl w:val="0"/>
          <w:numId w:val="9"/>
        </w:numPr>
        <w:spacing w:line="480" w:lineRule="auto"/>
        <w:jc w:val="both"/>
        <w:rPr>
          <w:rFonts w:ascii="Arial" w:hAnsi="Arial" w:cs="Arial"/>
        </w:rPr>
      </w:pPr>
      <w:proofErr w:type="spellStart"/>
      <w:r w:rsidRPr="00B66A1B">
        <w:rPr>
          <w:rFonts w:ascii="Arial" w:hAnsi="Arial" w:cs="Arial"/>
        </w:rPr>
        <w:t>Ketzscher</w:t>
      </w:r>
      <w:proofErr w:type="spellEnd"/>
      <w:r w:rsidRPr="00B66A1B">
        <w:rPr>
          <w:rFonts w:ascii="Arial" w:hAnsi="Arial" w:cs="Arial"/>
        </w:rPr>
        <w:t xml:space="preserve">, R., &amp; Ringrose, </w:t>
      </w:r>
      <w:proofErr w:type="gramStart"/>
      <w:r w:rsidRPr="00B66A1B">
        <w:rPr>
          <w:rFonts w:ascii="Arial" w:hAnsi="Arial" w:cs="Arial"/>
        </w:rPr>
        <w:t>T,J.</w:t>
      </w:r>
      <w:proofErr w:type="gramEnd"/>
      <w:r w:rsidRPr="00B66A1B">
        <w:rPr>
          <w:rFonts w:ascii="Arial" w:hAnsi="Arial" w:cs="Arial"/>
        </w:rPr>
        <w:t xml:space="preserve"> (2002). Exploratory analysis of the European Professional Golf Association statistics. </w:t>
      </w:r>
      <w:r w:rsidRPr="00B66A1B">
        <w:rPr>
          <w:rFonts w:ascii="Arial" w:hAnsi="Arial" w:cs="Arial"/>
          <w:i/>
          <w:iCs/>
        </w:rPr>
        <w:t>The Statistician.</w:t>
      </w:r>
      <w:r w:rsidRPr="00B66A1B">
        <w:rPr>
          <w:rFonts w:ascii="Arial" w:hAnsi="Arial" w:cs="Arial"/>
        </w:rPr>
        <w:t xml:space="preserve"> 51:2, 215-228</w:t>
      </w:r>
      <w:r w:rsidR="004F441F">
        <w:rPr>
          <w:rFonts w:ascii="Arial" w:hAnsi="Arial" w:cs="Arial"/>
        </w:rPr>
        <w:t>.</w:t>
      </w:r>
    </w:p>
    <w:p w14:paraId="235D070A" w14:textId="79B1E8D6" w:rsidR="00094D93" w:rsidRPr="00B66A1B" w:rsidRDefault="00094D93" w:rsidP="00B4287D">
      <w:pPr>
        <w:pStyle w:val="ListParagraph"/>
        <w:numPr>
          <w:ilvl w:val="0"/>
          <w:numId w:val="9"/>
        </w:numPr>
        <w:spacing w:line="480" w:lineRule="auto"/>
        <w:jc w:val="both"/>
        <w:rPr>
          <w:rFonts w:ascii="Arial" w:hAnsi="Arial" w:cs="Arial"/>
        </w:rPr>
      </w:pPr>
      <w:r w:rsidRPr="00B66A1B">
        <w:rPr>
          <w:rFonts w:ascii="Arial" w:hAnsi="Arial" w:cs="Arial"/>
        </w:rPr>
        <w:t xml:space="preserve">Moy, </w:t>
      </w:r>
      <w:proofErr w:type="gramStart"/>
      <w:r w:rsidRPr="00B66A1B">
        <w:rPr>
          <w:rFonts w:ascii="Arial" w:hAnsi="Arial" w:cs="Arial"/>
        </w:rPr>
        <w:t>R,L.</w:t>
      </w:r>
      <w:proofErr w:type="gramEnd"/>
      <w:r w:rsidRPr="00B66A1B">
        <w:rPr>
          <w:rFonts w:ascii="Arial" w:hAnsi="Arial" w:cs="Arial"/>
        </w:rPr>
        <w:t xml:space="preserve">, &amp; </w:t>
      </w:r>
      <w:proofErr w:type="spellStart"/>
      <w:r w:rsidRPr="00B66A1B">
        <w:rPr>
          <w:rFonts w:ascii="Arial" w:hAnsi="Arial" w:cs="Arial"/>
        </w:rPr>
        <w:t>Liaw</w:t>
      </w:r>
      <w:proofErr w:type="spellEnd"/>
      <w:r w:rsidRPr="00B66A1B">
        <w:rPr>
          <w:rFonts w:ascii="Arial" w:hAnsi="Arial" w:cs="Arial"/>
        </w:rPr>
        <w:t xml:space="preserve">, T. (1998). Determinants of professional golf tournament earnings. </w:t>
      </w:r>
      <w:r w:rsidRPr="00B66A1B">
        <w:rPr>
          <w:rFonts w:ascii="Arial" w:hAnsi="Arial" w:cs="Arial"/>
          <w:i/>
          <w:iCs/>
        </w:rPr>
        <w:t>The American Economist.</w:t>
      </w:r>
      <w:r w:rsidRPr="00B66A1B">
        <w:rPr>
          <w:rFonts w:ascii="Arial" w:hAnsi="Arial" w:cs="Arial"/>
        </w:rPr>
        <w:t xml:space="preserve"> 42:1, 65-70</w:t>
      </w:r>
      <w:r w:rsidR="004F441F">
        <w:rPr>
          <w:rFonts w:ascii="Arial" w:hAnsi="Arial" w:cs="Arial"/>
        </w:rPr>
        <w:t>.</w:t>
      </w:r>
    </w:p>
    <w:p w14:paraId="42E3D509" w14:textId="71645431" w:rsidR="00094D93" w:rsidRPr="00B66A1B" w:rsidRDefault="00094D93" w:rsidP="00B4287D">
      <w:pPr>
        <w:pStyle w:val="ListParagraph"/>
        <w:numPr>
          <w:ilvl w:val="0"/>
          <w:numId w:val="9"/>
        </w:numPr>
        <w:spacing w:line="480" w:lineRule="auto"/>
        <w:jc w:val="both"/>
        <w:rPr>
          <w:rFonts w:ascii="Arial" w:hAnsi="Arial" w:cs="Arial"/>
        </w:rPr>
      </w:pPr>
      <w:r w:rsidRPr="00B66A1B">
        <w:rPr>
          <w:rFonts w:ascii="Arial" w:hAnsi="Arial" w:cs="Arial"/>
        </w:rPr>
        <w:t xml:space="preserve">Reilly, T., Waterhouse, J., &amp; Edwards. Jet lag and air travel: implications for performance. </w:t>
      </w:r>
      <w:r w:rsidRPr="00B66A1B">
        <w:rPr>
          <w:rFonts w:ascii="Arial" w:hAnsi="Arial" w:cs="Arial"/>
          <w:i/>
          <w:iCs/>
        </w:rPr>
        <w:t>Clinical Sports Medicine</w:t>
      </w:r>
      <w:r w:rsidRPr="00B66A1B">
        <w:rPr>
          <w:rFonts w:ascii="Arial" w:hAnsi="Arial" w:cs="Arial"/>
        </w:rPr>
        <w:t>. 2005; 24(2): 367-</w:t>
      </w:r>
      <w:r w:rsidR="004F441F">
        <w:rPr>
          <w:rFonts w:ascii="Arial" w:hAnsi="Arial" w:cs="Arial"/>
        </w:rPr>
        <w:t>3</w:t>
      </w:r>
      <w:r w:rsidRPr="00B66A1B">
        <w:rPr>
          <w:rFonts w:ascii="Arial" w:hAnsi="Arial" w:cs="Arial"/>
        </w:rPr>
        <w:t>80</w:t>
      </w:r>
      <w:r w:rsidR="004F441F">
        <w:rPr>
          <w:rFonts w:ascii="Arial" w:hAnsi="Arial" w:cs="Arial"/>
        </w:rPr>
        <w:t>.</w:t>
      </w:r>
    </w:p>
    <w:p w14:paraId="3970A245" w14:textId="4750A8B6" w:rsidR="00094D93" w:rsidRDefault="00094D93" w:rsidP="00B4287D">
      <w:pPr>
        <w:pStyle w:val="ListParagraph"/>
        <w:numPr>
          <w:ilvl w:val="0"/>
          <w:numId w:val="9"/>
        </w:numPr>
        <w:spacing w:line="480" w:lineRule="auto"/>
        <w:jc w:val="both"/>
        <w:rPr>
          <w:rFonts w:ascii="Arial" w:hAnsi="Arial" w:cs="Arial"/>
        </w:rPr>
      </w:pPr>
      <w:r w:rsidRPr="00B66A1B">
        <w:rPr>
          <w:rFonts w:ascii="Arial" w:hAnsi="Arial" w:cs="Arial"/>
        </w:rPr>
        <w:t xml:space="preserve">Wiseman, F., &amp; Chatterjee, S. (2006). Comprehensive analysis of golf performance on the PGA Tour: 1990-2004. </w:t>
      </w:r>
      <w:r w:rsidRPr="00B66A1B">
        <w:rPr>
          <w:rFonts w:ascii="Arial" w:hAnsi="Arial" w:cs="Arial"/>
          <w:i/>
          <w:iCs/>
        </w:rPr>
        <w:t>Perceptual Motor Skills</w:t>
      </w:r>
      <w:r w:rsidRPr="00B66A1B">
        <w:rPr>
          <w:rFonts w:ascii="Arial" w:hAnsi="Arial" w:cs="Arial"/>
        </w:rPr>
        <w:t>.102(1): 109-</w:t>
      </w:r>
      <w:r w:rsidR="004F441F">
        <w:rPr>
          <w:rFonts w:ascii="Arial" w:hAnsi="Arial" w:cs="Arial"/>
        </w:rPr>
        <w:t>1</w:t>
      </w:r>
      <w:r w:rsidRPr="00B66A1B">
        <w:rPr>
          <w:rFonts w:ascii="Arial" w:hAnsi="Arial" w:cs="Arial"/>
        </w:rPr>
        <w:t>17</w:t>
      </w:r>
      <w:r w:rsidR="004F441F">
        <w:rPr>
          <w:rFonts w:ascii="Arial" w:hAnsi="Arial" w:cs="Arial"/>
        </w:rPr>
        <w:t>.</w:t>
      </w:r>
    </w:p>
    <w:p w14:paraId="7C6538E3" w14:textId="5226AD52" w:rsidR="00D1656A" w:rsidRDefault="00D1656A" w:rsidP="00D1656A">
      <w:pPr>
        <w:spacing w:line="480" w:lineRule="auto"/>
        <w:jc w:val="both"/>
        <w:rPr>
          <w:rFonts w:ascii="Arial" w:hAnsi="Arial" w:cs="Arial"/>
        </w:rPr>
      </w:pPr>
    </w:p>
    <w:p w14:paraId="30D40F83" w14:textId="1A3AEE8E" w:rsidR="00D1656A" w:rsidRDefault="00D1656A" w:rsidP="00D1656A">
      <w:pPr>
        <w:spacing w:line="480" w:lineRule="auto"/>
        <w:jc w:val="both"/>
        <w:rPr>
          <w:rFonts w:ascii="Arial" w:hAnsi="Arial" w:cs="Arial"/>
        </w:rPr>
      </w:pPr>
    </w:p>
    <w:p w14:paraId="0B6AE088" w14:textId="77777777" w:rsidR="00D1656A" w:rsidRDefault="00D1656A" w:rsidP="00D1656A">
      <w:pPr>
        <w:pStyle w:val="Caption"/>
        <w:keepNext/>
        <w:rPr>
          <w:rFonts w:ascii="Arial" w:hAnsi="Arial" w:cs="Arial"/>
          <w:color w:val="auto"/>
          <w:sz w:val="22"/>
          <w:szCs w:val="22"/>
        </w:rPr>
        <w:sectPr w:rsidR="00D1656A" w:rsidSect="00C22E15">
          <w:headerReference w:type="default" r:id="rId8"/>
          <w:pgSz w:w="11906" w:h="16838"/>
          <w:pgMar w:top="1440" w:right="1440" w:bottom="1440" w:left="1440" w:header="708" w:footer="708" w:gutter="0"/>
          <w:lnNumType w:countBy="1" w:restart="continuous"/>
          <w:cols w:space="708"/>
          <w:docGrid w:linePitch="360"/>
        </w:sectPr>
      </w:pPr>
    </w:p>
    <w:p w14:paraId="43F2648A" w14:textId="4F4E56F5" w:rsidR="00D1656A" w:rsidRPr="000D1274" w:rsidRDefault="00D1656A" w:rsidP="00D1656A">
      <w:pPr>
        <w:pStyle w:val="Caption"/>
        <w:keepNext/>
        <w:rPr>
          <w:rFonts w:ascii="Arial" w:hAnsi="Arial" w:cs="Arial"/>
          <w:color w:val="auto"/>
          <w:sz w:val="22"/>
          <w:szCs w:val="22"/>
        </w:rPr>
      </w:pPr>
      <w:r w:rsidRPr="000D1274">
        <w:rPr>
          <w:rFonts w:ascii="Arial" w:hAnsi="Arial" w:cs="Arial"/>
          <w:color w:val="auto"/>
          <w:sz w:val="22"/>
          <w:szCs w:val="22"/>
        </w:rPr>
        <w:lastRenderedPageBreak/>
        <w:t xml:space="preserve">Table </w:t>
      </w:r>
      <w:r w:rsidRPr="000D1274">
        <w:rPr>
          <w:rFonts w:ascii="Arial" w:hAnsi="Arial" w:cs="Arial"/>
          <w:color w:val="auto"/>
          <w:sz w:val="22"/>
          <w:szCs w:val="22"/>
        </w:rPr>
        <w:fldChar w:fldCharType="begin"/>
      </w:r>
      <w:r w:rsidRPr="000D1274">
        <w:rPr>
          <w:rFonts w:ascii="Arial" w:hAnsi="Arial" w:cs="Arial"/>
          <w:color w:val="auto"/>
          <w:sz w:val="22"/>
          <w:szCs w:val="22"/>
        </w:rPr>
        <w:instrText xml:space="preserve"> SEQ Table \* ARABIC </w:instrText>
      </w:r>
      <w:r w:rsidRPr="000D1274">
        <w:rPr>
          <w:rFonts w:ascii="Arial" w:hAnsi="Arial" w:cs="Arial"/>
          <w:color w:val="auto"/>
          <w:sz w:val="22"/>
          <w:szCs w:val="22"/>
        </w:rPr>
        <w:fldChar w:fldCharType="separate"/>
      </w:r>
      <w:r w:rsidRPr="000D1274">
        <w:rPr>
          <w:rFonts w:ascii="Arial" w:hAnsi="Arial" w:cs="Arial"/>
          <w:noProof/>
          <w:color w:val="auto"/>
          <w:sz w:val="22"/>
          <w:szCs w:val="22"/>
        </w:rPr>
        <w:t>1</w:t>
      </w:r>
      <w:r w:rsidRPr="000D1274">
        <w:rPr>
          <w:rFonts w:ascii="Arial" w:hAnsi="Arial" w:cs="Arial"/>
          <w:color w:val="auto"/>
          <w:sz w:val="22"/>
          <w:szCs w:val="22"/>
        </w:rPr>
        <w:fldChar w:fldCharType="end"/>
      </w:r>
      <w:r w:rsidRPr="000D1274">
        <w:rPr>
          <w:rFonts w:ascii="Arial" w:hAnsi="Arial" w:cs="Arial"/>
          <w:color w:val="auto"/>
          <w:sz w:val="22"/>
          <w:szCs w:val="22"/>
        </w:rPr>
        <w:t>: Performance variables for 2017, 2018, and 2019 European Tour seasons.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8"/>
        <w:gridCol w:w="2797"/>
        <w:gridCol w:w="3054"/>
        <w:gridCol w:w="2797"/>
      </w:tblGrid>
      <w:tr w:rsidR="00D1656A" w:rsidRPr="000D1274" w14:paraId="0004BCB2" w14:textId="77777777" w:rsidTr="00E2373B">
        <w:trPr>
          <w:trHeight w:val="487"/>
        </w:trPr>
        <w:tc>
          <w:tcPr>
            <w:tcW w:w="5408" w:type="dxa"/>
            <w:vAlign w:val="center"/>
          </w:tcPr>
          <w:p w14:paraId="4507CA83" w14:textId="77777777" w:rsidR="00D1656A" w:rsidRPr="000D1274" w:rsidRDefault="00D1656A" w:rsidP="00E2373B">
            <w:pPr>
              <w:jc w:val="center"/>
              <w:rPr>
                <w:rFonts w:ascii="Arial" w:hAnsi="Arial" w:cs="Arial"/>
                <w:b/>
              </w:rPr>
            </w:pPr>
            <w:r w:rsidRPr="000D1274">
              <w:rPr>
                <w:rFonts w:ascii="Arial" w:hAnsi="Arial" w:cs="Arial"/>
                <w:b/>
              </w:rPr>
              <w:t>Parameter</w:t>
            </w:r>
          </w:p>
        </w:tc>
        <w:tc>
          <w:tcPr>
            <w:tcW w:w="2797" w:type="dxa"/>
            <w:vAlign w:val="center"/>
          </w:tcPr>
          <w:p w14:paraId="56F0EF43" w14:textId="77777777" w:rsidR="00D1656A" w:rsidRPr="000D1274" w:rsidRDefault="00D1656A" w:rsidP="00E2373B">
            <w:pPr>
              <w:jc w:val="center"/>
              <w:rPr>
                <w:rFonts w:ascii="Arial" w:hAnsi="Arial" w:cs="Arial"/>
                <w:b/>
              </w:rPr>
            </w:pPr>
            <w:r w:rsidRPr="000D1274">
              <w:rPr>
                <w:rFonts w:ascii="Arial" w:hAnsi="Arial" w:cs="Arial"/>
                <w:b/>
              </w:rPr>
              <w:t>2017</w:t>
            </w:r>
          </w:p>
          <w:p w14:paraId="7417B7DA" w14:textId="77777777" w:rsidR="00D1656A" w:rsidRPr="000D1274" w:rsidRDefault="00D1656A" w:rsidP="00E2373B">
            <w:pPr>
              <w:jc w:val="center"/>
              <w:rPr>
                <w:rFonts w:ascii="Arial" w:hAnsi="Arial" w:cs="Arial"/>
                <w:b/>
              </w:rPr>
            </w:pPr>
            <w:r w:rsidRPr="000D1274">
              <w:rPr>
                <w:rFonts w:ascii="Arial" w:hAnsi="Arial" w:cs="Arial"/>
                <w:b/>
              </w:rPr>
              <w:t>(N= 151)</w:t>
            </w:r>
          </w:p>
        </w:tc>
        <w:tc>
          <w:tcPr>
            <w:tcW w:w="3054" w:type="dxa"/>
            <w:vAlign w:val="center"/>
          </w:tcPr>
          <w:p w14:paraId="4CF51038" w14:textId="77777777" w:rsidR="00D1656A" w:rsidRPr="000D1274" w:rsidRDefault="00D1656A" w:rsidP="00E2373B">
            <w:pPr>
              <w:jc w:val="center"/>
              <w:rPr>
                <w:rFonts w:ascii="Arial" w:hAnsi="Arial" w:cs="Arial"/>
                <w:b/>
              </w:rPr>
            </w:pPr>
            <w:r w:rsidRPr="000D1274">
              <w:rPr>
                <w:rFonts w:ascii="Arial" w:hAnsi="Arial" w:cs="Arial"/>
                <w:b/>
              </w:rPr>
              <w:t>2018</w:t>
            </w:r>
          </w:p>
          <w:p w14:paraId="707C0F14" w14:textId="77777777" w:rsidR="00D1656A" w:rsidRPr="000D1274" w:rsidRDefault="00D1656A" w:rsidP="00E2373B">
            <w:pPr>
              <w:jc w:val="center"/>
              <w:rPr>
                <w:rFonts w:ascii="Arial" w:hAnsi="Arial" w:cs="Arial"/>
                <w:b/>
              </w:rPr>
            </w:pPr>
            <w:r w:rsidRPr="000D1274">
              <w:rPr>
                <w:rFonts w:ascii="Arial" w:hAnsi="Arial" w:cs="Arial"/>
                <w:b/>
              </w:rPr>
              <w:t>(N= 165)</w:t>
            </w:r>
          </w:p>
        </w:tc>
        <w:tc>
          <w:tcPr>
            <w:tcW w:w="2797" w:type="dxa"/>
            <w:vAlign w:val="center"/>
          </w:tcPr>
          <w:p w14:paraId="625B7131" w14:textId="77777777" w:rsidR="00D1656A" w:rsidRPr="000D1274" w:rsidRDefault="00D1656A" w:rsidP="00E2373B">
            <w:pPr>
              <w:jc w:val="center"/>
              <w:rPr>
                <w:rFonts w:ascii="Arial" w:hAnsi="Arial" w:cs="Arial"/>
                <w:b/>
              </w:rPr>
            </w:pPr>
            <w:r w:rsidRPr="000D1274">
              <w:rPr>
                <w:rFonts w:ascii="Arial" w:hAnsi="Arial" w:cs="Arial"/>
                <w:b/>
              </w:rPr>
              <w:t>2019</w:t>
            </w:r>
          </w:p>
          <w:p w14:paraId="6912599D" w14:textId="77777777" w:rsidR="00D1656A" w:rsidRPr="000D1274" w:rsidRDefault="00D1656A" w:rsidP="00E2373B">
            <w:pPr>
              <w:jc w:val="center"/>
              <w:rPr>
                <w:rFonts w:ascii="Arial" w:hAnsi="Arial" w:cs="Arial"/>
                <w:b/>
              </w:rPr>
            </w:pPr>
            <w:r w:rsidRPr="000D1274">
              <w:rPr>
                <w:rFonts w:ascii="Arial" w:hAnsi="Arial" w:cs="Arial"/>
                <w:b/>
              </w:rPr>
              <w:t>(N= 161)</w:t>
            </w:r>
          </w:p>
        </w:tc>
      </w:tr>
      <w:tr w:rsidR="00D1656A" w:rsidRPr="000D1274" w14:paraId="42C523A3" w14:textId="77777777" w:rsidTr="00E2373B">
        <w:trPr>
          <w:trHeight w:val="487"/>
        </w:trPr>
        <w:tc>
          <w:tcPr>
            <w:tcW w:w="5408" w:type="dxa"/>
            <w:vAlign w:val="center"/>
          </w:tcPr>
          <w:p w14:paraId="50C7B847" w14:textId="77777777" w:rsidR="00D1656A" w:rsidRPr="000D1274" w:rsidRDefault="00D1656A" w:rsidP="00E2373B">
            <w:pPr>
              <w:jc w:val="center"/>
              <w:rPr>
                <w:rFonts w:ascii="Arial" w:hAnsi="Arial" w:cs="Arial"/>
              </w:rPr>
            </w:pPr>
            <w:r w:rsidRPr="000D1274">
              <w:rPr>
                <w:rFonts w:ascii="Arial" w:hAnsi="Arial" w:cs="Arial"/>
              </w:rPr>
              <w:t>Stroke Average</w:t>
            </w:r>
          </w:p>
        </w:tc>
        <w:tc>
          <w:tcPr>
            <w:tcW w:w="2797" w:type="dxa"/>
            <w:vAlign w:val="center"/>
          </w:tcPr>
          <w:p w14:paraId="18F55DCE" w14:textId="77777777" w:rsidR="00D1656A" w:rsidRPr="000D1274" w:rsidRDefault="00D1656A" w:rsidP="00E2373B">
            <w:pPr>
              <w:jc w:val="center"/>
              <w:rPr>
                <w:rFonts w:ascii="Arial" w:hAnsi="Arial" w:cs="Arial"/>
              </w:rPr>
            </w:pPr>
            <w:r w:rsidRPr="000D1274">
              <w:rPr>
                <w:rFonts w:ascii="Arial" w:hAnsi="Arial" w:cs="Arial"/>
              </w:rPr>
              <w:t>71.26 ± 0.70</w:t>
            </w:r>
          </w:p>
        </w:tc>
        <w:tc>
          <w:tcPr>
            <w:tcW w:w="3054" w:type="dxa"/>
            <w:vAlign w:val="center"/>
          </w:tcPr>
          <w:p w14:paraId="181C594B" w14:textId="77777777" w:rsidR="00D1656A" w:rsidRPr="000D1274" w:rsidRDefault="00D1656A" w:rsidP="00E2373B">
            <w:pPr>
              <w:jc w:val="center"/>
              <w:rPr>
                <w:rFonts w:ascii="Arial" w:hAnsi="Arial" w:cs="Arial"/>
              </w:rPr>
            </w:pPr>
            <w:r w:rsidRPr="000D1274">
              <w:rPr>
                <w:rFonts w:ascii="Arial" w:hAnsi="Arial" w:cs="Arial"/>
              </w:rPr>
              <w:t>71.14 ± 0.74</w:t>
            </w:r>
          </w:p>
        </w:tc>
        <w:tc>
          <w:tcPr>
            <w:tcW w:w="2797" w:type="dxa"/>
            <w:vAlign w:val="center"/>
          </w:tcPr>
          <w:p w14:paraId="129A413B" w14:textId="77777777" w:rsidR="00D1656A" w:rsidRPr="000D1274" w:rsidRDefault="00D1656A" w:rsidP="00E2373B">
            <w:pPr>
              <w:jc w:val="center"/>
              <w:rPr>
                <w:rFonts w:ascii="Arial" w:hAnsi="Arial" w:cs="Arial"/>
              </w:rPr>
            </w:pPr>
            <w:r w:rsidRPr="000D1274">
              <w:rPr>
                <w:rFonts w:ascii="Arial" w:hAnsi="Arial" w:cs="Arial"/>
              </w:rPr>
              <w:t>71.22 ± 0.79</w:t>
            </w:r>
          </w:p>
        </w:tc>
      </w:tr>
      <w:tr w:rsidR="00D1656A" w:rsidRPr="000D1274" w14:paraId="21CA1E0C" w14:textId="77777777" w:rsidTr="00E2373B">
        <w:trPr>
          <w:trHeight w:val="487"/>
        </w:trPr>
        <w:tc>
          <w:tcPr>
            <w:tcW w:w="5408" w:type="dxa"/>
            <w:vAlign w:val="center"/>
          </w:tcPr>
          <w:p w14:paraId="1FF50EB1" w14:textId="77777777" w:rsidR="00D1656A" w:rsidRPr="000D1274" w:rsidRDefault="00D1656A" w:rsidP="00E2373B">
            <w:pPr>
              <w:jc w:val="center"/>
              <w:rPr>
                <w:rFonts w:ascii="Arial" w:hAnsi="Arial" w:cs="Arial"/>
              </w:rPr>
            </w:pPr>
            <w:r w:rsidRPr="000D1274">
              <w:rPr>
                <w:rFonts w:ascii="Arial" w:hAnsi="Arial" w:cs="Arial"/>
              </w:rPr>
              <w:t>R2D Rank</w:t>
            </w:r>
          </w:p>
        </w:tc>
        <w:tc>
          <w:tcPr>
            <w:tcW w:w="2797" w:type="dxa"/>
            <w:vAlign w:val="center"/>
          </w:tcPr>
          <w:p w14:paraId="1741540D" w14:textId="77777777" w:rsidR="00D1656A" w:rsidRPr="000D1274" w:rsidRDefault="00D1656A" w:rsidP="00E2373B">
            <w:pPr>
              <w:jc w:val="center"/>
              <w:rPr>
                <w:rFonts w:ascii="Arial" w:hAnsi="Arial" w:cs="Arial"/>
              </w:rPr>
            </w:pPr>
            <w:r w:rsidRPr="000D1274">
              <w:rPr>
                <w:rFonts w:ascii="Arial" w:hAnsi="Arial" w:cs="Arial"/>
              </w:rPr>
              <w:t>82 ± 50</w:t>
            </w:r>
          </w:p>
        </w:tc>
        <w:tc>
          <w:tcPr>
            <w:tcW w:w="3054" w:type="dxa"/>
            <w:vAlign w:val="center"/>
          </w:tcPr>
          <w:p w14:paraId="40422F98" w14:textId="77777777" w:rsidR="00D1656A" w:rsidRPr="000D1274" w:rsidRDefault="00D1656A" w:rsidP="00E2373B">
            <w:pPr>
              <w:jc w:val="center"/>
              <w:rPr>
                <w:rFonts w:ascii="Arial" w:hAnsi="Arial" w:cs="Arial"/>
              </w:rPr>
            </w:pPr>
            <w:r w:rsidRPr="000D1274">
              <w:rPr>
                <w:rFonts w:ascii="Arial" w:hAnsi="Arial" w:cs="Arial"/>
              </w:rPr>
              <w:t>94 ± 54*</w:t>
            </w:r>
          </w:p>
        </w:tc>
        <w:tc>
          <w:tcPr>
            <w:tcW w:w="2797" w:type="dxa"/>
            <w:vAlign w:val="center"/>
          </w:tcPr>
          <w:p w14:paraId="4628AEE3" w14:textId="77777777" w:rsidR="00D1656A" w:rsidRPr="000D1274" w:rsidRDefault="00D1656A" w:rsidP="00E2373B">
            <w:pPr>
              <w:jc w:val="center"/>
              <w:rPr>
                <w:rFonts w:ascii="Arial" w:hAnsi="Arial" w:cs="Arial"/>
              </w:rPr>
            </w:pPr>
            <w:r w:rsidRPr="000D1274">
              <w:rPr>
                <w:rFonts w:ascii="Arial" w:hAnsi="Arial" w:cs="Arial"/>
              </w:rPr>
              <w:t>95 ± 52***</w:t>
            </w:r>
          </w:p>
        </w:tc>
      </w:tr>
      <w:tr w:rsidR="00D1656A" w:rsidRPr="000D1274" w14:paraId="6B4C0320" w14:textId="77777777" w:rsidTr="00E2373B">
        <w:trPr>
          <w:trHeight w:val="487"/>
        </w:trPr>
        <w:tc>
          <w:tcPr>
            <w:tcW w:w="5408" w:type="dxa"/>
            <w:vAlign w:val="center"/>
          </w:tcPr>
          <w:p w14:paraId="61EF7532" w14:textId="77777777" w:rsidR="00D1656A" w:rsidRPr="000D1274" w:rsidRDefault="00D1656A" w:rsidP="00E2373B">
            <w:pPr>
              <w:jc w:val="center"/>
              <w:rPr>
                <w:rFonts w:ascii="Arial" w:hAnsi="Arial" w:cs="Arial"/>
              </w:rPr>
            </w:pPr>
            <w:r w:rsidRPr="000D1274">
              <w:rPr>
                <w:rFonts w:ascii="Arial" w:hAnsi="Arial" w:cs="Arial"/>
              </w:rPr>
              <w:t>Par 3 Average Score</w:t>
            </w:r>
          </w:p>
        </w:tc>
        <w:tc>
          <w:tcPr>
            <w:tcW w:w="2797" w:type="dxa"/>
            <w:vAlign w:val="center"/>
          </w:tcPr>
          <w:p w14:paraId="3A6FD9E7" w14:textId="77777777" w:rsidR="00D1656A" w:rsidRPr="000D1274" w:rsidRDefault="00D1656A" w:rsidP="00E2373B">
            <w:pPr>
              <w:jc w:val="center"/>
              <w:rPr>
                <w:rFonts w:ascii="Arial" w:hAnsi="Arial" w:cs="Arial"/>
              </w:rPr>
            </w:pPr>
            <w:r w:rsidRPr="000D1274">
              <w:rPr>
                <w:rFonts w:ascii="Arial" w:hAnsi="Arial" w:cs="Arial"/>
              </w:rPr>
              <w:t>3.04 ± 0.04***</w:t>
            </w:r>
          </w:p>
        </w:tc>
        <w:tc>
          <w:tcPr>
            <w:tcW w:w="3054" w:type="dxa"/>
            <w:vAlign w:val="center"/>
          </w:tcPr>
          <w:p w14:paraId="70074B7B" w14:textId="77777777" w:rsidR="00D1656A" w:rsidRPr="000D1274" w:rsidRDefault="00D1656A" w:rsidP="00E2373B">
            <w:pPr>
              <w:jc w:val="center"/>
              <w:rPr>
                <w:rFonts w:ascii="Arial" w:hAnsi="Arial" w:cs="Arial"/>
              </w:rPr>
            </w:pPr>
            <w:r w:rsidRPr="000D1274">
              <w:rPr>
                <w:rFonts w:ascii="Arial" w:hAnsi="Arial" w:cs="Arial"/>
              </w:rPr>
              <w:t>3.05 ± 0.05</w:t>
            </w:r>
          </w:p>
        </w:tc>
        <w:tc>
          <w:tcPr>
            <w:tcW w:w="2797" w:type="dxa"/>
            <w:vAlign w:val="center"/>
          </w:tcPr>
          <w:p w14:paraId="62E7A258" w14:textId="77777777" w:rsidR="00D1656A" w:rsidRPr="000D1274" w:rsidRDefault="00D1656A" w:rsidP="00E2373B">
            <w:pPr>
              <w:jc w:val="center"/>
              <w:rPr>
                <w:rFonts w:ascii="Arial" w:hAnsi="Arial" w:cs="Arial"/>
              </w:rPr>
            </w:pPr>
            <w:r w:rsidRPr="000D1274">
              <w:rPr>
                <w:rFonts w:ascii="Arial" w:hAnsi="Arial" w:cs="Arial"/>
              </w:rPr>
              <w:t>3.06 ± 0.05**</w:t>
            </w:r>
          </w:p>
        </w:tc>
      </w:tr>
      <w:tr w:rsidR="00D1656A" w:rsidRPr="000D1274" w14:paraId="0A951E8A" w14:textId="77777777" w:rsidTr="00E2373B">
        <w:trPr>
          <w:trHeight w:val="487"/>
        </w:trPr>
        <w:tc>
          <w:tcPr>
            <w:tcW w:w="5408" w:type="dxa"/>
            <w:vAlign w:val="center"/>
          </w:tcPr>
          <w:p w14:paraId="5E20D7D0" w14:textId="77777777" w:rsidR="00D1656A" w:rsidRPr="000D1274" w:rsidRDefault="00D1656A" w:rsidP="00E2373B">
            <w:pPr>
              <w:jc w:val="center"/>
              <w:rPr>
                <w:rFonts w:ascii="Arial" w:hAnsi="Arial" w:cs="Arial"/>
              </w:rPr>
            </w:pPr>
            <w:r w:rsidRPr="000D1274">
              <w:rPr>
                <w:rFonts w:ascii="Arial" w:hAnsi="Arial" w:cs="Arial"/>
              </w:rPr>
              <w:t>Par 4 Average Score</w:t>
            </w:r>
          </w:p>
        </w:tc>
        <w:tc>
          <w:tcPr>
            <w:tcW w:w="2797" w:type="dxa"/>
            <w:vAlign w:val="center"/>
          </w:tcPr>
          <w:p w14:paraId="2D0423B3" w14:textId="77777777" w:rsidR="00D1656A" w:rsidRPr="000D1274" w:rsidRDefault="00D1656A" w:rsidP="00E2373B">
            <w:pPr>
              <w:jc w:val="center"/>
              <w:rPr>
                <w:rFonts w:ascii="Arial" w:hAnsi="Arial" w:cs="Arial"/>
              </w:rPr>
            </w:pPr>
            <w:r w:rsidRPr="000D1274">
              <w:rPr>
                <w:rFonts w:ascii="Arial" w:hAnsi="Arial" w:cs="Arial"/>
              </w:rPr>
              <w:t>4.05 ± 0.04</w:t>
            </w:r>
          </w:p>
        </w:tc>
        <w:tc>
          <w:tcPr>
            <w:tcW w:w="3054" w:type="dxa"/>
            <w:vAlign w:val="center"/>
          </w:tcPr>
          <w:p w14:paraId="12DA5B67" w14:textId="77777777" w:rsidR="00D1656A" w:rsidRPr="000D1274" w:rsidRDefault="00D1656A" w:rsidP="00E2373B">
            <w:pPr>
              <w:jc w:val="center"/>
              <w:rPr>
                <w:rFonts w:ascii="Arial" w:hAnsi="Arial" w:cs="Arial"/>
              </w:rPr>
            </w:pPr>
            <w:r w:rsidRPr="000D1274">
              <w:rPr>
                <w:rFonts w:ascii="Arial" w:hAnsi="Arial" w:cs="Arial"/>
              </w:rPr>
              <w:t>4.06 ± 0.04*</w:t>
            </w:r>
          </w:p>
        </w:tc>
        <w:tc>
          <w:tcPr>
            <w:tcW w:w="2797" w:type="dxa"/>
            <w:vAlign w:val="center"/>
          </w:tcPr>
          <w:p w14:paraId="5DF13BEF" w14:textId="77777777" w:rsidR="00D1656A" w:rsidRPr="000D1274" w:rsidRDefault="00D1656A" w:rsidP="00E2373B">
            <w:pPr>
              <w:jc w:val="center"/>
              <w:rPr>
                <w:rFonts w:ascii="Arial" w:hAnsi="Arial" w:cs="Arial"/>
              </w:rPr>
            </w:pPr>
            <w:r w:rsidRPr="000D1274">
              <w:rPr>
                <w:rFonts w:ascii="Arial" w:hAnsi="Arial" w:cs="Arial"/>
              </w:rPr>
              <w:t>4.05 ± 0.04**</w:t>
            </w:r>
          </w:p>
        </w:tc>
      </w:tr>
      <w:tr w:rsidR="00D1656A" w:rsidRPr="000D1274" w14:paraId="25C08C4F" w14:textId="77777777" w:rsidTr="00E2373B">
        <w:trPr>
          <w:trHeight w:val="487"/>
        </w:trPr>
        <w:tc>
          <w:tcPr>
            <w:tcW w:w="5408" w:type="dxa"/>
            <w:vAlign w:val="center"/>
          </w:tcPr>
          <w:p w14:paraId="15C13807" w14:textId="77777777" w:rsidR="00D1656A" w:rsidRPr="000D1274" w:rsidRDefault="00D1656A" w:rsidP="00E2373B">
            <w:pPr>
              <w:jc w:val="center"/>
              <w:rPr>
                <w:rFonts w:ascii="Arial" w:hAnsi="Arial" w:cs="Arial"/>
              </w:rPr>
            </w:pPr>
            <w:r w:rsidRPr="000D1274">
              <w:rPr>
                <w:rFonts w:ascii="Arial" w:hAnsi="Arial" w:cs="Arial"/>
              </w:rPr>
              <w:t>Par 5 Average Score</w:t>
            </w:r>
          </w:p>
        </w:tc>
        <w:tc>
          <w:tcPr>
            <w:tcW w:w="2797" w:type="dxa"/>
            <w:vAlign w:val="center"/>
          </w:tcPr>
          <w:p w14:paraId="308F183F" w14:textId="77777777" w:rsidR="00D1656A" w:rsidRPr="000D1274" w:rsidRDefault="00D1656A" w:rsidP="00E2373B">
            <w:pPr>
              <w:jc w:val="center"/>
              <w:rPr>
                <w:rFonts w:ascii="Arial" w:hAnsi="Arial" w:cs="Arial"/>
              </w:rPr>
            </w:pPr>
            <w:r w:rsidRPr="000D1274">
              <w:rPr>
                <w:rFonts w:ascii="Arial" w:hAnsi="Arial" w:cs="Arial"/>
              </w:rPr>
              <w:t>4.71 ± 0.07</w:t>
            </w:r>
          </w:p>
        </w:tc>
        <w:tc>
          <w:tcPr>
            <w:tcW w:w="3054" w:type="dxa"/>
            <w:vAlign w:val="center"/>
          </w:tcPr>
          <w:p w14:paraId="7CA1E919" w14:textId="77777777" w:rsidR="00D1656A" w:rsidRPr="000D1274" w:rsidRDefault="00D1656A" w:rsidP="00E2373B">
            <w:pPr>
              <w:jc w:val="center"/>
              <w:rPr>
                <w:rFonts w:ascii="Arial" w:hAnsi="Arial" w:cs="Arial"/>
              </w:rPr>
            </w:pPr>
            <w:r w:rsidRPr="000D1274">
              <w:rPr>
                <w:rFonts w:ascii="Arial" w:hAnsi="Arial" w:cs="Arial"/>
              </w:rPr>
              <w:t>4.67 ± 0.07*</w:t>
            </w:r>
          </w:p>
        </w:tc>
        <w:tc>
          <w:tcPr>
            <w:tcW w:w="2797" w:type="dxa"/>
            <w:vAlign w:val="center"/>
          </w:tcPr>
          <w:p w14:paraId="6A785778" w14:textId="77777777" w:rsidR="00D1656A" w:rsidRPr="000D1274" w:rsidRDefault="00D1656A" w:rsidP="00E2373B">
            <w:pPr>
              <w:jc w:val="center"/>
              <w:rPr>
                <w:rFonts w:ascii="Arial" w:hAnsi="Arial" w:cs="Arial"/>
              </w:rPr>
            </w:pPr>
            <w:r w:rsidRPr="000D1274">
              <w:rPr>
                <w:rFonts w:ascii="Arial" w:hAnsi="Arial" w:cs="Arial"/>
              </w:rPr>
              <w:t>4.71 ± 0.08**</w:t>
            </w:r>
          </w:p>
        </w:tc>
      </w:tr>
      <w:tr w:rsidR="00D1656A" w:rsidRPr="000D1274" w14:paraId="7220C8F6" w14:textId="77777777" w:rsidTr="00E2373B">
        <w:trPr>
          <w:trHeight w:val="487"/>
        </w:trPr>
        <w:tc>
          <w:tcPr>
            <w:tcW w:w="5408" w:type="dxa"/>
            <w:vAlign w:val="center"/>
          </w:tcPr>
          <w:p w14:paraId="66D373E3" w14:textId="77777777" w:rsidR="00D1656A" w:rsidRPr="000D1274" w:rsidRDefault="00D1656A" w:rsidP="00E2373B">
            <w:pPr>
              <w:jc w:val="center"/>
              <w:rPr>
                <w:rFonts w:ascii="Arial" w:hAnsi="Arial" w:cs="Arial"/>
              </w:rPr>
            </w:pPr>
            <w:r w:rsidRPr="000D1274">
              <w:rPr>
                <w:rFonts w:ascii="Arial" w:hAnsi="Arial" w:cs="Arial"/>
              </w:rPr>
              <w:t>Driving Fairways Hit (%)</w:t>
            </w:r>
          </w:p>
        </w:tc>
        <w:tc>
          <w:tcPr>
            <w:tcW w:w="2797" w:type="dxa"/>
            <w:vAlign w:val="center"/>
          </w:tcPr>
          <w:p w14:paraId="5911A65A" w14:textId="77777777" w:rsidR="00D1656A" w:rsidRPr="000D1274" w:rsidRDefault="00D1656A" w:rsidP="00E2373B">
            <w:pPr>
              <w:jc w:val="center"/>
              <w:rPr>
                <w:rFonts w:ascii="Arial" w:hAnsi="Arial" w:cs="Arial"/>
              </w:rPr>
            </w:pPr>
            <w:r w:rsidRPr="000D1274">
              <w:rPr>
                <w:rFonts w:ascii="Arial" w:hAnsi="Arial" w:cs="Arial"/>
              </w:rPr>
              <w:t>0.58 ± 0.05</w:t>
            </w:r>
          </w:p>
        </w:tc>
        <w:tc>
          <w:tcPr>
            <w:tcW w:w="3054" w:type="dxa"/>
            <w:vAlign w:val="center"/>
          </w:tcPr>
          <w:p w14:paraId="1527B133" w14:textId="77777777" w:rsidR="00D1656A" w:rsidRPr="000D1274" w:rsidRDefault="00D1656A" w:rsidP="00E2373B">
            <w:pPr>
              <w:jc w:val="center"/>
              <w:rPr>
                <w:rFonts w:ascii="Arial" w:hAnsi="Arial" w:cs="Arial"/>
              </w:rPr>
            </w:pPr>
            <w:r w:rsidRPr="000D1274">
              <w:rPr>
                <w:rFonts w:ascii="Arial" w:hAnsi="Arial" w:cs="Arial"/>
              </w:rPr>
              <w:t>0.59 ± 0.54</w:t>
            </w:r>
          </w:p>
        </w:tc>
        <w:tc>
          <w:tcPr>
            <w:tcW w:w="2797" w:type="dxa"/>
            <w:vAlign w:val="center"/>
          </w:tcPr>
          <w:p w14:paraId="2EC5B796" w14:textId="77777777" w:rsidR="00D1656A" w:rsidRPr="000D1274" w:rsidRDefault="00D1656A" w:rsidP="00E2373B">
            <w:pPr>
              <w:jc w:val="center"/>
              <w:rPr>
                <w:rFonts w:ascii="Arial" w:hAnsi="Arial" w:cs="Arial"/>
              </w:rPr>
            </w:pPr>
            <w:r w:rsidRPr="000D1274">
              <w:rPr>
                <w:rFonts w:ascii="Arial" w:hAnsi="Arial" w:cs="Arial"/>
              </w:rPr>
              <w:t>0.58 ± 0.05</w:t>
            </w:r>
          </w:p>
        </w:tc>
      </w:tr>
      <w:tr w:rsidR="00D1656A" w:rsidRPr="000D1274" w14:paraId="0662D5BF" w14:textId="77777777" w:rsidTr="00E2373B">
        <w:trPr>
          <w:trHeight w:val="487"/>
        </w:trPr>
        <w:tc>
          <w:tcPr>
            <w:tcW w:w="5408" w:type="dxa"/>
            <w:vAlign w:val="center"/>
          </w:tcPr>
          <w:p w14:paraId="6ECA6C8A" w14:textId="77777777" w:rsidR="00D1656A" w:rsidRPr="000D1274" w:rsidRDefault="00D1656A" w:rsidP="00E2373B">
            <w:pPr>
              <w:jc w:val="center"/>
              <w:rPr>
                <w:rFonts w:ascii="Arial" w:hAnsi="Arial" w:cs="Arial"/>
              </w:rPr>
            </w:pPr>
            <w:r w:rsidRPr="000D1274">
              <w:rPr>
                <w:rFonts w:ascii="Arial" w:hAnsi="Arial" w:cs="Arial"/>
              </w:rPr>
              <w:t>DD (yards)</w:t>
            </w:r>
          </w:p>
        </w:tc>
        <w:tc>
          <w:tcPr>
            <w:tcW w:w="2797" w:type="dxa"/>
            <w:vAlign w:val="center"/>
          </w:tcPr>
          <w:p w14:paraId="66B2EEFB" w14:textId="77777777" w:rsidR="00D1656A" w:rsidRPr="000D1274" w:rsidRDefault="00D1656A" w:rsidP="00E2373B">
            <w:pPr>
              <w:jc w:val="center"/>
              <w:rPr>
                <w:rFonts w:ascii="Arial" w:hAnsi="Arial" w:cs="Arial"/>
              </w:rPr>
            </w:pPr>
            <w:r w:rsidRPr="000D1274">
              <w:rPr>
                <w:rFonts w:ascii="Arial" w:hAnsi="Arial" w:cs="Arial"/>
              </w:rPr>
              <w:t>291.5 ± 9.4</w:t>
            </w:r>
          </w:p>
        </w:tc>
        <w:tc>
          <w:tcPr>
            <w:tcW w:w="3054" w:type="dxa"/>
            <w:vAlign w:val="center"/>
          </w:tcPr>
          <w:p w14:paraId="7986EEF8" w14:textId="77777777" w:rsidR="00D1656A" w:rsidRPr="000D1274" w:rsidRDefault="00D1656A" w:rsidP="00E2373B">
            <w:pPr>
              <w:jc w:val="center"/>
              <w:rPr>
                <w:rFonts w:ascii="Arial" w:hAnsi="Arial" w:cs="Arial"/>
              </w:rPr>
            </w:pPr>
            <w:r w:rsidRPr="000D1274">
              <w:rPr>
                <w:rFonts w:ascii="Arial" w:hAnsi="Arial" w:cs="Arial"/>
              </w:rPr>
              <w:t>294.7 ± 11.1*</w:t>
            </w:r>
          </w:p>
        </w:tc>
        <w:tc>
          <w:tcPr>
            <w:tcW w:w="2797" w:type="dxa"/>
            <w:vAlign w:val="center"/>
          </w:tcPr>
          <w:p w14:paraId="488A8D7D" w14:textId="77777777" w:rsidR="00D1656A" w:rsidRPr="000D1274" w:rsidRDefault="00D1656A" w:rsidP="00E2373B">
            <w:pPr>
              <w:jc w:val="center"/>
              <w:rPr>
                <w:rFonts w:ascii="Arial" w:hAnsi="Arial" w:cs="Arial"/>
              </w:rPr>
            </w:pPr>
            <w:r w:rsidRPr="000D1274">
              <w:rPr>
                <w:rFonts w:ascii="Arial" w:hAnsi="Arial" w:cs="Arial"/>
              </w:rPr>
              <w:t>294.8 ± 9.7***</w:t>
            </w:r>
          </w:p>
        </w:tc>
      </w:tr>
      <w:tr w:rsidR="00D1656A" w:rsidRPr="000D1274" w14:paraId="0DBE1484" w14:textId="77777777" w:rsidTr="00E2373B">
        <w:trPr>
          <w:trHeight w:val="487"/>
        </w:trPr>
        <w:tc>
          <w:tcPr>
            <w:tcW w:w="5408" w:type="dxa"/>
            <w:vAlign w:val="center"/>
          </w:tcPr>
          <w:p w14:paraId="18AEB1FE" w14:textId="77777777" w:rsidR="00D1656A" w:rsidRPr="000D1274" w:rsidRDefault="00D1656A" w:rsidP="00E2373B">
            <w:pPr>
              <w:jc w:val="center"/>
              <w:rPr>
                <w:rFonts w:ascii="Arial" w:hAnsi="Arial" w:cs="Arial"/>
              </w:rPr>
            </w:pPr>
            <w:r w:rsidRPr="000D1274">
              <w:rPr>
                <w:rFonts w:ascii="Arial" w:hAnsi="Arial" w:cs="Arial"/>
              </w:rPr>
              <w:t>GIR (%)</w:t>
            </w:r>
          </w:p>
        </w:tc>
        <w:tc>
          <w:tcPr>
            <w:tcW w:w="2797" w:type="dxa"/>
            <w:vAlign w:val="center"/>
          </w:tcPr>
          <w:p w14:paraId="00EF1A32" w14:textId="77777777" w:rsidR="00D1656A" w:rsidRPr="000D1274" w:rsidRDefault="00D1656A" w:rsidP="00E2373B">
            <w:pPr>
              <w:jc w:val="center"/>
              <w:rPr>
                <w:rFonts w:ascii="Arial" w:hAnsi="Arial" w:cs="Arial"/>
              </w:rPr>
            </w:pPr>
            <w:r w:rsidRPr="000D1274">
              <w:rPr>
                <w:rFonts w:ascii="Arial" w:hAnsi="Arial" w:cs="Arial"/>
              </w:rPr>
              <w:t>0.68 ± 0.03</w:t>
            </w:r>
          </w:p>
        </w:tc>
        <w:tc>
          <w:tcPr>
            <w:tcW w:w="3054" w:type="dxa"/>
            <w:vAlign w:val="center"/>
          </w:tcPr>
          <w:p w14:paraId="6FCC9720" w14:textId="77777777" w:rsidR="00D1656A" w:rsidRPr="000D1274" w:rsidRDefault="00D1656A" w:rsidP="00E2373B">
            <w:pPr>
              <w:jc w:val="center"/>
              <w:rPr>
                <w:rFonts w:ascii="Arial" w:hAnsi="Arial" w:cs="Arial"/>
              </w:rPr>
            </w:pPr>
            <w:r w:rsidRPr="000D1274">
              <w:rPr>
                <w:rFonts w:ascii="Arial" w:hAnsi="Arial" w:cs="Arial"/>
              </w:rPr>
              <w:t>0.68 ± 0.03</w:t>
            </w:r>
          </w:p>
        </w:tc>
        <w:tc>
          <w:tcPr>
            <w:tcW w:w="2797" w:type="dxa"/>
            <w:vAlign w:val="center"/>
          </w:tcPr>
          <w:p w14:paraId="16CE91DA" w14:textId="77777777" w:rsidR="00D1656A" w:rsidRPr="000D1274" w:rsidRDefault="00D1656A" w:rsidP="00E2373B">
            <w:pPr>
              <w:jc w:val="center"/>
              <w:rPr>
                <w:rFonts w:ascii="Arial" w:hAnsi="Arial" w:cs="Arial"/>
              </w:rPr>
            </w:pPr>
            <w:r w:rsidRPr="000D1274">
              <w:rPr>
                <w:rFonts w:ascii="Arial" w:hAnsi="Arial" w:cs="Arial"/>
              </w:rPr>
              <w:t>0.68 ± 0.04</w:t>
            </w:r>
          </w:p>
        </w:tc>
      </w:tr>
      <w:tr w:rsidR="00D1656A" w:rsidRPr="000D1274" w14:paraId="20E9EA34" w14:textId="77777777" w:rsidTr="00E2373B">
        <w:trPr>
          <w:trHeight w:val="487"/>
        </w:trPr>
        <w:tc>
          <w:tcPr>
            <w:tcW w:w="5408" w:type="dxa"/>
            <w:vAlign w:val="center"/>
          </w:tcPr>
          <w:p w14:paraId="5025C7E5" w14:textId="77777777" w:rsidR="00D1656A" w:rsidRPr="000D1274" w:rsidRDefault="00D1656A" w:rsidP="00E2373B">
            <w:pPr>
              <w:jc w:val="center"/>
              <w:rPr>
                <w:rFonts w:ascii="Arial" w:hAnsi="Arial" w:cs="Arial"/>
              </w:rPr>
            </w:pPr>
            <w:r w:rsidRPr="000D1274">
              <w:rPr>
                <w:rFonts w:ascii="Arial" w:hAnsi="Arial" w:cs="Arial"/>
              </w:rPr>
              <w:t>Scramble (%)</w:t>
            </w:r>
          </w:p>
        </w:tc>
        <w:tc>
          <w:tcPr>
            <w:tcW w:w="2797" w:type="dxa"/>
            <w:vAlign w:val="center"/>
          </w:tcPr>
          <w:p w14:paraId="54728205" w14:textId="77777777" w:rsidR="00D1656A" w:rsidRPr="000D1274" w:rsidRDefault="00D1656A" w:rsidP="00E2373B">
            <w:pPr>
              <w:jc w:val="center"/>
              <w:rPr>
                <w:rFonts w:ascii="Arial" w:hAnsi="Arial" w:cs="Arial"/>
              </w:rPr>
            </w:pPr>
            <w:r w:rsidRPr="000D1274">
              <w:rPr>
                <w:rFonts w:ascii="Arial" w:hAnsi="Arial" w:cs="Arial"/>
              </w:rPr>
              <w:t>0.44 ± 0.04</w:t>
            </w:r>
          </w:p>
        </w:tc>
        <w:tc>
          <w:tcPr>
            <w:tcW w:w="3054" w:type="dxa"/>
            <w:vAlign w:val="center"/>
          </w:tcPr>
          <w:p w14:paraId="47F2CDE3" w14:textId="77777777" w:rsidR="00D1656A" w:rsidRPr="000D1274" w:rsidRDefault="00D1656A" w:rsidP="00E2373B">
            <w:pPr>
              <w:jc w:val="center"/>
              <w:rPr>
                <w:rFonts w:ascii="Arial" w:hAnsi="Arial" w:cs="Arial"/>
              </w:rPr>
            </w:pPr>
            <w:r w:rsidRPr="000D1274">
              <w:rPr>
                <w:rFonts w:ascii="Arial" w:hAnsi="Arial" w:cs="Arial"/>
              </w:rPr>
              <w:t>0.55 ± 0.04*</w:t>
            </w:r>
          </w:p>
        </w:tc>
        <w:tc>
          <w:tcPr>
            <w:tcW w:w="2797" w:type="dxa"/>
            <w:vAlign w:val="center"/>
          </w:tcPr>
          <w:p w14:paraId="48D14FA9" w14:textId="77777777" w:rsidR="00D1656A" w:rsidRPr="000D1274" w:rsidRDefault="00D1656A" w:rsidP="00E2373B">
            <w:pPr>
              <w:jc w:val="center"/>
              <w:rPr>
                <w:rFonts w:ascii="Arial" w:hAnsi="Arial" w:cs="Arial"/>
              </w:rPr>
            </w:pPr>
            <w:r w:rsidRPr="000D1274">
              <w:rPr>
                <w:rFonts w:ascii="Arial" w:hAnsi="Arial" w:cs="Arial"/>
              </w:rPr>
              <w:t>0.56 ± 0.04***</w:t>
            </w:r>
          </w:p>
        </w:tc>
      </w:tr>
      <w:tr w:rsidR="00D1656A" w:rsidRPr="000D1274" w14:paraId="58755F1B" w14:textId="77777777" w:rsidTr="00E2373B">
        <w:trPr>
          <w:trHeight w:val="487"/>
        </w:trPr>
        <w:tc>
          <w:tcPr>
            <w:tcW w:w="5408" w:type="dxa"/>
            <w:vAlign w:val="center"/>
          </w:tcPr>
          <w:p w14:paraId="48CA7E45" w14:textId="77777777" w:rsidR="00D1656A" w:rsidRPr="000D1274" w:rsidRDefault="00D1656A" w:rsidP="00E2373B">
            <w:pPr>
              <w:jc w:val="center"/>
              <w:rPr>
                <w:rFonts w:ascii="Arial" w:hAnsi="Arial" w:cs="Arial"/>
              </w:rPr>
            </w:pPr>
            <w:r w:rsidRPr="000D1274">
              <w:rPr>
                <w:rFonts w:ascii="Arial" w:hAnsi="Arial" w:cs="Arial"/>
              </w:rPr>
              <w:t>Sand Saves (%)</w:t>
            </w:r>
          </w:p>
        </w:tc>
        <w:tc>
          <w:tcPr>
            <w:tcW w:w="2797" w:type="dxa"/>
            <w:vAlign w:val="center"/>
          </w:tcPr>
          <w:p w14:paraId="1B5AEB72" w14:textId="77777777" w:rsidR="00D1656A" w:rsidRPr="000D1274" w:rsidRDefault="00D1656A" w:rsidP="00E2373B">
            <w:pPr>
              <w:jc w:val="center"/>
              <w:rPr>
                <w:rFonts w:ascii="Arial" w:hAnsi="Arial" w:cs="Arial"/>
              </w:rPr>
            </w:pPr>
            <w:r w:rsidRPr="000D1274">
              <w:rPr>
                <w:rFonts w:ascii="Arial" w:hAnsi="Arial" w:cs="Arial"/>
              </w:rPr>
              <w:t>0.53 ± 0.07</w:t>
            </w:r>
          </w:p>
        </w:tc>
        <w:tc>
          <w:tcPr>
            <w:tcW w:w="3054" w:type="dxa"/>
            <w:vAlign w:val="center"/>
          </w:tcPr>
          <w:p w14:paraId="0A0727BE" w14:textId="77777777" w:rsidR="00D1656A" w:rsidRPr="000D1274" w:rsidRDefault="00D1656A" w:rsidP="00E2373B">
            <w:pPr>
              <w:jc w:val="center"/>
              <w:rPr>
                <w:rFonts w:ascii="Arial" w:hAnsi="Arial" w:cs="Arial"/>
              </w:rPr>
            </w:pPr>
            <w:r w:rsidRPr="000D1274">
              <w:rPr>
                <w:rFonts w:ascii="Arial" w:hAnsi="Arial" w:cs="Arial"/>
              </w:rPr>
              <w:t>0.47 ± 0.06*</w:t>
            </w:r>
          </w:p>
        </w:tc>
        <w:tc>
          <w:tcPr>
            <w:tcW w:w="2797" w:type="dxa"/>
            <w:vAlign w:val="center"/>
          </w:tcPr>
          <w:p w14:paraId="4F8C67C2" w14:textId="77777777" w:rsidR="00D1656A" w:rsidRPr="000D1274" w:rsidRDefault="00D1656A" w:rsidP="00E2373B">
            <w:pPr>
              <w:jc w:val="center"/>
              <w:rPr>
                <w:rFonts w:ascii="Arial" w:hAnsi="Arial" w:cs="Arial"/>
              </w:rPr>
            </w:pPr>
            <w:r w:rsidRPr="000D1274">
              <w:rPr>
                <w:rFonts w:ascii="Arial" w:hAnsi="Arial" w:cs="Arial"/>
              </w:rPr>
              <w:t>0.48 ± 0.06***</w:t>
            </w:r>
          </w:p>
        </w:tc>
      </w:tr>
      <w:tr w:rsidR="00D1656A" w:rsidRPr="000D1274" w14:paraId="41B67543" w14:textId="77777777" w:rsidTr="00E2373B">
        <w:trPr>
          <w:trHeight w:val="487"/>
        </w:trPr>
        <w:tc>
          <w:tcPr>
            <w:tcW w:w="5408" w:type="dxa"/>
            <w:tcBorders>
              <w:bottom w:val="single" w:sz="4" w:space="0" w:color="auto"/>
            </w:tcBorders>
            <w:vAlign w:val="center"/>
          </w:tcPr>
          <w:p w14:paraId="29CE82A6" w14:textId="77777777" w:rsidR="00D1656A" w:rsidRPr="000D1274" w:rsidRDefault="00D1656A" w:rsidP="00E2373B">
            <w:pPr>
              <w:jc w:val="center"/>
              <w:rPr>
                <w:rFonts w:ascii="Arial" w:hAnsi="Arial" w:cs="Arial"/>
              </w:rPr>
            </w:pPr>
            <w:r w:rsidRPr="000D1274">
              <w:rPr>
                <w:rFonts w:ascii="Arial" w:hAnsi="Arial" w:cs="Arial"/>
              </w:rPr>
              <w:t>Putts per Round</w:t>
            </w:r>
          </w:p>
        </w:tc>
        <w:tc>
          <w:tcPr>
            <w:tcW w:w="2797" w:type="dxa"/>
            <w:tcBorders>
              <w:bottom w:val="single" w:sz="4" w:space="0" w:color="auto"/>
            </w:tcBorders>
            <w:vAlign w:val="center"/>
          </w:tcPr>
          <w:p w14:paraId="7276ED19" w14:textId="77777777" w:rsidR="00D1656A" w:rsidRPr="000D1274" w:rsidRDefault="00D1656A" w:rsidP="00E2373B">
            <w:pPr>
              <w:jc w:val="center"/>
              <w:rPr>
                <w:rFonts w:ascii="Arial" w:hAnsi="Arial" w:cs="Arial"/>
              </w:rPr>
            </w:pPr>
            <w:r w:rsidRPr="000D1274">
              <w:rPr>
                <w:rFonts w:ascii="Arial" w:hAnsi="Arial" w:cs="Arial"/>
              </w:rPr>
              <w:t xml:space="preserve"> 29.59 ± 0.55</w:t>
            </w:r>
          </w:p>
        </w:tc>
        <w:tc>
          <w:tcPr>
            <w:tcW w:w="3054" w:type="dxa"/>
            <w:tcBorders>
              <w:bottom w:val="single" w:sz="4" w:space="0" w:color="auto"/>
            </w:tcBorders>
            <w:vAlign w:val="center"/>
          </w:tcPr>
          <w:p w14:paraId="5772CD45" w14:textId="77777777" w:rsidR="00D1656A" w:rsidRPr="000D1274" w:rsidRDefault="00D1656A" w:rsidP="00E2373B">
            <w:pPr>
              <w:jc w:val="center"/>
              <w:rPr>
                <w:rFonts w:ascii="Arial" w:hAnsi="Arial" w:cs="Arial"/>
              </w:rPr>
            </w:pPr>
            <w:r w:rsidRPr="000D1274">
              <w:rPr>
                <w:rFonts w:ascii="Arial" w:hAnsi="Arial" w:cs="Arial"/>
              </w:rPr>
              <w:t>29.58 ± 0.55</w:t>
            </w:r>
          </w:p>
        </w:tc>
        <w:tc>
          <w:tcPr>
            <w:tcW w:w="2797" w:type="dxa"/>
            <w:tcBorders>
              <w:bottom w:val="single" w:sz="4" w:space="0" w:color="auto"/>
            </w:tcBorders>
            <w:vAlign w:val="center"/>
          </w:tcPr>
          <w:p w14:paraId="6A39AD33" w14:textId="77777777" w:rsidR="00D1656A" w:rsidRPr="000D1274" w:rsidRDefault="00D1656A" w:rsidP="00E2373B">
            <w:pPr>
              <w:jc w:val="center"/>
              <w:rPr>
                <w:rFonts w:ascii="Arial" w:hAnsi="Arial" w:cs="Arial"/>
              </w:rPr>
            </w:pPr>
            <w:r w:rsidRPr="000D1274">
              <w:rPr>
                <w:rFonts w:ascii="Arial" w:hAnsi="Arial" w:cs="Arial"/>
              </w:rPr>
              <w:t>29.53 ± 0.57</w:t>
            </w:r>
          </w:p>
        </w:tc>
      </w:tr>
    </w:tbl>
    <w:p w14:paraId="0FBD6F39" w14:textId="77777777" w:rsidR="00D1656A" w:rsidRPr="000D1274" w:rsidRDefault="00D1656A" w:rsidP="00D1656A">
      <w:pPr>
        <w:rPr>
          <w:rFonts w:ascii="Arial" w:hAnsi="Arial" w:cs="Arial"/>
        </w:rPr>
      </w:pPr>
      <w:r w:rsidRPr="000D1274">
        <w:rPr>
          <w:rFonts w:ascii="Arial" w:hAnsi="Arial" w:cs="Arial"/>
        </w:rPr>
        <w:br w:type="textWrapping" w:clear="all"/>
        <w:t>*= difference 2017 vs 2018. **= difference 2018 vs 2019. ***= difference 2017 vs 2019. R2D= Race to Dubai, the European Tour’s player ranking system.</w:t>
      </w:r>
    </w:p>
    <w:p w14:paraId="7160960D" w14:textId="77777777" w:rsidR="00D1656A" w:rsidRPr="000D1274" w:rsidRDefault="00D1656A" w:rsidP="00D1656A">
      <w:pPr>
        <w:rPr>
          <w:rFonts w:ascii="Arial" w:hAnsi="Arial" w:cs="Arial"/>
        </w:rPr>
      </w:pPr>
    </w:p>
    <w:p w14:paraId="21696158" w14:textId="77777777" w:rsidR="00D1656A" w:rsidRPr="000D1274" w:rsidRDefault="00D1656A" w:rsidP="00D1656A">
      <w:pPr>
        <w:rPr>
          <w:rFonts w:ascii="Arial" w:hAnsi="Arial" w:cs="Arial"/>
        </w:rPr>
      </w:pPr>
    </w:p>
    <w:p w14:paraId="62C820BE" w14:textId="77777777" w:rsidR="00D1656A" w:rsidRPr="000D1274" w:rsidRDefault="00D1656A" w:rsidP="00D1656A">
      <w:pPr>
        <w:rPr>
          <w:rFonts w:ascii="Arial" w:hAnsi="Arial" w:cs="Arial"/>
        </w:rPr>
      </w:pPr>
    </w:p>
    <w:p w14:paraId="329D0692" w14:textId="77777777" w:rsidR="00D1656A" w:rsidRPr="000D1274" w:rsidRDefault="00D1656A" w:rsidP="00D1656A">
      <w:pPr>
        <w:rPr>
          <w:rFonts w:ascii="Arial" w:hAnsi="Arial" w:cs="Arial"/>
        </w:rPr>
      </w:pPr>
    </w:p>
    <w:p w14:paraId="698AC22B" w14:textId="77777777" w:rsidR="00D1656A" w:rsidRPr="000D1274" w:rsidRDefault="00D1656A" w:rsidP="00D1656A">
      <w:pPr>
        <w:pStyle w:val="Caption"/>
        <w:keepNext/>
        <w:rPr>
          <w:rFonts w:ascii="Arial" w:hAnsi="Arial" w:cs="Arial"/>
          <w:color w:val="auto"/>
          <w:sz w:val="22"/>
          <w:szCs w:val="22"/>
        </w:rPr>
      </w:pPr>
      <w:r w:rsidRPr="000D1274">
        <w:rPr>
          <w:rFonts w:ascii="Arial" w:hAnsi="Arial" w:cs="Arial"/>
          <w:color w:val="auto"/>
          <w:sz w:val="22"/>
          <w:szCs w:val="22"/>
        </w:rPr>
        <w:lastRenderedPageBreak/>
        <w:t xml:space="preserve">Table </w:t>
      </w:r>
      <w:r w:rsidRPr="000D1274">
        <w:rPr>
          <w:rFonts w:ascii="Arial" w:hAnsi="Arial" w:cs="Arial"/>
          <w:color w:val="auto"/>
          <w:sz w:val="22"/>
          <w:szCs w:val="22"/>
        </w:rPr>
        <w:fldChar w:fldCharType="begin"/>
      </w:r>
      <w:r w:rsidRPr="000D1274">
        <w:rPr>
          <w:rFonts w:ascii="Arial" w:hAnsi="Arial" w:cs="Arial"/>
          <w:color w:val="auto"/>
          <w:sz w:val="22"/>
          <w:szCs w:val="22"/>
        </w:rPr>
        <w:instrText xml:space="preserve"> SEQ Table \* ARABIC </w:instrText>
      </w:r>
      <w:r w:rsidRPr="000D1274">
        <w:rPr>
          <w:rFonts w:ascii="Arial" w:hAnsi="Arial" w:cs="Arial"/>
          <w:color w:val="auto"/>
          <w:sz w:val="22"/>
          <w:szCs w:val="22"/>
        </w:rPr>
        <w:fldChar w:fldCharType="separate"/>
      </w:r>
      <w:r w:rsidRPr="000D1274">
        <w:rPr>
          <w:rFonts w:ascii="Arial" w:hAnsi="Arial" w:cs="Arial"/>
          <w:noProof/>
          <w:color w:val="auto"/>
          <w:sz w:val="22"/>
          <w:szCs w:val="22"/>
        </w:rPr>
        <w:t>2</w:t>
      </w:r>
      <w:r w:rsidRPr="000D1274">
        <w:rPr>
          <w:rFonts w:ascii="Arial" w:hAnsi="Arial" w:cs="Arial"/>
          <w:color w:val="auto"/>
          <w:sz w:val="22"/>
          <w:szCs w:val="22"/>
        </w:rPr>
        <w:fldChar w:fldCharType="end"/>
      </w:r>
      <w:r w:rsidRPr="000D1274">
        <w:rPr>
          <w:rFonts w:ascii="Arial" w:hAnsi="Arial" w:cs="Arial"/>
          <w:color w:val="auto"/>
          <w:sz w:val="22"/>
          <w:szCs w:val="22"/>
        </w:rPr>
        <w:t>: Predictive models for hole type and year</w:t>
      </w:r>
    </w:p>
    <w:tbl>
      <w:tblPr>
        <w:tblStyle w:val="TableGrid"/>
        <w:tblW w:w="14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3235"/>
        <w:gridCol w:w="1165"/>
        <w:gridCol w:w="3235"/>
        <w:gridCol w:w="1165"/>
        <w:gridCol w:w="3237"/>
        <w:gridCol w:w="1165"/>
      </w:tblGrid>
      <w:tr w:rsidR="00D1656A" w:rsidRPr="00D1656A" w14:paraId="64347692" w14:textId="77777777" w:rsidTr="00D1656A">
        <w:trPr>
          <w:trHeight w:val="67"/>
        </w:trPr>
        <w:tc>
          <w:tcPr>
            <w:tcW w:w="1164" w:type="dxa"/>
            <w:tcBorders>
              <w:bottom w:val="single" w:sz="4" w:space="0" w:color="auto"/>
            </w:tcBorders>
          </w:tcPr>
          <w:p w14:paraId="169F17A2" w14:textId="77777777" w:rsidR="00D1656A" w:rsidRPr="00D1656A" w:rsidRDefault="00D1656A" w:rsidP="00D1656A">
            <w:pPr>
              <w:spacing w:line="360" w:lineRule="auto"/>
              <w:rPr>
                <w:rFonts w:ascii="Arial" w:hAnsi="Arial" w:cs="Arial"/>
                <w:b/>
                <w:bCs/>
                <w:sz w:val="20"/>
                <w:szCs w:val="20"/>
              </w:rPr>
            </w:pPr>
          </w:p>
        </w:tc>
        <w:tc>
          <w:tcPr>
            <w:tcW w:w="4400" w:type="dxa"/>
            <w:gridSpan w:val="2"/>
            <w:tcBorders>
              <w:bottom w:val="single" w:sz="4" w:space="0" w:color="auto"/>
            </w:tcBorders>
          </w:tcPr>
          <w:p w14:paraId="705A4FA1" w14:textId="77777777" w:rsidR="00D1656A" w:rsidRPr="00D1656A" w:rsidRDefault="00D1656A" w:rsidP="00D1656A">
            <w:pPr>
              <w:spacing w:line="360" w:lineRule="auto"/>
              <w:rPr>
                <w:rFonts w:ascii="Arial" w:hAnsi="Arial" w:cs="Arial"/>
                <w:b/>
                <w:bCs/>
                <w:sz w:val="20"/>
                <w:szCs w:val="20"/>
              </w:rPr>
            </w:pPr>
            <w:r w:rsidRPr="00D1656A">
              <w:rPr>
                <w:rFonts w:ascii="Arial" w:hAnsi="Arial" w:cs="Arial"/>
                <w:b/>
                <w:bCs/>
                <w:sz w:val="20"/>
                <w:szCs w:val="20"/>
              </w:rPr>
              <w:t>2017</w:t>
            </w:r>
          </w:p>
        </w:tc>
        <w:tc>
          <w:tcPr>
            <w:tcW w:w="4400" w:type="dxa"/>
            <w:gridSpan w:val="2"/>
            <w:tcBorders>
              <w:bottom w:val="single" w:sz="4" w:space="0" w:color="auto"/>
            </w:tcBorders>
          </w:tcPr>
          <w:p w14:paraId="53ADD304" w14:textId="77777777" w:rsidR="00D1656A" w:rsidRPr="00D1656A" w:rsidRDefault="00D1656A" w:rsidP="00D1656A">
            <w:pPr>
              <w:spacing w:line="360" w:lineRule="auto"/>
              <w:rPr>
                <w:rFonts w:ascii="Arial" w:hAnsi="Arial" w:cs="Arial"/>
                <w:b/>
                <w:bCs/>
                <w:sz w:val="20"/>
                <w:szCs w:val="20"/>
              </w:rPr>
            </w:pPr>
            <w:r w:rsidRPr="00D1656A">
              <w:rPr>
                <w:rFonts w:ascii="Arial" w:hAnsi="Arial" w:cs="Arial"/>
                <w:b/>
                <w:bCs/>
                <w:sz w:val="20"/>
                <w:szCs w:val="20"/>
              </w:rPr>
              <w:t>2018</w:t>
            </w:r>
          </w:p>
        </w:tc>
        <w:tc>
          <w:tcPr>
            <w:tcW w:w="4401" w:type="dxa"/>
            <w:gridSpan w:val="2"/>
            <w:tcBorders>
              <w:bottom w:val="single" w:sz="4" w:space="0" w:color="auto"/>
            </w:tcBorders>
          </w:tcPr>
          <w:p w14:paraId="4E852049" w14:textId="77777777" w:rsidR="00D1656A" w:rsidRPr="00D1656A" w:rsidRDefault="00D1656A" w:rsidP="00D1656A">
            <w:pPr>
              <w:spacing w:line="360" w:lineRule="auto"/>
              <w:rPr>
                <w:rFonts w:ascii="Arial" w:hAnsi="Arial" w:cs="Arial"/>
                <w:b/>
                <w:bCs/>
                <w:sz w:val="20"/>
                <w:szCs w:val="20"/>
              </w:rPr>
            </w:pPr>
            <w:r w:rsidRPr="00D1656A">
              <w:rPr>
                <w:rFonts w:ascii="Arial" w:hAnsi="Arial" w:cs="Arial"/>
                <w:b/>
                <w:bCs/>
                <w:sz w:val="20"/>
                <w:szCs w:val="20"/>
              </w:rPr>
              <w:t>2019</w:t>
            </w:r>
          </w:p>
        </w:tc>
      </w:tr>
      <w:tr w:rsidR="00D1656A" w:rsidRPr="00D1656A" w14:paraId="740A656A" w14:textId="77777777" w:rsidTr="00D1656A">
        <w:trPr>
          <w:trHeight w:val="852"/>
        </w:trPr>
        <w:tc>
          <w:tcPr>
            <w:tcW w:w="1164" w:type="dxa"/>
            <w:tcBorders>
              <w:top w:val="single" w:sz="4" w:space="0" w:color="auto"/>
            </w:tcBorders>
          </w:tcPr>
          <w:p w14:paraId="4BB5A803" w14:textId="77777777" w:rsidR="00D1656A" w:rsidRPr="00D1656A" w:rsidRDefault="00D1656A" w:rsidP="00D1656A">
            <w:pPr>
              <w:spacing w:line="360" w:lineRule="auto"/>
              <w:rPr>
                <w:rFonts w:ascii="Arial" w:hAnsi="Arial" w:cs="Arial"/>
                <w:b/>
                <w:bCs/>
                <w:sz w:val="20"/>
                <w:szCs w:val="20"/>
              </w:rPr>
            </w:pPr>
            <w:r w:rsidRPr="00D1656A">
              <w:rPr>
                <w:rFonts w:ascii="Arial" w:hAnsi="Arial" w:cs="Arial"/>
                <w:b/>
                <w:bCs/>
                <w:sz w:val="20"/>
                <w:szCs w:val="20"/>
              </w:rPr>
              <w:t xml:space="preserve">Par 3 </w:t>
            </w:r>
          </w:p>
          <w:p w14:paraId="12FB674A" w14:textId="77777777" w:rsidR="00D1656A" w:rsidRPr="00D1656A" w:rsidRDefault="00D1656A" w:rsidP="00D1656A">
            <w:pPr>
              <w:spacing w:line="360" w:lineRule="auto"/>
              <w:rPr>
                <w:rFonts w:ascii="Arial" w:hAnsi="Arial" w:cs="Arial"/>
                <w:b/>
                <w:bCs/>
                <w:sz w:val="20"/>
                <w:szCs w:val="20"/>
              </w:rPr>
            </w:pPr>
            <w:r w:rsidRPr="00D1656A">
              <w:rPr>
                <w:rFonts w:ascii="Arial" w:hAnsi="Arial" w:cs="Arial"/>
                <w:b/>
                <w:sz w:val="20"/>
                <w:szCs w:val="20"/>
              </w:rPr>
              <w:t>Model</w:t>
            </w:r>
          </w:p>
        </w:tc>
        <w:tc>
          <w:tcPr>
            <w:tcW w:w="4400" w:type="dxa"/>
            <w:gridSpan w:val="2"/>
            <w:tcBorders>
              <w:top w:val="single" w:sz="4" w:space="0" w:color="auto"/>
            </w:tcBorders>
          </w:tcPr>
          <w:p w14:paraId="51B64072"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-1.030(GIR) + 0.042(Putts) + 0.002 (DD) + 2.025</w:t>
            </w:r>
          </w:p>
        </w:tc>
        <w:tc>
          <w:tcPr>
            <w:tcW w:w="4400" w:type="dxa"/>
            <w:gridSpan w:val="2"/>
            <w:tcBorders>
              <w:top w:val="single" w:sz="4" w:space="0" w:color="auto"/>
            </w:tcBorders>
          </w:tcPr>
          <w:p w14:paraId="57D348F4" w14:textId="77777777" w:rsidR="00D1656A" w:rsidRPr="00D1656A" w:rsidRDefault="00D1656A" w:rsidP="00D1656A">
            <w:pPr>
              <w:spacing w:line="360" w:lineRule="auto"/>
              <w:rPr>
                <w:rFonts w:ascii="Arial" w:hAnsi="Arial" w:cs="Arial"/>
                <w:b/>
                <w:bCs/>
                <w:sz w:val="20"/>
                <w:szCs w:val="20"/>
              </w:rPr>
            </w:pPr>
            <w:r w:rsidRPr="00D1656A">
              <w:rPr>
                <w:rFonts w:ascii="Arial" w:hAnsi="Arial" w:cs="Arial"/>
                <w:sz w:val="20"/>
                <w:szCs w:val="20"/>
              </w:rPr>
              <w:t>-1.004(GIR) + 0.047(Putts) + 0.001(DD) + 2.153</w:t>
            </w:r>
          </w:p>
        </w:tc>
        <w:tc>
          <w:tcPr>
            <w:tcW w:w="4401" w:type="dxa"/>
            <w:gridSpan w:val="2"/>
            <w:tcBorders>
              <w:top w:val="single" w:sz="4" w:space="0" w:color="auto"/>
            </w:tcBorders>
          </w:tcPr>
          <w:p w14:paraId="5FA295ED"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-1.172(GIR) + 0.045(Putts) + 0.001 (DD) + 2.157</w:t>
            </w:r>
          </w:p>
          <w:p w14:paraId="7B5E8467" w14:textId="77777777" w:rsidR="00D1656A" w:rsidRPr="00D1656A" w:rsidRDefault="00D1656A" w:rsidP="00D1656A">
            <w:pPr>
              <w:spacing w:line="360" w:lineRule="auto"/>
              <w:rPr>
                <w:rFonts w:ascii="Arial" w:hAnsi="Arial" w:cs="Arial"/>
                <w:b/>
                <w:bCs/>
                <w:sz w:val="20"/>
                <w:szCs w:val="20"/>
              </w:rPr>
            </w:pPr>
          </w:p>
        </w:tc>
      </w:tr>
      <w:tr w:rsidR="00D1656A" w:rsidRPr="00D1656A" w14:paraId="54B86087" w14:textId="77777777" w:rsidTr="00D1656A">
        <w:trPr>
          <w:trHeight w:val="183"/>
        </w:trPr>
        <w:tc>
          <w:tcPr>
            <w:tcW w:w="1164" w:type="dxa"/>
          </w:tcPr>
          <w:p w14:paraId="4DE19967"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df</w:t>
            </w:r>
          </w:p>
        </w:tc>
        <w:tc>
          <w:tcPr>
            <w:tcW w:w="4400" w:type="dxa"/>
            <w:gridSpan w:val="2"/>
          </w:tcPr>
          <w:p w14:paraId="62C6F509"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3, 147</w:t>
            </w:r>
          </w:p>
        </w:tc>
        <w:tc>
          <w:tcPr>
            <w:tcW w:w="4400" w:type="dxa"/>
            <w:gridSpan w:val="2"/>
          </w:tcPr>
          <w:p w14:paraId="05B33456"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3,161</w:t>
            </w:r>
          </w:p>
        </w:tc>
        <w:tc>
          <w:tcPr>
            <w:tcW w:w="4401" w:type="dxa"/>
            <w:gridSpan w:val="2"/>
          </w:tcPr>
          <w:p w14:paraId="46EB8775"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3, 157</w:t>
            </w:r>
          </w:p>
        </w:tc>
      </w:tr>
      <w:tr w:rsidR="00D1656A" w:rsidRPr="00D1656A" w14:paraId="09E71E7A" w14:textId="77777777" w:rsidTr="00D1656A">
        <w:trPr>
          <w:trHeight w:val="172"/>
        </w:trPr>
        <w:tc>
          <w:tcPr>
            <w:tcW w:w="1164" w:type="dxa"/>
          </w:tcPr>
          <w:p w14:paraId="405C10C1"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F</w:t>
            </w:r>
          </w:p>
        </w:tc>
        <w:tc>
          <w:tcPr>
            <w:tcW w:w="4400" w:type="dxa"/>
            <w:gridSpan w:val="2"/>
          </w:tcPr>
          <w:p w14:paraId="26FBA3AB"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40.959</w:t>
            </w:r>
          </w:p>
        </w:tc>
        <w:tc>
          <w:tcPr>
            <w:tcW w:w="4400" w:type="dxa"/>
            <w:gridSpan w:val="2"/>
          </w:tcPr>
          <w:p w14:paraId="1EC28BA6"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32.138</w:t>
            </w:r>
          </w:p>
        </w:tc>
        <w:tc>
          <w:tcPr>
            <w:tcW w:w="4401" w:type="dxa"/>
            <w:gridSpan w:val="2"/>
          </w:tcPr>
          <w:p w14:paraId="28741F72"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71.524</w:t>
            </w:r>
          </w:p>
        </w:tc>
      </w:tr>
      <w:tr w:rsidR="00D1656A" w:rsidRPr="00D1656A" w14:paraId="5478B02D" w14:textId="77777777" w:rsidTr="00D1656A">
        <w:trPr>
          <w:trHeight w:val="183"/>
        </w:trPr>
        <w:tc>
          <w:tcPr>
            <w:tcW w:w="1164" w:type="dxa"/>
          </w:tcPr>
          <w:p w14:paraId="0288DB6E"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SEE</w:t>
            </w:r>
          </w:p>
        </w:tc>
        <w:tc>
          <w:tcPr>
            <w:tcW w:w="4400" w:type="dxa"/>
            <w:gridSpan w:val="2"/>
          </w:tcPr>
          <w:p w14:paraId="5756CBC6"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0.031</w:t>
            </w:r>
          </w:p>
        </w:tc>
        <w:tc>
          <w:tcPr>
            <w:tcW w:w="4400" w:type="dxa"/>
            <w:gridSpan w:val="2"/>
          </w:tcPr>
          <w:p w14:paraId="37D44958"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0.037</w:t>
            </w:r>
          </w:p>
        </w:tc>
        <w:tc>
          <w:tcPr>
            <w:tcW w:w="4401" w:type="dxa"/>
            <w:gridSpan w:val="2"/>
          </w:tcPr>
          <w:p w14:paraId="660E7A5A"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0.032</w:t>
            </w:r>
          </w:p>
        </w:tc>
      </w:tr>
      <w:tr w:rsidR="00D1656A" w:rsidRPr="00D1656A" w14:paraId="5BB1404B" w14:textId="77777777" w:rsidTr="00D1656A">
        <w:trPr>
          <w:trHeight w:val="172"/>
        </w:trPr>
        <w:tc>
          <w:tcPr>
            <w:tcW w:w="1164" w:type="dxa"/>
            <w:tcBorders>
              <w:bottom w:val="single" w:sz="4" w:space="0" w:color="auto"/>
            </w:tcBorders>
          </w:tcPr>
          <w:p w14:paraId="350B9440"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Adj. R</w:t>
            </w:r>
            <w:r w:rsidRPr="00D1656A">
              <w:rPr>
                <w:rFonts w:ascii="Arial" w:hAnsi="Arial" w:cs="Arial"/>
                <w:sz w:val="20"/>
                <w:szCs w:val="20"/>
                <w:vertAlign w:val="superscript"/>
              </w:rPr>
              <w:t>2</w:t>
            </w:r>
          </w:p>
        </w:tc>
        <w:tc>
          <w:tcPr>
            <w:tcW w:w="4400" w:type="dxa"/>
            <w:gridSpan w:val="2"/>
            <w:tcBorders>
              <w:bottom w:val="single" w:sz="4" w:space="0" w:color="auto"/>
            </w:tcBorders>
          </w:tcPr>
          <w:p w14:paraId="1843364A"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 xml:space="preserve">0.444 (p &lt;0.001. </w:t>
            </w:r>
            <w:r w:rsidRPr="00D1656A">
              <w:rPr>
                <w:rFonts w:ascii="Arial" w:hAnsi="Arial" w:cs="Arial"/>
                <w:i/>
                <w:sz w:val="20"/>
                <w:szCs w:val="20"/>
              </w:rPr>
              <w:t>f</w:t>
            </w:r>
            <w:r w:rsidRPr="00D1656A">
              <w:rPr>
                <w:rFonts w:ascii="Arial" w:hAnsi="Arial" w:cs="Arial"/>
                <w:sz w:val="20"/>
                <w:szCs w:val="20"/>
                <w:vertAlign w:val="superscript"/>
              </w:rPr>
              <w:t xml:space="preserve">2 </w:t>
            </w:r>
            <w:r w:rsidRPr="00D1656A">
              <w:rPr>
                <w:rFonts w:ascii="Arial" w:hAnsi="Arial" w:cs="Arial"/>
                <w:sz w:val="20"/>
                <w:szCs w:val="20"/>
              </w:rPr>
              <w:t>= 0.799)</w:t>
            </w:r>
          </w:p>
        </w:tc>
        <w:tc>
          <w:tcPr>
            <w:tcW w:w="4400" w:type="dxa"/>
            <w:gridSpan w:val="2"/>
            <w:tcBorders>
              <w:bottom w:val="single" w:sz="4" w:space="0" w:color="auto"/>
            </w:tcBorders>
          </w:tcPr>
          <w:p w14:paraId="658682F5"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 xml:space="preserve">0.363 (p &lt;0.001. </w:t>
            </w:r>
            <w:r w:rsidRPr="00D1656A">
              <w:rPr>
                <w:rFonts w:ascii="Arial" w:hAnsi="Arial" w:cs="Arial"/>
                <w:i/>
                <w:sz w:val="20"/>
                <w:szCs w:val="20"/>
              </w:rPr>
              <w:t>f</w:t>
            </w:r>
            <w:r w:rsidRPr="00D1656A">
              <w:rPr>
                <w:rFonts w:ascii="Arial" w:hAnsi="Arial" w:cs="Arial"/>
                <w:sz w:val="20"/>
                <w:szCs w:val="20"/>
                <w:vertAlign w:val="superscript"/>
              </w:rPr>
              <w:t xml:space="preserve">2 </w:t>
            </w:r>
            <w:r w:rsidRPr="00D1656A">
              <w:rPr>
                <w:rFonts w:ascii="Arial" w:hAnsi="Arial" w:cs="Arial"/>
                <w:sz w:val="20"/>
                <w:szCs w:val="20"/>
              </w:rPr>
              <w:t>= 0.637)</w:t>
            </w:r>
          </w:p>
        </w:tc>
        <w:tc>
          <w:tcPr>
            <w:tcW w:w="4401" w:type="dxa"/>
            <w:gridSpan w:val="2"/>
            <w:tcBorders>
              <w:bottom w:val="single" w:sz="4" w:space="0" w:color="auto"/>
            </w:tcBorders>
          </w:tcPr>
          <w:p w14:paraId="745AD52E"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 xml:space="preserve">0.569 (p &lt;0.001. </w:t>
            </w:r>
            <w:r w:rsidRPr="00D1656A">
              <w:rPr>
                <w:rFonts w:ascii="Arial" w:hAnsi="Arial" w:cs="Arial"/>
                <w:i/>
                <w:sz w:val="20"/>
                <w:szCs w:val="20"/>
              </w:rPr>
              <w:t>f</w:t>
            </w:r>
            <w:r w:rsidRPr="00D1656A">
              <w:rPr>
                <w:rFonts w:ascii="Arial" w:hAnsi="Arial" w:cs="Arial"/>
                <w:sz w:val="20"/>
                <w:szCs w:val="20"/>
                <w:vertAlign w:val="superscript"/>
              </w:rPr>
              <w:t>2</w:t>
            </w:r>
            <w:r w:rsidRPr="00D1656A">
              <w:rPr>
                <w:rFonts w:ascii="Arial" w:hAnsi="Arial" w:cs="Arial"/>
                <w:sz w:val="20"/>
                <w:szCs w:val="20"/>
              </w:rPr>
              <w:t xml:space="preserve"> = 1.320)</w:t>
            </w:r>
          </w:p>
        </w:tc>
      </w:tr>
      <w:tr w:rsidR="00D1656A" w:rsidRPr="00D1656A" w14:paraId="646EB083" w14:textId="77777777" w:rsidTr="00D1656A">
        <w:trPr>
          <w:trHeight w:val="260"/>
        </w:trPr>
        <w:tc>
          <w:tcPr>
            <w:tcW w:w="1164" w:type="dxa"/>
            <w:tcBorders>
              <w:top w:val="single" w:sz="4" w:space="0" w:color="auto"/>
            </w:tcBorders>
          </w:tcPr>
          <w:p w14:paraId="39FC5D61" w14:textId="77777777" w:rsidR="00D1656A" w:rsidRPr="00D1656A" w:rsidRDefault="00D1656A" w:rsidP="00D1656A">
            <w:pPr>
              <w:spacing w:line="360" w:lineRule="auto"/>
              <w:rPr>
                <w:rFonts w:ascii="Arial" w:hAnsi="Arial" w:cs="Arial"/>
                <w:b/>
                <w:bCs/>
                <w:sz w:val="20"/>
                <w:szCs w:val="20"/>
              </w:rPr>
            </w:pPr>
            <w:r w:rsidRPr="00D1656A">
              <w:rPr>
                <w:rFonts w:ascii="Arial" w:hAnsi="Arial" w:cs="Arial"/>
                <w:b/>
                <w:bCs/>
                <w:sz w:val="20"/>
                <w:szCs w:val="20"/>
              </w:rPr>
              <w:t xml:space="preserve">Par 4 </w:t>
            </w:r>
          </w:p>
          <w:p w14:paraId="21972DCE" w14:textId="77777777" w:rsidR="00D1656A" w:rsidRPr="00D1656A" w:rsidRDefault="00D1656A" w:rsidP="00D1656A">
            <w:pPr>
              <w:spacing w:line="360" w:lineRule="auto"/>
              <w:rPr>
                <w:rFonts w:ascii="Arial" w:hAnsi="Arial" w:cs="Arial"/>
                <w:b/>
                <w:bCs/>
                <w:sz w:val="20"/>
                <w:szCs w:val="20"/>
              </w:rPr>
            </w:pPr>
            <w:r w:rsidRPr="00D1656A">
              <w:rPr>
                <w:rFonts w:ascii="Arial" w:hAnsi="Arial" w:cs="Arial"/>
                <w:b/>
                <w:sz w:val="20"/>
                <w:szCs w:val="20"/>
              </w:rPr>
              <w:t>Model</w:t>
            </w:r>
          </w:p>
        </w:tc>
        <w:tc>
          <w:tcPr>
            <w:tcW w:w="4400" w:type="dxa"/>
            <w:gridSpan w:val="2"/>
            <w:tcBorders>
              <w:top w:val="single" w:sz="4" w:space="0" w:color="auto"/>
            </w:tcBorders>
          </w:tcPr>
          <w:p w14:paraId="3FC4E9F7"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-0.943(GIR) + 0.037 (Putts) + 0.291 (Scramble) – 0.001(DD) – 0.162(DA) + 3.867</w:t>
            </w:r>
          </w:p>
        </w:tc>
        <w:tc>
          <w:tcPr>
            <w:tcW w:w="4400" w:type="dxa"/>
            <w:gridSpan w:val="2"/>
            <w:tcBorders>
              <w:top w:val="single" w:sz="4" w:space="0" w:color="auto"/>
            </w:tcBorders>
          </w:tcPr>
          <w:p w14:paraId="00507011"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-1.345(GIR) + 0.063(Putts) - 0.087(DA) + 3.166</w:t>
            </w:r>
          </w:p>
        </w:tc>
        <w:tc>
          <w:tcPr>
            <w:tcW w:w="4401" w:type="dxa"/>
            <w:gridSpan w:val="2"/>
            <w:tcBorders>
              <w:top w:val="single" w:sz="4" w:space="0" w:color="auto"/>
            </w:tcBorders>
          </w:tcPr>
          <w:p w14:paraId="28E7ECA8"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-0.993(GIR) + 0.037(Putts) – 0.139(Scramble) + 3.703</w:t>
            </w:r>
          </w:p>
        </w:tc>
      </w:tr>
      <w:tr w:rsidR="00D1656A" w:rsidRPr="00D1656A" w14:paraId="7057A05F" w14:textId="77777777" w:rsidTr="00D1656A">
        <w:trPr>
          <w:trHeight w:val="172"/>
        </w:trPr>
        <w:tc>
          <w:tcPr>
            <w:tcW w:w="1164" w:type="dxa"/>
          </w:tcPr>
          <w:p w14:paraId="057684C2" w14:textId="77777777" w:rsidR="00D1656A" w:rsidRPr="00D1656A" w:rsidRDefault="00D1656A" w:rsidP="00D1656A">
            <w:pPr>
              <w:spacing w:line="360" w:lineRule="auto"/>
              <w:rPr>
                <w:rFonts w:ascii="Arial" w:hAnsi="Arial" w:cs="Arial"/>
                <w:sz w:val="20"/>
                <w:szCs w:val="20"/>
              </w:rPr>
            </w:pPr>
          </w:p>
        </w:tc>
        <w:tc>
          <w:tcPr>
            <w:tcW w:w="4400" w:type="dxa"/>
            <w:gridSpan w:val="2"/>
          </w:tcPr>
          <w:p w14:paraId="2ECFC0EC" w14:textId="77777777" w:rsidR="00D1656A" w:rsidRPr="00D1656A" w:rsidRDefault="00D1656A" w:rsidP="00D1656A">
            <w:pPr>
              <w:spacing w:line="360" w:lineRule="auto"/>
              <w:rPr>
                <w:rFonts w:ascii="Arial" w:hAnsi="Arial" w:cs="Arial"/>
                <w:sz w:val="20"/>
                <w:szCs w:val="20"/>
              </w:rPr>
            </w:pPr>
          </w:p>
        </w:tc>
        <w:tc>
          <w:tcPr>
            <w:tcW w:w="4400" w:type="dxa"/>
            <w:gridSpan w:val="2"/>
          </w:tcPr>
          <w:p w14:paraId="7328EB48" w14:textId="77777777" w:rsidR="00D1656A" w:rsidRPr="00D1656A" w:rsidRDefault="00D1656A" w:rsidP="00D1656A">
            <w:pPr>
              <w:spacing w:line="360" w:lineRule="auto"/>
              <w:rPr>
                <w:rFonts w:ascii="Arial" w:hAnsi="Arial" w:cs="Arial"/>
                <w:sz w:val="20"/>
                <w:szCs w:val="20"/>
              </w:rPr>
            </w:pPr>
          </w:p>
        </w:tc>
        <w:tc>
          <w:tcPr>
            <w:tcW w:w="4401" w:type="dxa"/>
            <w:gridSpan w:val="2"/>
          </w:tcPr>
          <w:p w14:paraId="03D7294A" w14:textId="77777777" w:rsidR="00D1656A" w:rsidRPr="00D1656A" w:rsidRDefault="00D1656A" w:rsidP="00D1656A">
            <w:pPr>
              <w:spacing w:line="360" w:lineRule="auto"/>
              <w:rPr>
                <w:rFonts w:ascii="Arial" w:hAnsi="Arial" w:cs="Arial"/>
                <w:sz w:val="20"/>
                <w:szCs w:val="20"/>
              </w:rPr>
            </w:pPr>
          </w:p>
        </w:tc>
      </w:tr>
      <w:tr w:rsidR="00D1656A" w:rsidRPr="00D1656A" w14:paraId="34D3A230" w14:textId="77777777" w:rsidTr="00D1656A">
        <w:trPr>
          <w:trHeight w:val="172"/>
        </w:trPr>
        <w:tc>
          <w:tcPr>
            <w:tcW w:w="1164" w:type="dxa"/>
          </w:tcPr>
          <w:p w14:paraId="6CB047F5"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df</w:t>
            </w:r>
          </w:p>
        </w:tc>
        <w:tc>
          <w:tcPr>
            <w:tcW w:w="4400" w:type="dxa"/>
            <w:gridSpan w:val="2"/>
          </w:tcPr>
          <w:p w14:paraId="41C56E20"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5, 145</w:t>
            </w:r>
          </w:p>
        </w:tc>
        <w:tc>
          <w:tcPr>
            <w:tcW w:w="4400" w:type="dxa"/>
            <w:gridSpan w:val="2"/>
          </w:tcPr>
          <w:p w14:paraId="4E1E9FA9"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3, 161</w:t>
            </w:r>
          </w:p>
        </w:tc>
        <w:tc>
          <w:tcPr>
            <w:tcW w:w="4401" w:type="dxa"/>
            <w:gridSpan w:val="2"/>
          </w:tcPr>
          <w:p w14:paraId="07DFEEAA"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3, 157</w:t>
            </w:r>
          </w:p>
        </w:tc>
      </w:tr>
      <w:tr w:rsidR="00D1656A" w:rsidRPr="00D1656A" w14:paraId="6A603A9A" w14:textId="77777777" w:rsidTr="00D1656A">
        <w:trPr>
          <w:trHeight w:val="183"/>
        </w:trPr>
        <w:tc>
          <w:tcPr>
            <w:tcW w:w="1164" w:type="dxa"/>
          </w:tcPr>
          <w:p w14:paraId="3601C848"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F</w:t>
            </w:r>
          </w:p>
        </w:tc>
        <w:tc>
          <w:tcPr>
            <w:tcW w:w="4400" w:type="dxa"/>
            <w:gridSpan w:val="2"/>
          </w:tcPr>
          <w:p w14:paraId="7D6D3883"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110.169</w:t>
            </w:r>
          </w:p>
        </w:tc>
        <w:tc>
          <w:tcPr>
            <w:tcW w:w="4400" w:type="dxa"/>
            <w:gridSpan w:val="2"/>
          </w:tcPr>
          <w:p w14:paraId="621DE8EE"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234.432</w:t>
            </w:r>
          </w:p>
        </w:tc>
        <w:tc>
          <w:tcPr>
            <w:tcW w:w="4401" w:type="dxa"/>
            <w:gridSpan w:val="2"/>
          </w:tcPr>
          <w:p w14:paraId="307DEFAB"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179.999</w:t>
            </w:r>
          </w:p>
        </w:tc>
      </w:tr>
      <w:tr w:rsidR="00D1656A" w:rsidRPr="00D1656A" w14:paraId="0C5DD4D2" w14:textId="77777777" w:rsidTr="00D1656A">
        <w:trPr>
          <w:trHeight w:val="172"/>
        </w:trPr>
        <w:tc>
          <w:tcPr>
            <w:tcW w:w="1164" w:type="dxa"/>
          </w:tcPr>
          <w:p w14:paraId="08B50ABA"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SEE</w:t>
            </w:r>
          </w:p>
        </w:tc>
        <w:tc>
          <w:tcPr>
            <w:tcW w:w="4400" w:type="dxa"/>
            <w:gridSpan w:val="2"/>
          </w:tcPr>
          <w:p w14:paraId="246940D0"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0.019</w:t>
            </w:r>
          </w:p>
        </w:tc>
        <w:tc>
          <w:tcPr>
            <w:tcW w:w="4400" w:type="dxa"/>
            <w:gridSpan w:val="2"/>
          </w:tcPr>
          <w:p w14:paraId="74E82AB9"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0.020</w:t>
            </w:r>
          </w:p>
        </w:tc>
        <w:tc>
          <w:tcPr>
            <w:tcW w:w="4401" w:type="dxa"/>
            <w:gridSpan w:val="2"/>
          </w:tcPr>
          <w:p w14:paraId="09BC0022"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0.019</w:t>
            </w:r>
          </w:p>
        </w:tc>
      </w:tr>
      <w:tr w:rsidR="00D1656A" w:rsidRPr="00D1656A" w14:paraId="7FE8B50A" w14:textId="77777777" w:rsidTr="00D1656A">
        <w:trPr>
          <w:trHeight w:val="172"/>
        </w:trPr>
        <w:tc>
          <w:tcPr>
            <w:tcW w:w="1164" w:type="dxa"/>
            <w:tcBorders>
              <w:bottom w:val="single" w:sz="4" w:space="0" w:color="auto"/>
            </w:tcBorders>
          </w:tcPr>
          <w:p w14:paraId="06BA462C"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Adj. R</w:t>
            </w:r>
            <w:r w:rsidRPr="00D1656A">
              <w:rPr>
                <w:rFonts w:ascii="Arial" w:hAnsi="Arial" w:cs="Arial"/>
                <w:sz w:val="20"/>
                <w:szCs w:val="20"/>
                <w:vertAlign w:val="superscript"/>
              </w:rPr>
              <w:t>2</w:t>
            </w:r>
          </w:p>
        </w:tc>
        <w:tc>
          <w:tcPr>
            <w:tcW w:w="4400" w:type="dxa"/>
            <w:gridSpan w:val="2"/>
            <w:tcBorders>
              <w:bottom w:val="single" w:sz="4" w:space="0" w:color="auto"/>
            </w:tcBorders>
          </w:tcPr>
          <w:p w14:paraId="3322BD35"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 xml:space="preserve">0.784 (p&lt; 0.001. </w:t>
            </w:r>
            <w:r w:rsidRPr="00D1656A">
              <w:rPr>
                <w:rFonts w:ascii="Arial" w:hAnsi="Arial" w:cs="Arial"/>
                <w:i/>
                <w:sz w:val="20"/>
                <w:szCs w:val="20"/>
              </w:rPr>
              <w:t>f</w:t>
            </w:r>
            <w:r w:rsidRPr="00D1656A">
              <w:rPr>
                <w:rFonts w:ascii="Arial" w:hAnsi="Arial" w:cs="Arial"/>
                <w:sz w:val="20"/>
                <w:szCs w:val="20"/>
                <w:vertAlign w:val="superscript"/>
              </w:rPr>
              <w:t xml:space="preserve">2 </w:t>
            </w:r>
            <w:r w:rsidRPr="00D1656A">
              <w:rPr>
                <w:rFonts w:ascii="Arial" w:hAnsi="Arial" w:cs="Arial"/>
                <w:sz w:val="20"/>
                <w:szCs w:val="20"/>
              </w:rPr>
              <w:t>= 3.630)</w:t>
            </w:r>
          </w:p>
        </w:tc>
        <w:tc>
          <w:tcPr>
            <w:tcW w:w="4400" w:type="dxa"/>
            <w:gridSpan w:val="2"/>
            <w:tcBorders>
              <w:bottom w:val="single" w:sz="4" w:space="0" w:color="auto"/>
            </w:tcBorders>
          </w:tcPr>
          <w:p w14:paraId="56C16F12"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 xml:space="preserve">0.810 (p&lt; 0.001. </w:t>
            </w:r>
            <w:r w:rsidRPr="00D1656A">
              <w:rPr>
                <w:rFonts w:ascii="Arial" w:hAnsi="Arial" w:cs="Arial"/>
                <w:i/>
                <w:sz w:val="20"/>
                <w:szCs w:val="20"/>
              </w:rPr>
              <w:t>f</w:t>
            </w:r>
            <w:r w:rsidRPr="00D1656A">
              <w:rPr>
                <w:rFonts w:ascii="Arial" w:hAnsi="Arial" w:cs="Arial"/>
                <w:sz w:val="20"/>
                <w:szCs w:val="20"/>
                <w:vertAlign w:val="superscript"/>
              </w:rPr>
              <w:t xml:space="preserve">2 </w:t>
            </w:r>
            <w:r w:rsidRPr="00D1656A">
              <w:rPr>
                <w:rFonts w:ascii="Arial" w:hAnsi="Arial" w:cs="Arial"/>
                <w:sz w:val="20"/>
                <w:szCs w:val="20"/>
              </w:rPr>
              <w:t>= 3.630)</w:t>
            </w:r>
          </w:p>
        </w:tc>
        <w:tc>
          <w:tcPr>
            <w:tcW w:w="4401" w:type="dxa"/>
            <w:gridSpan w:val="2"/>
            <w:tcBorders>
              <w:bottom w:val="single" w:sz="4" w:space="0" w:color="auto"/>
            </w:tcBorders>
          </w:tcPr>
          <w:p w14:paraId="55CEF70E"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 xml:space="preserve">0.770 (p&lt; 0.001. </w:t>
            </w:r>
            <w:r w:rsidRPr="00D1656A">
              <w:rPr>
                <w:rFonts w:ascii="Arial" w:hAnsi="Arial" w:cs="Arial"/>
                <w:i/>
                <w:sz w:val="20"/>
                <w:szCs w:val="20"/>
              </w:rPr>
              <w:t>f</w:t>
            </w:r>
            <w:r w:rsidRPr="00D1656A">
              <w:rPr>
                <w:rFonts w:ascii="Arial" w:hAnsi="Arial" w:cs="Arial"/>
                <w:sz w:val="20"/>
                <w:szCs w:val="20"/>
                <w:vertAlign w:val="superscript"/>
              </w:rPr>
              <w:t xml:space="preserve">2 </w:t>
            </w:r>
            <w:r w:rsidRPr="00D1656A">
              <w:rPr>
                <w:rFonts w:ascii="Arial" w:hAnsi="Arial" w:cs="Arial"/>
                <w:sz w:val="20"/>
                <w:szCs w:val="20"/>
              </w:rPr>
              <w:t>=3.348)</w:t>
            </w:r>
          </w:p>
        </w:tc>
      </w:tr>
      <w:tr w:rsidR="00D1656A" w:rsidRPr="00D1656A" w14:paraId="2251BA96" w14:textId="77777777" w:rsidTr="00D1656A">
        <w:trPr>
          <w:trHeight w:val="172"/>
        </w:trPr>
        <w:tc>
          <w:tcPr>
            <w:tcW w:w="1164" w:type="dxa"/>
            <w:tcBorders>
              <w:top w:val="single" w:sz="4" w:space="0" w:color="auto"/>
            </w:tcBorders>
          </w:tcPr>
          <w:p w14:paraId="1D76427C" w14:textId="77777777" w:rsidR="00D1656A" w:rsidRPr="00D1656A" w:rsidRDefault="00D1656A" w:rsidP="00D1656A">
            <w:pPr>
              <w:spacing w:line="360" w:lineRule="auto"/>
              <w:rPr>
                <w:rFonts w:ascii="Arial" w:hAnsi="Arial" w:cs="Arial"/>
                <w:b/>
                <w:bCs/>
                <w:sz w:val="20"/>
                <w:szCs w:val="20"/>
              </w:rPr>
            </w:pPr>
            <w:r w:rsidRPr="00D1656A">
              <w:rPr>
                <w:rFonts w:ascii="Arial" w:hAnsi="Arial" w:cs="Arial"/>
                <w:b/>
                <w:bCs/>
                <w:sz w:val="20"/>
                <w:szCs w:val="20"/>
              </w:rPr>
              <w:t>Par 5</w:t>
            </w:r>
          </w:p>
        </w:tc>
        <w:tc>
          <w:tcPr>
            <w:tcW w:w="4400" w:type="dxa"/>
            <w:gridSpan w:val="2"/>
            <w:vMerge w:val="restart"/>
            <w:tcBorders>
              <w:top w:val="single" w:sz="4" w:space="0" w:color="auto"/>
            </w:tcBorders>
          </w:tcPr>
          <w:p w14:paraId="5CE160A4"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-1.195(GIR) + 0.086(Putts) -0.003(DD) + 4.144</w:t>
            </w:r>
          </w:p>
        </w:tc>
        <w:tc>
          <w:tcPr>
            <w:tcW w:w="4400" w:type="dxa"/>
            <w:gridSpan w:val="2"/>
            <w:vMerge w:val="restart"/>
            <w:tcBorders>
              <w:top w:val="single" w:sz="4" w:space="0" w:color="auto"/>
            </w:tcBorders>
          </w:tcPr>
          <w:p w14:paraId="4D456C5D"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-1.526(GIR) + 0.063(Putts) -0.002(DD) + 4.545</w:t>
            </w:r>
          </w:p>
        </w:tc>
        <w:tc>
          <w:tcPr>
            <w:tcW w:w="4401" w:type="dxa"/>
            <w:gridSpan w:val="2"/>
            <w:vMerge w:val="restart"/>
            <w:tcBorders>
              <w:top w:val="single" w:sz="4" w:space="0" w:color="auto"/>
            </w:tcBorders>
          </w:tcPr>
          <w:p w14:paraId="7B5AFE21"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-1.585(GIR) + 0.058(Putts) -0.002(DD) – 0.314(Scramble) + 4.917</w:t>
            </w:r>
          </w:p>
          <w:p w14:paraId="6CD429BA" w14:textId="77777777" w:rsidR="00D1656A" w:rsidRPr="00D1656A" w:rsidRDefault="00D1656A" w:rsidP="00D1656A">
            <w:pPr>
              <w:spacing w:line="360" w:lineRule="auto"/>
              <w:rPr>
                <w:rFonts w:ascii="Arial" w:hAnsi="Arial" w:cs="Arial"/>
                <w:sz w:val="20"/>
                <w:szCs w:val="20"/>
              </w:rPr>
            </w:pPr>
          </w:p>
        </w:tc>
      </w:tr>
      <w:tr w:rsidR="00D1656A" w:rsidRPr="00D1656A" w14:paraId="4471D467" w14:textId="77777777" w:rsidTr="00D1656A">
        <w:trPr>
          <w:trHeight w:val="172"/>
        </w:trPr>
        <w:tc>
          <w:tcPr>
            <w:tcW w:w="1164" w:type="dxa"/>
          </w:tcPr>
          <w:p w14:paraId="346FC344" w14:textId="77777777" w:rsidR="00D1656A" w:rsidRPr="00D1656A" w:rsidRDefault="00D1656A" w:rsidP="00D1656A">
            <w:pPr>
              <w:spacing w:line="360" w:lineRule="auto"/>
              <w:rPr>
                <w:rFonts w:ascii="Arial" w:hAnsi="Arial" w:cs="Arial"/>
                <w:b/>
                <w:sz w:val="20"/>
                <w:szCs w:val="20"/>
              </w:rPr>
            </w:pPr>
            <w:r w:rsidRPr="00D1656A">
              <w:rPr>
                <w:rFonts w:ascii="Arial" w:hAnsi="Arial" w:cs="Arial"/>
                <w:b/>
                <w:sz w:val="20"/>
                <w:szCs w:val="20"/>
              </w:rPr>
              <w:t>Model</w:t>
            </w:r>
          </w:p>
        </w:tc>
        <w:tc>
          <w:tcPr>
            <w:tcW w:w="4400" w:type="dxa"/>
            <w:gridSpan w:val="2"/>
            <w:vMerge/>
          </w:tcPr>
          <w:p w14:paraId="3EA2D913" w14:textId="77777777" w:rsidR="00D1656A" w:rsidRPr="00D1656A" w:rsidRDefault="00D1656A" w:rsidP="00D1656A">
            <w:pPr>
              <w:spacing w:line="360" w:lineRule="auto"/>
              <w:rPr>
                <w:rFonts w:ascii="Arial" w:hAnsi="Arial" w:cs="Arial"/>
                <w:sz w:val="20"/>
                <w:szCs w:val="20"/>
              </w:rPr>
            </w:pPr>
          </w:p>
        </w:tc>
        <w:tc>
          <w:tcPr>
            <w:tcW w:w="4400" w:type="dxa"/>
            <w:gridSpan w:val="2"/>
            <w:vMerge/>
          </w:tcPr>
          <w:p w14:paraId="086E91C9" w14:textId="77777777" w:rsidR="00D1656A" w:rsidRPr="00D1656A" w:rsidRDefault="00D1656A" w:rsidP="00D1656A">
            <w:pPr>
              <w:spacing w:line="360" w:lineRule="auto"/>
              <w:rPr>
                <w:rFonts w:ascii="Arial" w:hAnsi="Arial" w:cs="Arial"/>
                <w:sz w:val="20"/>
                <w:szCs w:val="20"/>
              </w:rPr>
            </w:pPr>
          </w:p>
        </w:tc>
        <w:tc>
          <w:tcPr>
            <w:tcW w:w="4401" w:type="dxa"/>
            <w:gridSpan w:val="2"/>
            <w:vMerge/>
          </w:tcPr>
          <w:p w14:paraId="14DB845E" w14:textId="77777777" w:rsidR="00D1656A" w:rsidRPr="00D1656A" w:rsidRDefault="00D1656A" w:rsidP="00D1656A">
            <w:pPr>
              <w:spacing w:line="360" w:lineRule="auto"/>
              <w:rPr>
                <w:rFonts w:ascii="Arial" w:hAnsi="Arial" w:cs="Arial"/>
                <w:sz w:val="20"/>
                <w:szCs w:val="20"/>
              </w:rPr>
            </w:pPr>
          </w:p>
        </w:tc>
      </w:tr>
      <w:tr w:rsidR="00D1656A" w:rsidRPr="00D1656A" w14:paraId="3E1975B0" w14:textId="77777777" w:rsidTr="00D1656A">
        <w:trPr>
          <w:trHeight w:val="172"/>
        </w:trPr>
        <w:tc>
          <w:tcPr>
            <w:tcW w:w="1164" w:type="dxa"/>
          </w:tcPr>
          <w:p w14:paraId="5DEE4D7B"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df</w:t>
            </w:r>
          </w:p>
        </w:tc>
        <w:tc>
          <w:tcPr>
            <w:tcW w:w="4400" w:type="dxa"/>
            <w:gridSpan w:val="2"/>
          </w:tcPr>
          <w:p w14:paraId="1A1F4E43"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3, 147</w:t>
            </w:r>
          </w:p>
        </w:tc>
        <w:tc>
          <w:tcPr>
            <w:tcW w:w="4400" w:type="dxa"/>
            <w:gridSpan w:val="2"/>
          </w:tcPr>
          <w:p w14:paraId="3E0A2D5E"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3, 161</w:t>
            </w:r>
          </w:p>
        </w:tc>
        <w:tc>
          <w:tcPr>
            <w:tcW w:w="4401" w:type="dxa"/>
            <w:gridSpan w:val="2"/>
          </w:tcPr>
          <w:p w14:paraId="277B3E80"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4, 156</w:t>
            </w:r>
          </w:p>
        </w:tc>
      </w:tr>
      <w:tr w:rsidR="00D1656A" w:rsidRPr="00D1656A" w14:paraId="6A42A354" w14:textId="77777777" w:rsidTr="00D1656A">
        <w:trPr>
          <w:trHeight w:val="172"/>
        </w:trPr>
        <w:tc>
          <w:tcPr>
            <w:tcW w:w="1164" w:type="dxa"/>
          </w:tcPr>
          <w:p w14:paraId="71C4BBD3"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F</w:t>
            </w:r>
          </w:p>
        </w:tc>
        <w:tc>
          <w:tcPr>
            <w:tcW w:w="4400" w:type="dxa"/>
            <w:gridSpan w:val="2"/>
          </w:tcPr>
          <w:p w14:paraId="23667428"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64.933</w:t>
            </w:r>
          </w:p>
        </w:tc>
        <w:tc>
          <w:tcPr>
            <w:tcW w:w="4400" w:type="dxa"/>
            <w:gridSpan w:val="2"/>
          </w:tcPr>
          <w:p w14:paraId="2C82E897"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74.077</w:t>
            </w:r>
          </w:p>
        </w:tc>
        <w:tc>
          <w:tcPr>
            <w:tcW w:w="4401" w:type="dxa"/>
            <w:gridSpan w:val="2"/>
          </w:tcPr>
          <w:p w14:paraId="3521BC54"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86.281</w:t>
            </w:r>
          </w:p>
        </w:tc>
      </w:tr>
      <w:tr w:rsidR="00D1656A" w:rsidRPr="00D1656A" w14:paraId="6AEB9E3D" w14:textId="77777777" w:rsidTr="00D1656A">
        <w:trPr>
          <w:trHeight w:val="172"/>
        </w:trPr>
        <w:tc>
          <w:tcPr>
            <w:tcW w:w="1164" w:type="dxa"/>
          </w:tcPr>
          <w:p w14:paraId="1980ABEE"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SEE</w:t>
            </w:r>
          </w:p>
        </w:tc>
        <w:tc>
          <w:tcPr>
            <w:tcW w:w="4400" w:type="dxa"/>
            <w:gridSpan w:val="2"/>
          </w:tcPr>
          <w:p w14:paraId="785077D7"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0.051</w:t>
            </w:r>
          </w:p>
        </w:tc>
        <w:tc>
          <w:tcPr>
            <w:tcW w:w="4400" w:type="dxa"/>
            <w:gridSpan w:val="2"/>
          </w:tcPr>
          <w:p w14:paraId="42125DA7"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0.048</w:t>
            </w:r>
          </w:p>
        </w:tc>
        <w:tc>
          <w:tcPr>
            <w:tcW w:w="4401" w:type="dxa"/>
            <w:gridSpan w:val="2"/>
          </w:tcPr>
          <w:p w14:paraId="559FB4E5"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0.046</w:t>
            </w:r>
          </w:p>
        </w:tc>
      </w:tr>
      <w:tr w:rsidR="00D1656A" w:rsidRPr="00D1656A" w14:paraId="70931E83" w14:textId="77777777" w:rsidTr="00D1656A">
        <w:trPr>
          <w:trHeight w:val="172"/>
        </w:trPr>
        <w:tc>
          <w:tcPr>
            <w:tcW w:w="1164" w:type="dxa"/>
          </w:tcPr>
          <w:p w14:paraId="6C227D53"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Adj. R</w:t>
            </w:r>
            <w:r w:rsidRPr="00D1656A">
              <w:rPr>
                <w:rFonts w:ascii="Arial" w:hAnsi="Arial" w:cs="Arial"/>
                <w:sz w:val="20"/>
                <w:szCs w:val="20"/>
                <w:vertAlign w:val="superscript"/>
              </w:rPr>
              <w:t>2</w:t>
            </w:r>
          </w:p>
        </w:tc>
        <w:tc>
          <w:tcPr>
            <w:tcW w:w="4400" w:type="dxa"/>
            <w:gridSpan w:val="2"/>
          </w:tcPr>
          <w:p w14:paraId="022EBA0A"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 xml:space="preserve">0.561 (p&lt; 0.001. </w:t>
            </w:r>
            <w:r w:rsidRPr="00D1656A">
              <w:rPr>
                <w:rFonts w:ascii="Arial" w:hAnsi="Arial" w:cs="Arial"/>
                <w:i/>
                <w:sz w:val="20"/>
                <w:szCs w:val="20"/>
              </w:rPr>
              <w:t>f</w:t>
            </w:r>
            <w:r w:rsidRPr="00D1656A">
              <w:rPr>
                <w:rFonts w:ascii="Arial" w:hAnsi="Arial" w:cs="Arial"/>
                <w:sz w:val="20"/>
                <w:szCs w:val="20"/>
                <w:vertAlign w:val="superscript"/>
              </w:rPr>
              <w:t xml:space="preserve">2 </w:t>
            </w:r>
            <w:r w:rsidRPr="00D1656A">
              <w:rPr>
                <w:rFonts w:ascii="Arial" w:hAnsi="Arial" w:cs="Arial"/>
                <w:sz w:val="20"/>
                <w:szCs w:val="20"/>
              </w:rPr>
              <w:t>= 1.278)</w:t>
            </w:r>
          </w:p>
        </w:tc>
        <w:tc>
          <w:tcPr>
            <w:tcW w:w="4400" w:type="dxa"/>
            <w:gridSpan w:val="2"/>
          </w:tcPr>
          <w:p w14:paraId="55A3BFDD"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 xml:space="preserve">0.572 (p&lt; 0.001. </w:t>
            </w:r>
            <w:r w:rsidRPr="00D1656A">
              <w:rPr>
                <w:rFonts w:ascii="Arial" w:hAnsi="Arial" w:cs="Arial"/>
                <w:i/>
                <w:sz w:val="20"/>
                <w:szCs w:val="20"/>
              </w:rPr>
              <w:t>f</w:t>
            </w:r>
            <w:r w:rsidRPr="00D1656A">
              <w:rPr>
                <w:rFonts w:ascii="Arial" w:hAnsi="Arial" w:cs="Arial"/>
                <w:sz w:val="20"/>
                <w:szCs w:val="20"/>
                <w:vertAlign w:val="superscript"/>
              </w:rPr>
              <w:t xml:space="preserve">2 </w:t>
            </w:r>
            <w:r w:rsidRPr="00D1656A">
              <w:rPr>
                <w:rFonts w:ascii="Arial" w:hAnsi="Arial" w:cs="Arial"/>
                <w:sz w:val="20"/>
                <w:szCs w:val="20"/>
              </w:rPr>
              <w:t>= 1.337)</w:t>
            </w:r>
          </w:p>
        </w:tc>
        <w:tc>
          <w:tcPr>
            <w:tcW w:w="4401" w:type="dxa"/>
            <w:gridSpan w:val="2"/>
          </w:tcPr>
          <w:p w14:paraId="06045DE7"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 xml:space="preserve">0.680 (p&lt; 0.001. </w:t>
            </w:r>
            <w:r w:rsidRPr="00D1656A">
              <w:rPr>
                <w:rFonts w:ascii="Arial" w:hAnsi="Arial" w:cs="Arial"/>
                <w:i/>
                <w:sz w:val="20"/>
                <w:szCs w:val="20"/>
              </w:rPr>
              <w:t>f</w:t>
            </w:r>
            <w:r w:rsidRPr="00D1656A">
              <w:rPr>
                <w:rFonts w:ascii="Arial" w:hAnsi="Arial" w:cs="Arial"/>
                <w:sz w:val="20"/>
                <w:szCs w:val="20"/>
                <w:vertAlign w:val="superscript"/>
              </w:rPr>
              <w:t xml:space="preserve">2 </w:t>
            </w:r>
            <w:r w:rsidRPr="00D1656A">
              <w:rPr>
                <w:rFonts w:ascii="Arial" w:hAnsi="Arial" w:cs="Arial"/>
                <w:sz w:val="20"/>
                <w:szCs w:val="20"/>
              </w:rPr>
              <w:t>= 2.125)</w:t>
            </w:r>
          </w:p>
        </w:tc>
      </w:tr>
      <w:tr w:rsidR="00D1656A" w:rsidRPr="00D1656A" w14:paraId="0A002D58" w14:textId="77777777" w:rsidTr="00D1656A">
        <w:trPr>
          <w:gridAfter w:val="1"/>
          <w:wAfter w:w="1165" w:type="dxa"/>
          <w:trHeight w:val="172"/>
        </w:trPr>
        <w:tc>
          <w:tcPr>
            <w:tcW w:w="4399" w:type="dxa"/>
            <w:gridSpan w:val="2"/>
          </w:tcPr>
          <w:p w14:paraId="57067F40" w14:textId="77777777" w:rsidR="00D1656A" w:rsidRPr="00D1656A" w:rsidRDefault="00D1656A" w:rsidP="00D1656A">
            <w:pPr>
              <w:spacing w:line="360" w:lineRule="auto"/>
              <w:rPr>
                <w:rFonts w:ascii="Arial" w:hAnsi="Arial" w:cs="Arial"/>
                <w:sz w:val="20"/>
                <w:szCs w:val="20"/>
              </w:rPr>
            </w:pPr>
          </w:p>
        </w:tc>
        <w:tc>
          <w:tcPr>
            <w:tcW w:w="4400" w:type="dxa"/>
            <w:gridSpan w:val="2"/>
          </w:tcPr>
          <w:p w14:paraId="2F4C973D" w14:textId="77777777" w:rsidR="00D1656A" w:rsidRPr="00D1656A" w:rsidRDefault="00D1656A" w:rsidP="00D1656A">
            <w:pPr>
              <w:spacing w:line="360" w:lineRule="auto"/>
              <w:rPr>
                <w:rFonts w:ascii="Arial" w:hAnsi="Arial" w:cs="Arial"/>
                <w:sz w:val="20"/>
                <w:szCs w:val="20"/>
              </w:rPr>
            </w:pPr>
          </w:p>
        </w:tc>
        <w:tc>
          <w:tcPr>
            <w:tcW w:w="4401" w:type="dxa"/>
            <w:gridSpan w:val="2"/>
          </w:tcPr>
          <w:p w14:paraId="2852C299" w14:textId="77777777" w:rsidR="00D1656A" w:rsidRPr="00D1656A" w:rsidRDefault="00D1656A" w:rsidP="00D1656A">
            <w:pPr>
              <w:spacing w:line="360" w:lineRule="auto"/>
              <w:rPr>
                <w:rFonts w:ascii="Arial" w:hAnsi="Arial" w:cs="Arial"/>
                <w:sz w:val="20"/>
                <w:szCs w:val="20"/>
              </w:rPr>
            </w:pPr>
          </w:p>
        </w:tc>
      </w:tr>
      <w:tr w:rsidR="00D1656A" w:rsidRPr="00D1656A" w14:paraId="5A31CBF9" w14:textId="77777777" w:rsidTr="00D1656A">
        <w:trPr>
          <w:gridAfter w:val="1"/>
          <w:wAfter w:w="1164" w:type="dxa"/>
          <w:trHeight w:val="172"/>
        </w:trPr>
        <w:tc>
          <w:tcPr>
            <w:tcW w:w="13201" w:type="dxa"/>
            <w:gridSpan w:val="6"/>
          </w:tcPr>
          <w:p w14:paraId="43D84091" w14:textId="77777777" w:rsidR="00D1656A" w:rsidRPr="00D1656A" w:rsidRDefault="00D1656A" w:rsidP="00D1656A">
            <w:pPr>
              <w:spacing w:line="360" w:lineRule="auto"/>
              <w:rPr>
                <w:rFonts w:ascii="Arial" w:hAnsi="Arial" w:cs="Arial"/>
                <w:sz w:val="20"/>
                <w:szCs w:val="20"/>
              </w:rPr>
            </w:pPr>
            <w:r w:rsidRPr="00D1656A">
              <w:rPr>
                <w:rFonts w:ascii="Arial" w:hAnsi="Arial" w:cs="Arial"/>
                <w:sz w:val="20"/>
                <w:szCs w:val="20"/>
              </w:rPr>
              <w:t>df= degrees of freedom. SEE= Standard error of the estimate. Adj. R</w:t>
            </w:r>
            <w:r w:rsidRPr="00D1656A">
              <w:rPr>
                <w:rFonts w:ascii="Arial" w:hAnsi="Arial" w:cs="Arial"/>
                <w:sz w:val="20"/>
                <w:szCs w:val="20"/>
                <w:vertAlign w:val="superscript"/>
              </w:rPr>
              <w:t xml:space="preserve">2 </w:t>
            </w:r>
            <w:r w:rsidRPr="00D1656A">
              <w:rPr>
                <w:rFonts w:ascii="Arial" w:hAnsi="Arial" w:cs="Arial"/>
                <w:sz w:val="20"/>
                <w:szCs w:val="20"/>
              </w:rPr>
              <w:t>= adjusted R</w:t>
            </w:r>
            <w:r w:rsidRPr="00D1656A">
              <w:rPr>
                <w:rFonts w:ascii="Arial" w:hAnsi="Arial" w:cs="Arial"/>
                <w:sz w:val="20"/>
                <w:szCs w:val="20"/>
                <w:vertAlign w:val="superscript"/>
              </w:rPr>
              <w:t>2</w:t>
            </w:r>
          </w:p>
        </w:tc>
      </w:tr>
    </w:tbl>
    <w:p w14:paraId="5B780AAA" w14:textId="77777777" w:rsidR="00D1656A" w:rsidRDefault="00D1656A" w:rsidP="00D1656A">
      <w:pPr>
        <w:spacing w:line="480" w:lineRule="auto"/>
        <w:jc w:val="both"/>
        <w:rPr>
          <w:rFonts w:ascii="Arial" w:hAnsi="Arial" w:cs="Arial"/>
        </w:rPr>
        <w:sectPr w:rsidR="00D1656A" w:rsidSect="00D1656A">
          <w:pgSz w:w="16838" w:h="11906" w:orient="landscape"/>
          <w:pgMar w:top="1440" w:right="1440" w:bottom="1440" w:left="1440" w:header="709" w:footer="709" w:gutter="0"/>
          <w:lnNumType w:countBy="1" w:restart="continuous"/>
          <w:cols w:space="708"/>
          <w:docGrid w:linePitch="360"/>
        </w:sectPr>
      </w:pPr>
    </w:p>
    <w:p w14:paraId="4BAC2FCA" w14:textId="77777777" w:rsidR="00D1656A" w:rsidRDefault="00D1656A" w:rsidP="00D1656A">
      <w:pPr>
        <w:spacing w:line="480" w:lineRule="auto"/>
        <w:jc w:val="both"/>
        <w:rPr>
          <w:rFonts w:ascii="Arial" w:hAnsi="Arial" w:cs="Arial"/>
        </w:rPr>
      </w:pPr>
      <w:r w:rsidRPr="00D1656A">
        <w:lastRenderedPageBreak/>
        <w:drawing>
          <wp:inline distT="0" distB="0" distL="0" distR="0" wp14:anchorId="06D4426F" wp14:editId="2E5E61A2">
            <wp:extent cx="8863330" cy="2000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63330" cy="2000885"/>
                    </a:xfrm>
                    <a:prstGeom prst="rect">
                      <a:avLst/>
                    </a:prstGeom>
                  </pic:spPr>
                </pic:pic>
              </a:graphicData>
            </a:graphic>
          </wp:inline>
        </w:drawing>
      </w:r>
    </w:p>
    <w:p w14:paraId="680BE615" w14:textId="4ADA5243" w:rsidR="00D1656A" w:rsidRDefault="00D1656A" w:rsidP="00D1656A">
      <w:pPr>
        <w:spacing w:line="480" w:lineRule="auto"/>
        <w:jc w:val="both"/>
        <w:rPr>
          <w:rFonts w:ascii="Arial" w:hAnsi="Arial" w:cs="Arial"/>
        </w:rPr>
        <w:sectPr w:rsidR="00D1656A" w:rsidSect="00D1656A">
          <w:pgSz w:w="16838" w:h="11906" w:orient="landscape"/>
          <w:pgMar w:top="1440" w:right="1440" w:bottom="1440" w:left="1440" w:header="709" w:footer="709" w:gutter="0"/>
          <w:lnNumType w:countBy="1" w:restart="continuous"/>
          <w:cols w:space="708"/>
          <w:docGrid w:linePitch="360"/>
        </w:sectPr>
      </w:pPr>
      <w:r>
        <w:rPr>
          <w:rFonts w:ascii="Arial" w:hAnsi="Arial" w:cs="Arial"/>
        </w:rPr>
        <w:t xml:space="preserve">Figure 1: </w:t>
      </w:r>
      <w:r w:rsidRPr="00B66A1B">
        <w:rPr>
          <w:rFonts w:ascii="Arial" w:hAnsi="Arial" w:cs="Arial"/>
        </w:rPr>
        <w:t>Effect sizes for all variables across years. Minus effect sizes favour the earlier year and positive effect sizes favour the later year.</w:t>
      </w:r>
    </w:p>
    <w:p w14:paraId="61DE8AC3" w14:textId="6DC2DFAD" w:rsidR="00D1656A" w:rsidRPr="00D1656A" w:rsidRDefault="00D1656A" w:rsidP="00D1656A">
      <w:pPr>
        <w:spacing w:line="480" w:lineRule="auto"/>
        <w:jc w:val="both"/>
        <w:rPr>
          <w:rFonts w:ascii="Arial" w:hAnsi="Arial" w:cs="Arial"/>
        </w:rPr>
      </w:pPr>
    </w:p>
    <w:sectPr w:rsidR="00D1656A" w:rsidRPr="00D1656A" w:rsidSect="00C22E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C2B61" w14:textId="77777777" w:rsidR="00096BAA" w:rsidRDefault="00096BAA" w:rsidP="008A47F4">
      <w:pPr>
        <w:spacing w:after="0" w:line="240" w:lineRule="auto"/>
      </w:pPr>
      <w:r>
        <w:separator/>
      </w:r>
    </w:p>
  </w:endnote>
  <w:endnote w:type="continuationSeparator" w:id="0">
    <w:p w14:paraId="02D43B0D" w14:textId="77777777" w:rsidR="00096BAA" w:rsidRDefault="00096BAA" w:rsidP="008A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F9527" w14:textId="77777777" w:rsidR="00096BAA" w:rsidRDefault="00096BAA" w:rsidP="008A47F4">
      <w:pPr>
        <w:spacing w:after="0" w:line="240" w:lineRule="auto"/>
      </w:pPr>
      <w:r>
        <w:separator/>
      </w:r>
    </w:p>
  </w:footnote>
  <w:footnote w:type="continuationSeparator" w:id="0">
    <w:p w14:paraId="561FEDBF" w14:textId="77777777" w:rsidR="00096BAA" w:rsidRDefault="00096BAA" w:rsidP="008A4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446515"/>
      <w:docPartObj>
        <w:docPartGallery w:val="Page Numbers (Top of Page)"/>
        <w:docPartUnique/>
      </w:docPartObj>
    </w:sdtPr>
    <w:sdtEndPr>
      <w:rPr>
        <w:noProof/>
      </w:rPr>
    </w:sdtEndPr>
    <w:sdtContent>
      <w:p w14:paraId="66CBEE8E" w14:textId="5F091916" w:rsidR="00A72669" w:rsidRDefault="00A726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3C53E2" w14:textId="77777777" w:rsidR="00A72669" w:rsidRDefault="00A72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65D5"/>
    <w:multiLevelType w:val="hybridMultilevel"/>
    <w:tmpl w:val="44025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D22BA"/>
    <w:multiLevelType w:val="multilevel"/>
    <w:tmpl w:val="942CC0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CF04C4"/>
    <w:multiLevelType w:val="hybridMultilevel"/>
    <w:tmpl w:val="755CB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202C7"/>
    <w:multiLevelType w:val="hybridMultilevel"/>
    <w:tmpl w:val="AD7AB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6294C"/>
    <w:multiLevelType w:val="hybridMultilevel"/>
    <w:tmpl w:val="8F10E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AD2E8C"/>
    <w:multiLevelType w:val="hybridMultilevel"/>
    <w:tmpl w:val="C8A8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CB63BE"/>
    <w:multiLevelType w:val="hybridMultilevel"/>
    <w:tmpl w:val="C8A8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B76D1B"/>
    <w:multiLevelType w:val="multilevel"/>
    <w:tmpl w:val="942CC0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6826409"/>
    <w:multiLevelType w:val="hybridMultilevel"/>
    <w:tmpl w:val="4EEE5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4A003B"/>
    <w:multiLevelType w:val="hybridMultilevel"/>
    <w:tmpl w:val="B27E3B2E"/>
    <w:lvl w:ilvl="0" w:tplc="A6BADB3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6"/>
  </w:num>
  <w:num w:numId="6">
    <w:abstractNumId w:val="8"/>
  </w:num>
  <w:num w:numId="7">
    <w:abstractNumId w:val="3"/>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EE"/>
    <w:rsid w:val="00020453"/>
    <w:rsid w:val="000210B3"/>
    <w:rsid w:val="00025EEF"/>
    <w:rsid w:val="000348BD"/>
    <w:rsid w:val="0004167B"/>
    <w:rsid w:val="000549DD"/>
    <w:rsid w:val="0006279A"/>
    <w:rsid w:val="000643BC"/>
    <w:rsid w:val="000676DF"/>
    <w:rsid w:val="0007220B"/>
    <w:rsid w:val="0007490A"/>
    <w:rsid w:val="000802E5"/>
    <w:rsid w:val="00093D52"/>
    <w:rsid w:val="0009418C"/>
    <w:rsid w:val="00094D93"/>
    <w:rsid w:val="00096BAA"/>
    <w:rsid w:val="000A2755"/>
    <w:rsid w:val="000A72F1"/>
    <w:rsid w:val="000A7C47"/>
    <w:rsid w:val="000B5F84"/>
    <w:rsid w:val="000C51EE"/>
    <w:rsid w:val="000C72A5"/>
    <w:rsid w:val="000D427F"/>
    <w:rsid w:val="000D4AB8"/>
    <w:rsid w:val="000E02A4"/>
    <w:rsid w:val="00101D0A"/>
    <w:rsid w:val="00112078"/>
    <w:rsid w:val="0011792D"/>
    <w:rsid w:val="00117D33"/>
    <w:rsid w:val="00123111"/>
    <w:rsid w:val="00127441"/>
    <w:rsid w:val="00130ACF"/>
    <w:rsid w:val="00130F6B"/>
    <w:rsid w:val="001427FD"/>
    <w:rsid w:val="001475F0"/>
    <w:rsid w:val="00153541"/>
    <w:rsid w:val="00154252"/>
    <w:rsid w:val="0015529E"/>
    <w:rsid w:val="001561EA"/>
    <w:rsid w:val="00156865"/>
    <w:rsid w:val="001569C3"/>
    <w:rsid w:val="00162EA8"/>
    <w:rsid w:val="00175EEA"/>
    <w:rsid w:val="00187FC5"/>
    <w:rsid w:val="00193E41"/>
    <w:rsid w:val="001955BF"/>
    <w:rsid w:val="001A7665"/>
    <w:rsid w:val="001C1496"/>
    <w:rsid w:val="001D2901"/>
    <w:rsid w:val="001D2DB1"/>
    <w:rsid w:val="001D3CE9"/>
    <w:rsid w:val="001D5836"/>
    <w:rsid w:val="001D59D0"/>
    <w:rsid w:val="001D6B18"/>
    <w:rsid w:val="001E21B7"/>
    <w:rsid w:val="001E2564"/>
    <w:rsid w:val="001E6B38"/>
    <w:rsid w:val="001F13E9"/>
    <w:rsid w:val="001F6523"/>
    <w:rsid w:val="00207144"/>
    <w:rsid w:val="00207259"/>
    <w:rsid w:val="00210B5E"/>
    <w:rsid w:val="00215F02"/>
    <w:rsid w:val="002221DB"/>
    <w:rsid w:val="002329B5"/>
    <w:rsid w:val="00233FF7"/>
    <w:rsid w:val="00251756"/>
    <w:rsid w:val="00252B36"/>
    <w:rsid w:val="0026482B"/>
    <w:rsid w:val="00277F8D"/>
    <w:rsid w:val="002838D5"/>
    <w:rsid w:val="00287B9F"/>
    <w:rsid w:val="00294BE6"/>
    <w:rsid w:val="0029784F"/>
    <w:rsid w:val="002A42BF"/>
    <w:rsid w:val="002A47E4"/>
    <w:rsid w:val="002A4890"/>
    <w:rsid w:val="002A5C9C"/>
    <w:rsid w:val="002B4590"/>
    <w:rsid w:val="002D615F"/>
    <w:rsid w:val="002E02A9"/>
    <w:rsid w:val="002E077D"/>
    <w:rsid w:val="002E5A99"/>
    <w:rsid w:val="002E791E"/>
    <w:rsid w:val="002F3FD2"/>
    <w:rsid w:val="002F67A7"/>
    <w:rsid w:val="0030390C"/>
    <w:rsid w:val="003110E5"/>
    <w:rsid w:val="00311201"/>
    <w:rsid w:val="0031169C"/>
    <w:rsid w:val="003251B0"/>
    <w:rsid w:val="0033106C"/>
    <w:rsid w:val="0033106F"/>
    <w:rsid w:val="00335DB3"/>
    <w:rsid w:val="003405FD"/>
    <w:rsid w:val="00341241"/>
    <w:rsid w:val="00341FCA"/>
    <w:rsid w:val="0035116D"/>
    <w:rsid w:val="0037051F"/>
    <w:rsid w:val="00373B7C"/>
    <w:rsid w:val="00390278"/>
    <w:rsid w:val="003973DC"/>
    <w:rsid w:val="003B246B"/>
    <w:rsid w:val="003B7373"/>
    <w:rsid w:val="003C543D"/>
    <w:rsid w:val="003D1B60"/>
    <w:rsid w:val="003E2132"/>
    <w:rsid w:val="003E4CCC"/>
    <w:rsid w:val="00412967"/>
    <w:rsid w:val="00414851"/>
    <w:rsid w:val="00416DB1"/>
    <w:rsid w:val="00421AF2"/>
    <w:rsid w:val="004314D8"/>
    <w:rsid w:val="00431B76"/>
    <w:rsid w:val="00437467"/>
    <w:rsid w:val="00457DE8"/>
    <w:rsid w:val="004632A7"/>
    <w:rsid w:val="004642D6"/>
    <w:rsid w:val="0046694D"/>
    <w:rsid w:val="004669E4"/>
    <w:rsid w:val="0049670A"/>
    <w:rsid w:val="00497FE5"/>
    <w:rsid w:val="004A4096"/>
    <w:rsid w:val="004A6739"/>
    <w:rsid w:val="004A6CE1"/>
    <w:rsid w:val="004B1467"/>
    <w:rsid w:val="004B3022"/>
    <w:rsid w:val="004C294A"/>
    <w:rsid w:val="004D0026"/>
    <w:rsid w:val="004D0457"/>
    <w:rsid w:val="004D573E"/>
    <w:rsid w:val="004E769B"/>
    <w:rsid w:val="004F4111"/>
    <w:rsid w:val="004F441F"/>
    <w:rsid w:val="004F4C50"/>
    <w:rsid w:val="00501F6D"/>
    <w:rsid w:val="005074CB"/>
    <w:rsid w:val="0051530F"/>
    <w:rsid w:val="005275FE"/>
    <w:rsid w:val="00533FC4"/>
    <w:rsid w:val="00544122"/>
    <w:rsid w:val="005462C2"/>
    <w:rsid w:val="0056292E"/>
    <w:rsid w:val="00570790"/>
    <w:rsid w:val="00593107"/>
    <w:rsid w:val="005A0B22"/>
    <w:rsid w:val="005A4185"/>
    <w:rsid w:val="005A65B5"/>
    <w:rsid w:val="005A6FF0"/>
    <w:rsid w:val="005B5E0C"/>
    <w:rsid w:val="005C06B9"/>
    <w:rsid w:val="005C6D64"/>
    <w:rsid w:val="005C72A6"/>
    <w:rsid w:val="005D0EBF"/>
    <w:rsid w:val="005F477A"/>
    <w:rsid w:val="005F5123"/>
    <w:rsid w:val="005F6266"/>
    <w:rsid w:val="00600ACC"/>
    <w:rsid w:val="0061237D"/>
    <w:rsid w:val="006132EF"/>
    <w:rsid w:val="006143AB"/>
    <w:rsid w:val="00617067"/>
    <w:rsid w:val="00631062"/>
    <w:rsid w:val="00632A55"/>
    <w:rsid w:val="00637F6B"/>
    <w:rsid w:val="006405EE"/>
    <w:rsid w:val="0064353E"/>
    <w:rsid w:val="0065220C"/>
    <w:rsid w:val="006572D4"/>
    <w:rsid w:val="00664A06"/>
    <w:rsid w:val="00680A3C"/>
    <w:rsid w:val="00680F58"/>
    <w:rsid w:val="006865B8"/>
    <w:rsid w:val="00687548"/>
    <w:rsid w:val="00687E1B"/>
    <w:rsid w:val="00692964"/>
    <w:rsid w:val="00696FC4"/>
    <w:rsid w:val="00697F6C"/>
    <w:rsid w:val="006A0492"/>
    <w:rsid w:val="006A2370"/>
    <w:rsid w:val="006B6900"/>
    <w:rsid w:val="006B6919"/>
    <w:rsid w:val="006B6DE5"/>
    <w:rsid w:val="006B6ECC"/>
    <w:rsid w:val="006B78E3"/>
    <w:rsid w:val="006C36F0"/>
    <w:rsid w:val="006C4DFC"/>
    <w:rsid w:val="006D2755"/>
    <w:rsid w:val="006D2DFD"/>
    <w:rsid w:val="006D3257"/>
    <w:rsid w:val="006E79DA"/>
    <w:rsid w:val="006F0218"/>
    <w:rsid w:val="006F1742"/>
    <w:rsid w:val="006F2249"/>
    <w:rsid w:val="006F335D"/>
    <w:rsid w:val="007041B6"/>
    <w:rsid w:val="00720768"/>
    <w:rsid w:val="00720958"/>
    <w:rsid w:val="00736E50"/>
    <w:rsid w:val="00740FA0"/>
    <w:rsid w:val="00741853"/>
    <w:rsid w:val="00745F60"/>
    <w:rsid w:val="00751142"/>
    <w:rsid w:val="0075774B"/>
    <w:rsid w:val="00757968"/>
    <w:rsid w:val="0076750A"/>
    <w:rsid w:val="00772361"/>
    <w:rsid w:val="007728FA"/>
    <w:rsid w:val="00773F9C"/>
    <w:rsid w:val="00795E67"/>
    <w:rsid w:val="007B0327"/>
    <w:rsid w:val="007B14FC"/>
    <w:rsid w:val="007B58CA"/>
    <w:rsid w:val="007C206F"/>
    <w:rsid w:val="007D10D4"/>
    <w:rsid w:val="007D5DC6"/>
    <w:rsid w:val="007E3275"/>
    <w:rsid w:val="007E38DD"/>
    <w:rsid w:val="007E54AA"/>
    <w:rsid w:val="007E6480"/>
    <w:rsid w:val="007F086E"/>
    <w:rsid w:val="007F31F1"/>
    <w:rsid w:val="007F5CDC"/>
    <w:rsid w:val="00813180"/>
    <w:rsid w:val="008133B6"/>
    <w:rsid w:val="008136E8"/>
    <w:rsid w:val="008159E5"/>
    <w:rsid w:val="0082412F"/>
    <w:rsid w:val="00830091"/>
    <w:rsid w:val="00835A2F"/>
    <w:rsid w:val="00836345"/>
    <w:rsid w:val="00843144"/>
    <w:rsid w:val="00857C2D"/>
    <w:rsid w:val="0086122C"/>
    <w:rsid w:val="0086222D"/>
    <w:rsid w:val="00872635"/>
    <w:rsid w:val="008805A9"/>
    <w:rsid w:val="00884F44"/>
    <w:rsid w:val="0089256C"/>
    <w:rsid w:val="008A47F4"/>
    <w:rsid w:val="008A5D49"/>
    <w:rsid w:val="008A7EB3"/>
    <w:rsid w:val="008C127A"/>
    <w:rsid w:val="008C33F1"/>
    <w:rsid w:val="008C43FC"/>
    <w:rsid w:val="008D22FD"/>
    <w:rsid w:val="008D66F0"/>
    <w:rsid w:val="008E05FE"/>
    <w:rsid w:val="008E1614"/>
    <w:rsid w:val="008E3E7D"/>
    <w:rsid w:val="008F0EC7"/>
    <w:rsid w:val="008F6961"/>
    <w:rsid w:val="008F72BD"/>
    <w:rsid w:val="009030A2"/>
    <w:rsid w:val="00903734"/>
    <w:rsid w:val="00910080"/>
    <w:rsid w:val="00910722"/>
    <w:rsid w:val="00915B52"/>
    <w:rsid w:val="00926909"/>
    <w:rsid w:val="009305DB"/>
    <w:rsid w:val="00935E6E"/>
    <w:rsid w:val="00936E88"/>
    <w:rsid w:val="00940FFD"/>
    <w:rsid w:val="00944B21"/>
    <w:rsid w:val="009530EC"/>
    <w:rsid w:val="00955C8B"/>
    <w:rsid w:val="00960975"/>
    <w:rsid w:val="0096359A"/>
    <w:rsid w:val="0097777F"/>
    <w:rsid w:val="0098201D"/>
    <w:rsid w:val="00982262"/>
    <w:rsid w:val="00984240"/>
    <w:rsid w:val="00987DC6"/>
    <w:rsid w:val="00993334"/>
    <w:rsid w:val="009A4197"/>
    <w:rsid w:val="009A4E9C"/>
    <w:rsid w:val="009B6652"/>
    <w:rsid w:val="009C3FA8"/>
    <w:rsid w:val="009C6158"/>
    <w:rsid w:val="009C6794"/>
    <w:rsid w:val="009C6EA7"/>
    <w:rsid w:val="009C728A"/>
    <w:rsid w:val="009D11BE"/>
    <w:rsid w:val="009D4E85"/>
    <w:rsid w:val="009D54BF"/>
    <w:rsid w:val="009E554C"/>
    <w:rsid w:val="00A01DD6"/>
    <w:rsid w:val="00A02117"/>
    <w:rsid w:val="00A02A7C"/>
    <w:rsid w:val="00A034A2"/>
    <w:rsid w:val="00A03EC7"/>
    <w:rsid w:val="00A0465C"/>
    <w:rsid w:val="00A12920"/>
    <w:rsid w:val="00A23C6C"/>
    <w:rsid w:val="00A25F2E"/>
    <w:rsid w:val="00A27C76"/>
    <w:rsid w:val="00A3048D"/>
    <w:rsid w:val="00A329F8"/>
    <w:rsid w:val="00A32E67"/>
    <w:rsid w:val="00A34AAE"/>
    <w:rsid w:val="00A51A44"/>
    <w:rsid w:val="00A53C99"/>
    <w:rsid w:val="00A54EDA"/>
    <w:rsid w:val="00A55785"/>
    <w:rsid w:val="00A56F57"/>
    <w:rsid w:val="00A618DB"/>
    <w:rsid w:val="00A62453"/>
    <w:rsid w:val="00A658B1"/>
    <w:rsid w:val="00A67E8B"/>
    <w:rsid w:val="00A72419"/>
    <w:rsid w:val="00A72669"/>
    <w:rsid w:val="00A738CF"/>
    <w:rsid w:val="00A73997"/>
    <w:rsid w:val="00A90C65"/>
    <w:rsid w:val="00A9727D"/>
    <w:rsid w:val="00AA394E"/>
    <w:rsid w:val="00AA5E39"/>
    <w:rsid w:val="00AB4D1C"/>
    <w:rsid w:val="00AC2F19"/>
    <w:rsid w:val="00AC363B"/>
    <w:rsid w:val="00AC7399"/>
    <w:rsid w:val="00AE18C1"/>
    <w:rsid w:val="00AE7DC9"/>
    <w:rsid w:val="00AF20F3"/>
    <w:rsid w:val="00AF702F"/>
    <w:rsid w:val="00B021A3"/>
    <w:rsid w:val="00B055E5"/>
    <w:rsid w:val="00B06B74"/>
    <w:rsid w:val="00B0703A"/>
    <w:rsid w:val="00B123A9"/>
    <w:rsid w:val="00B154DD"/>
    <w:rsid w:val="00B246A1"/>
    <w:rsid w:val="00B32E7E"/>
    <w:rsid w:val="00B4287D"/>
    <w:rsid w:val="00B5209C"/>
    <w:rsid w:val="00B637D2"/>
    <w:rsid w:val="00B6398E"/>
    <w:rsid w:val="00B643A4"/>
    <w:rsid w:val="00B66A1B"/>
    <w:rsid w:val="00B72218"/>
    <w:rsid w:val="00B91745"/>
    <w:rsid w:val="00B9443F"/>
    <w:rsid w:val="00B9556C"/>
    <w:rsid w:val="00B95D8E"/>
    <w:rsid w:val="00BA6AC8"/>
    <w:rsid w:val="00BC10B7"/>
    <w:rsid w:val="00BC22F6"/>
    <w:rsid w:val="00BC26FF"/>
    <w:rsid w:val="00BD43D0"/>
    <w:rsid w:val="00BD55BA"/>
    <w:rsid w:val="00BE0598"/>
    <w:rsid w:val="00BE1D28"/>
    <w:rsid w:val="00C01498"/>
    <w:rsid w:val="00C04B10"/>
    <w:rsid w:val="00C12938"/>
    <w:rsid w:val="00C13AF4"/>
    <w:rsid w:val="00C153F4"/>
    <w:rsid w:val="00C16B28"/>
    <w:rsid w:val="00C20AC3"/>
    <w:rsid w:val="00C22E15"/>
    <w:rsid w:val="00C26AD4"/>
    <w:rsid w:val="00C27B35"/>
    <w:rsid w:val="00C34CF4"/>
    <w:rsid w:val="00C407AA"/>
    <w:rsid w:val="00C50065"/>
    <w:rsid w:val="00C541C7"/>
    <w:rsid w:val="00C67D93"/>
    <w:rsid w:val="00C70988"/>
    <w:rsid w:val="00C7327C"/>
    <w:rsid w:val="00C7616D"/>
    <w:rsid w:val="00C77C8C"/>
    <w:rsid w:val="00C77F22"/>
    <w:rsid w:val="00C91085"/>
    <w:rsid w:val="00C92784"/>
    <w:rsid w:val="00C95AB6"/>
    <w:rsid w:val="00C97E66"/>
    <w:rsid w:val="00CA793D"/>
    <w:rsid w:val="00CB2F87"/>
    <w:rsid w:val="00CB4E39"/>
    <w:rsid w:val="00CB5922"/>
    <w:rsid w:val="00CC29C7"/>
    <w:rsid w:val="00CC3B1B"/>
    <w:rsid w:val="00CC43F5"/>
    <w:rsid w:val="00CD0291"/>
    <w:rsid w:val="00CD5E07"/>
    <w:rsid w:val="00CD61E5"/>
    <w:rsid w:val="00CD63C6"/>
    <w:rsid w:val="00CE59EE"/>
    <w:rsid w:val="00CF2710"/>
    <w:rsid w:val="00CF7A86"/>
    <w:rsid w:val="00D02322"/>
    <w:rsid w:val="00D05DDB"/>
    <w:rsid w:val="00D062F7"/>
    <w:rsid w:val="00D1656A"/>
    <w:rsid w:val="00D218B9"/>
    <w:rsid w:val="00D23395"/>
    <w:rsid w:val="00D34063"/>
    <w:rsid w:val="00D36F28"/>
    <w:rsid w:val="00D37AD0"/>
    <w:rsid w:val="00D473A1"/>
    <w:rsid w:val="00D51BBE"/>
    <w:rsid w:val="00D5388A"/>
    <w:rsid w:val="00D55857"/>
    <w:rsid w:val="00D628E0"/>
    <w:rsid w:val="00D64B2D"/>
    <w:rsid w:val="00D67357"/>
    <w:rsid w:val="00D90139"/>
    <w:rsid w:val="00D90DB4"/>
    <w:rsid w:val="00D91AAA"/>
    <w:rsid w:val="00D94724"/>
    <w:rsid w:val="00D967F7"/>
    <w:rsid w:val="00DA179E"/>
    <w:rsid w:val="00DB4377"/>
    <w:rsid w:val="00DB5F98"/>
    <w:rsid w:val="00DB64A2"/>
    <w:rsid w:val="00DC007D"/>
    <w:rsid w:val="00DC0ECD"/>
    <w:rsid w:val="00DC7AFB"/>
    <w:rsid w:val="00DD07B8"/>
    <w:rsid w:val="00DD2861"/>
    <w:rsid w:val="00DD788D"/>
    <w:rsid w:val="00DD790F"/>
    <w:rsid w:val="00DE277E"/>
    <w:rsid w:val="00DE5D59"/>
    <w:rsid w:val="00DE6CC9"/>
    <w:rsid w:val="00DE7528"/>
    <w:rsid w:val="00E06D36"/>
    <w:rsid w:val="00E11F95"/>
    <w:rsid w:val="00E234D7"/>
    <w:rsid w:val="00E234EF"/>
    <w:rsid w:val="00E27C31"/>
    <w:rsid w:val="00E27D4B"/>
    <w:rsid w:val="00E3297E"/>
    <w:rsid w:val="00E43376"/>
    <w:rsid w:val="00E70F8E"/>
    <w:rsid w:val="00E72808"/>
    <w:rsid w:val="00E7584F"/>
    <w:rsid w:val="00E91FE4"/>
    <w:rsid w:val="00EA076D"/>
    <w:rsid w:val="00EA6815"/>
    <w:rsid w:val="00EC03E7"/>
    <w:rsid w:val="00EC056C"/>
    <w:rsid w:val="00EC2916"/>
    <w:rsid w:val="00EC2AF2"/>
    <w:rsid w:val="00EC57D2"/>
    <w:rsid w:val="00EC74EC"/>
    <w:rsid w:val="00ED117C"/>
    <w:rsid w:val="00ED24BA"/>
    <w:rsid w:val="00ED4050"/>
    <w:rsid w:val="00ED434B"/>
    <w:rsid w:val="00ED5A02"/>
    <w:rsid w:val="00EE084A"/>
    <w:rsid w:val="00EE2872"/>
    <w:rsid w:val="00EE3CF7"/>
    <w:rsid w:val="00EE3DA3"/>
    <w:rsid w:val="00EE4410"/>
    <w:rsid w:val="00EE5D9E"/>
    <w:rsid w:val="00EE7956"/>
    <w:rsid w:val="00EF49ED"/>
    <w:rsid w:val="00F03707"/>
    <w:rsid w:val="00F0695B"/>
    <w:rsid w:val="00F07CCC"/>
    <w:rsid w:val="00F140A0"/>
    <w:rsid w:val="00F2464F"/>
    <w:rsid w:val="00F25C33"/>
    <w:rsid w:val="00F273C2"/>
    <w:rsid w:val="00F47BD0"/>
    <w:rsid w:val="00F518E3"/>
    <w:rsid w:val="00F53694"/>
    <w:rsid w:val="00F74B3F"/>
    <w:rsid w:val="00F76027"/>
    <w:rsid w:val="00F80667"/>
    <w:rsid w:val="00F81351"/>
    <w:rsid w:val="00F81905"/>
    <w:rsid w:val="00F93C4C"/>
    <w:rsid w:val="00FB1B1B"/>
    <w:rsid w:val="00FC55F5"/>
    <w:rsid w:val="00FC70EB"/>
    <w:rsid w:val="00FD5722"/>
    <w:rsid w:val="00FD7E70"/>
    <w:rsid w:val="00FE0602"/>
    <w:rsid w:val="00FF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C718F"/>
  <w15:chartTrackingRefBased/>
  <w15:docId w15:val="{B3697B77-D843-4B78-BF6C-5C913C0D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5EE"/>
    <w:pPr>
      <w:ind w:left="720"/>
      <w:contextualSpacing/>
    </w:pPr>
  </w:style>
  <w:style w:type="character" w:styleId="LineNumber">
    <w:name w:val="line number"/>
    <w:basedOn w:val="DefaultParagraphFont"/>
    <w:uiPriority w:val="99"/>
    <w:semiHidden/>
    <w:unhideWhenUsed/>
    <w:rsid w:val="00C22E15"/>
  </w:style>
  <w:style w:type="character" w:styleId="Hyperlink">
    <w:name w:val="Hyperlink"/>
    <w:basedOn w:val="DefaultParagraphFont"/>
    <w:uiPriority w:val="99"/>
    <w:unhideWhenUsed/>
    <w:rsid w:val="00C22E15"/>
    <w:rPr>
      <w:color w:val="0563C1" w:themeColor="hyperlink"/>
      <w:u w:val="single"/>
    </w:rPr>
  </w:style>
  <w:style w:type="character" w:customStyle="1" w:styleId="UnresolvedMention1">
    <w:name w:val="Unresolved Mention1"/>
    <w:basedOn w:val="DefaultParagraphFont"/>
    <w:uiPriority w:val="99"/>
    <w:semiHidden/>
    <w:unhideWhenUsed/>
    <w:rsid w:val="00C22E15"/>
    <w:rPr>
      <w:color w:val="605E5C"/>
      <w:shd w:val="clear" w:color="auto" w:fill="E1DFDD"/>
    </w:rPr>
  </w:style>
  <w:style w:type="character" w:styleId="Emphasis">
    <w:name w:val="Emphasis"/>
    <w:basedOn w:val="DefaultParagraphFont"/>
    <w:uiPriority w:val="20"/>
    <w:qFormat/>
    <w:rsid w:val="000B5F84"/>
    <w:rPr>
      <w:i/>
      <w:iCs/>
    </w:rPr>
  </w:style>
  <w:style w:type="character" w:styleId="CommentReference">
    <w:name w:val="annotation reference"/>
    <w:basedOn w:val="DefaultParagraphFont"/>
    <w:uiPriority w:val="99"/>
    <w:semiHidden/>
    <w:unhideWhenUsed/>
    <w:rsid w:val="00CD0291"/>
    <w:rPr>
      <w:sz w:val="16"/>
      <w:szCs w:val="16"/>
    </w:rPr>
  </w:style>
  <w:style w:type="paragraph" w:styleId="CommentText">
    <w:name w:val="annotation text"/>
    <w:basedOn w:val="Normal"/>
    <w:link w:val="CommentTextChar"/>
    <w:uiPriority w:val="99"/>
    <w:semiHidden/>
    <w:unhideWhenUsed/>
    <w:rsid w:val="00CD0291"/>
    <w:pPr>
      <w:spacing w:line="240" w:lineRule="auto"/>
    </w:pPr>
    <w:rPr>
      <w:sz w:val="20"/>
      <w:szCs w:val="20"/>
    </w:rPr>
  </w:style>
  <w:style w:type="character" w:customStyle="1" w:styleId="CommentTextChar">
    <w:name w:val="Comment Text Char"/>
    <w:basedOn w:val="DefaultParagraphFont"/>
    <w:link w:val="CommentText"/>
    <w:uiPriority w:val="99"/>
    <w:semiHidden/>
    <w:rsid w:val="00CD0291"/>
    <w:rPr>
      <w:sz w:val="20"/>
      <w:szCs w:val="20"/>
    </w:rPr>
  </w:style>
  <w:style w:type="paragraph" w:styleId="BalloonText">
    <w:name w:val="Balloon Text"/>
    <w:basedOn w:val="Normal"/>
    <w:link w:val="BalloonTextChar"/>
    <w:uiPriority w:val="99"/>
    <w:semiHidden/>
    <w:unhideWhenUsed/>
    <w:rsid w:val="00CD0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91"/>
    <w:rPr>
      <w:rFonts w:ascii="Segoe UI" w:hAnsi="Segoe UI" w:cs="Segoe UI"/>
      <w:sz w:val="18"/>
      <w:szCs w:val="18"/>
    </w:rPr>
  </w:style>
  <w:style w:type="character" w:customStyle="1" w:styleId="UnresolvedMention2">
    <w:name w:val="Unresolved Mention2"/>
    <w:basedOn w:val="DefaultParagraphFont"/>
    <w:uiPriority w:val="99"/>
    <w:semiHidden/>
    <w:unhideWhenUsed/>
    <w:rsid w:val="0030390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80F58"/>
    <w:rPr>
      <w:b/>
      <w:bCs/>
    </w:rPr>
  </w:style>
  <w:style w:type="character" w:customStyle="1" w:styleId="CommentSubjectChar">
    <w:name w:val="Comment Subject Char"/>
    <w:basedOn w:val="CommentTextChar"/>
    <w:link w:val="CommentSubject"/>
    <w:uiPriority w:val="99"/>
    <w:semiHidden/>
    <w:rsid w:val="00680F58"/>
    <w:rPr>
      <w:b/>
      <w:bCs/>
      <w:sz w:val="20"/>
      <w:szCs w:val="20"/>
    </w:rPr>
  </w:style>
  <w:style w:type="character" w:styleId="UnresolvedMention">
    <w:name w:val="Unresolved Mention"/>
    <w:basedOn w:val="DefaultParagraphFont"/>
    <w:uiPriority w:val="99"/>
    <w:rsid w:val="00DA179E"/>
    <w:rPr>
      <w:color w:val="605E5C"/>
      <w:shd w:val="clear" w:color="auto" w:fill="E1DFDD"/>
    </w:rPr>
  </w:style>
  <w:style w:type="paragraph" w:styleId="Header">
    <w:name w:val="header"/>
    <w:basedOn w:val="Normal"/>
    <w:link w:val="HeaderChar"/>
    <w:uiPriority w:val="99"/>
    <w:unhideWhenUsed/>
    <w:rsid w:val="008A4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7F4"/>
  </w:style>
  <w:style w:type="paragraph" w:styleId="Footer">
    <w:name w:val="footer"/>
    <w:basedOn w:val="Normal"/>
    <w:link w:val="FooterChar"/>
    <w:uiPriority w:val="99"/>
    <w:unhideWhenUsed/>
    <w:rsid w:val="008A4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7F4"/>
  </w:style>
  <w:style w:type="character" w:customStyle="1" w:styleId="authors">
    <w:name w:val="authors"/>
    <w:basedOn w:val="DefaultParagraphFont"/>
    <w:rsid w:val="00740FA0"/>
  </w:style>
  <w:style w:type="character" w:customStyle="1" w:styleId="Date1">
    <w:name w:val="Date1"/>
    <w:basedOn w:val="DefaultParagraphFont"/>
    <w:rsid w:val="00740FA0"/>
  </w:style>
  <w:style w:type="character" w:customStyle="1" w:styleId="arttitle">
    <w:name w:val="art_title"/>
    <w:basedOn w:val="DefaultParagraphFont"/>
    <w:rsid w:val="00740FA0"/>
  </w:style>
  <w:style w:type="character" w:customStyle="1" w:styleId="serialtitle">
    <w:name w:val="serial_title"/>
    <w:basedOn w:val="DefaultParagraphFont"/>
    <w:rsid w:val="00740FA0"/>
  </w:style>
  <w:style w:type="character" w:customStyle="1" w:styleId="volumeissue">
    <w:name w:val="volume_issue"/>
    <w:basedOn w:val="DefaultParagraphFont"/>
    <w:rsid w:val="00740FA0"/>
  </w:style>
  <w:style w:type="character" w:customStyle="1" w:styleId="pagerange">
    <w:name w:val="page_range"/>
    <w:basedOn w:val="DefaultParagraphFont"/>
    <w:rsid w:val="00740FA0"/>
  </w:style>
  <w:style w:type="character" w:customStyle="1" w:styleId="doilink">
    <w:name w:val="doi_link"/>
    <w:basedOn w:val="DefaultParagraphFont"/>
    <w:rsid w:val="00740FA0"/>
  </w:style>
  <w:style w:type="table" w:styleId="TableGrid">
    <w:name w:val="Table Grid"/>
    <w:basedOn w:val="TableNormal"/>
    <w:uiPriority w:val="39"/>
    <w:rsid w:val="00D1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1656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36901">
      <w:bodyDiv w:val="1"/>
      <w:marLeft w:val="0"/>
      <w:marRight w:val="0"/>
      <w:marTop w:val="0"/>
      <w:marBottom w:val="0"/>
      <w:divBdr>
        <w:top w:val="none" w:sz="0" w:space="0" w:color="auto"/>
        <w:left w:val="none" w:sz="0" w:space="0" w:color="auto"/>
        <w:bottom w:val="none" w:sz="0" w:space="0" w:color="auto"/>
        <w:right w:val="none" w:sz="0" w:space="0" w:color="auto"/>
      </w:divBdr>
    </w:div>
    <w:div w:id="3705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eanto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3794</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 Bliss</cp:lastModifiedBy>
  <cp:revision>2</cp:revision>
  <dcterms:created xsi:type="dcterms:W3CDTF">2021-03-02T13:25:00Z</dcterms:created>
  <dcterms:modified xsi:type="dcterms:W3CDTF">2021-03-02T13:25:00Z</dcterms:modified>
</cp:coreProperties>
</file>