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BB9DD" w14:textId="0557A205" w:rsidR="00F665CF" w:rsidRPr="001D418A" w:rsidRDefault="001D418A" w:rsidP="001D418A">
      <w:pPr>
        <w:pStyle w:val="Default"/>
      </w:pPr>
      <w:r w:rsidRPr="001D418A">
        <w:t xml:space="preserve">This is the authors’ post-print version and is not the final published version of an article published by </w:t>
      </w:r>
      <w:r w:rsidRPr="001D418A">
        <w:t>Elsevier</w:t>
      </w:r>
      <w:r w:rsidRPr="001D418A">
        <w:t xml:space="preserve"> Publishing </w:t>
      </w:r>
      <w:r w:rsidRPr="001D418A">
        <w:t>in Human Movement Science</w:t>
      </w:r>
      <w:r w:rsidRPr="001D418A">
        <w:t xml:space="preserve"> available at </w:t>
      </w:r>
      <w:hyperlink r:id="rId8" w:history="1">
        <w:r w:rsidRPr="001D418A">
          <w:rPr>
            <w:rStyle w:val="Hyperlink"/>
          </w:rPr>
          <w:t>https://www.sciencedirect.com/science/article/pii/S0167945721000440?dgcid=author</w:t>
        </w:r>
      </w:hyperlink>
    </w:p>
    <w:p w14:paraId="32B7C77A" w14:textId="331B5A32" w:rsidR="001D418A" w:rsidRPr="001D418A" w:rsidRDefault="001D418A" w:rsidP="001D418A">
      <w:pPr>
        <w:pStyle w:val="Default"/>
      </w:pPr>
    </w:p>
    <w:p w14:paraId="4BE4D7E2" w14:textId="093CD84A" w:rsidR="001D418A" w:rsidRPr="001D418A" w:rsidRDefault="001D418A" w:rsidP="001D418A">
      <w:pPr>
        <w:rPr>
          <w:rFonts w:ascii="Times New Roman" w:eastAsia="Times New Roman" w:hAnsi="Times New Roman" w:cs="Times New Roman"/>
          <w:color w:val="2E2E2E"/>
        </w:rPr>
      </w:pPr>
      <w:r w:rsidRPr="001D418A">
        <w:rPr>
          <w:rFonts w:ascii="Times New Roman" w:eastAsia="Times New Roman" w:hAnsi="Times New Roman" w:cs="Times New Roman"/>
          <w:color w:val="2E2E2E"/>
        </w:rPr>
        <w:t>Received 13 November 2020, Revised 8 March 2021, Accepted 6 April 2021, Available online 13 April 2021</w:t>
      </w:r>
      <w:r>
        <w:rPr>
          <w:rFonts w:ascii="Times New Roman" w:eastAsia="Times New Roman" w:hAnsi="Times New Roman" w:cs="Times New Roman"/>
          <w:color w:val="2E2E2E"/>
        </w:rPr>
        <w:t>.</w:t>
      </w:r>
      <w:bookmarkStart w:id="0" w:name="_GoBack"/>
      <w:bookmarkEnd w:id="0"/>
    </w:p>
    <w:p w14:paraId="04F8E638" w14:textId="77777777" w:rsidR="001D418A" w:rsidRPr="001D418A" w:rsidRDefault="001D418A" w:rsidP="001D418A">
      <w:pPr>
        <w:rPr>
          <w:rFonts w:ascii="Times New Roman" w:eastAsia="Times New Roman" w:hAnsi="Times New Roman" w:cs="Times New Roman"/>
        </w:rPr>
      </w:pPr>
    </w:p>
    <w:p w14:paraId="7C4C046D" w14:textId="2D7C4BC9" w:rsidR="001D418A" w:rsidRPr="001D418A" w:rsidRDefault="001D418A" w:rsidP="001D418A">
      <w:pPr>
        <w:rPr>
          <w:rFonts w:ascii="Times New Roman" w:hAnsi="Times New Roman" w:cs="Times New Roman"/>
        </w:rPr>
      </w:pPr>
      <w:r w:rsidRPr="001D418A">
        <w:rPr>
          <w:rFonts w:ascii="Times New Roman" w:hAnsi="Times New Roman" w:cs="Times New Roman"/>
        </w:rPr>
        <w:t>DOI: 10.1016/j.humov.2021.102796</w:t>
      </w:r>
    </w:p>
    <w:p w14:paraId="41521F5C" w14:textId="77777777" w:rsidR="00F665CF" w:rsidRPr="009B2CDA" w:rsidRDefault="00F665CF" w:rsidP="00A33C2E">
      <w:pPr>
        <w:spacing w:line="480" w:lineRule="auto"/>
        <w:rPr>
          <w:rFonts w:ascii="Times New Roman" w:hAnsi="Times New Roman" w:cs="Times New Roman"/>
          <w:b/>
        </w:rPr>
      </w:pPr>
    </w:p>
    <w:p w14:paraId="3CE6466F" w14:textId="330AD31F" w:rsidR="00E83CB4" w:rsidRPr="009B2CDA" w:rsidRDefault="00E83CB4" w:rsidP="00A33C2E">
      <w:pPr>
        <w:spacing w:line="480" w:lineRule="auto"/>
        <w:jc w:val="center"/>
        <w:rPr>
          <w:rFonts w:ascii="Times New Roman" w:hAnsi="Times New Roman" w:cs="Times New Roman"/>
          <w:b/>
        </w:rPr>
      </w:pPr>
      <w:r w:rsidRPr="009B2CDA">
        <w:rPr>
          <w:rFonts w:ascii="Times New Roman" w:hAnsi="Times New Roman" w:cs="Times New Roman"/>
          <w:b/>
        </w:rPr>
        <w:t xml:space="preserve">Does functional performance and upper body strength predict </w:t>
      </w:r>
      <w:r w:rsidR="0021633C" w:rsidRPr="009B2CDA">
        <w:rPr>
          <w:rFonts w:ascii="Times New Roman" w:hAnsi="Times New Roman" w:cs="Times New Roman"/>
          <w:b/>
        </w:rPr>
        <w:t xml:space="preserve">upper extremity </w:t>
      </w:r>
      <w:r w:rsidRPr="009B2CDA">
        <w:rPr>
          <w:rFonts w:ascii="Times New Roman" w:hAnsi="Times New Roman" w:cs="Times New Roman"/>
          <w:b/>
        </w:rPr>
        <w:t>reaction and movement time in older women?</w:t>
      </w:r>
    </w:p>
    <w:p w14:paraId="6928EFDB" w14:textId="04AF4A86" w:rsidR="00E83CB4" w:rsidRPr="009B2CDA" w:rsidRDefault="00E83CB4" w:rsidP="00A33C2E">
      <w:pPr>
        <w:spacing w:line="480" w:lineRule="auto"/>
        <w:jc w:val="center"/>
        <w:rPr>
          <w:rFonts w:ascii="Times New Roman" w:hAnsi="Times New Roman" w:cs="Times New Roman"/>
        </w:rPr>
      </w:pPr>
    </w:p>
    <w:p w14:paraId="53CAA3DC" w14:textId="77777777" w:rsidR="00F665CF" w:rsidRPr="009B2CDA" w:rsidRDefault="00F665CF" w:rsidP="00A33C2E">
      <w:pPr>
        <w:spacing w:line="480" w:lineRule="auto"/>
        <w:jc w:val="center"/>
        <w:rPr>
          <w:rFonts w:ascii="Times New Roman" w:hAnsi="Times New Roman" w:cs="Times New Roman"/>
        </w:rPr>
      </w:pPr>
    </w:p>
    <w:p w14:paraId="32F25108" w14:textId="0F894468" w:rsidR="00E83CB4" w:rsidRPr="009B2CDA" w:rsidRDefault="00E83CB4" w:rsidP="00A33C2E">
      <w:pPr>
        <w:spacing w:line="480" w:lineRule="auto"/>
        <w:jc w:val="center"/>
        <w:rPr>
          <w:rFonts w:ascii="Times New Roman" w:hAnsi="Times New Roman" w:cs="Times New Roman"/>
        </w:rPr>
      </w:pPr>
      <w:r w:rsidRPr="009B2CDA">
        <w:rPr>
          <w:rFonts w:ascii="Times New Roman" w:hAnsi="Times New Roman" w:cs="Times New Roman"/>
        </w:rPr>
        <w:t>Hayley S. Legg</w:t>
      </w:r>
      <w:r w:rsidR="00F665CF" w:rsidRPr="009B2CDA">
        <w:rPr>
          <w:rFonts w:ascii="Times New Roman" w:hAnsi="Times New Roman" w:cs="Times New Roman"/>
        </w:rPr>
        <w:t>,</w:t>
      </w:r>
      <w:r w:rsidRPr="009B2CDA">
        <w:rPr>
          <w:rFonts w:ascii="Times New Roman" w:hAnsi="Times New Roman" w:cs="Times New Roman"/>
          <w:vertAlign w:val="superscript"/>
        </w:rPr>
        <w:t>1,4</w:t>
      </w:r>
      <w:r w:rsidRPr="009B2CDA">
        <w:rPr>
          <w:rFonts w:ascii="Times New Roman" w:hAnsi="Times New Roman" w:cs="Times New Roman"/>
        </w:rPr>
        <w:t xml:space="preserve"> Cathy M. Arnold</w:t>
      </w:r>
      <w:r w:rsidR="00F665CF" w:rsidRPr="009B2CDA">
        <w:rPr>
          <w:rFonts w:ascii="Times New Roman" w:hAnsi="Times New Roman" w:cs="Times New Roman"/>
        </w:rPr>
        <w:t>,</w:t>
      </w:r>
      <w:r w:rsidRPr="009B2CDA">
        <w:rPr>
          <w:rFonts w:ascii="Times New Roman" w:hAnsi="Times New Roman" w:cs="Times New Roman"/>
          <w:vertAlign w:val="superscript"/>
        </w:rPr>
        <w:t>1,2</w:t>
      </w:r>
      <w:r w:rsidRPr="009B2CDA">
        <w:rPr>
          <w:rFonts w:ascii="Times New Roman" w:hAnsi="Times New Roman" w:cs="Times New Roman"/>
        </w:rPr>
        <w:t xml:space="preserve"> Catherine Trask</w:t>
      </w:r>
      <w:r w:rsidR="00F665CF" w:rsidRPr="009B2CDA">
        <w:rPr>
          <w:rFonts w:ascii="Times New Roman" w:hAnsi="Times New Roman" w:cs="Times New Roman"/>
        </w:rPr>
        <w:t>,</w:t>
      </w:r>
      <w:r w:rsidRPr="009B2CDA">
        <w:rPr>
          <w:rFonts w:ascii="Times New Roman" w:hAnsi="Times New Roman" w:cs="Times New Roman"/>
          <w:vertAlign w:val="superscript"/>
        </w:rPr>
        <w:t>1,3,5</w:t>
      </w:r>
      <w:r w:rsidR="00F665CF" w:rsidRPr="009B2CDA">
        <w:rPr>
          <w:rFonts w:ascii="Times New Roman" w:hAnsi="Times New Roman" w:cs="Times New Roman"/>
        </w:rPr>
        <w:t xml:space="preserve"> and </w:t>
      </w:r>
      <w:r w:rsidRPr="009B2CDA">
        <w:rPr>
          <w:rFonts w:ascii="Times New Roman" w:hAnsi="Times New Roman" w:cs="Times New Roman"/>
        </w:rPr>
        <w:t>Joel L. Lanovaz</w:t>
      </w:r>
      <w:r w:rsidRPr="009B2CDA">
        <w:rPr>
          <w:rFonts w:ascii="Times New Roman" w:hAnsi="Times New Roman" w:cs="Times New Roman"/>
          <w:vertAlign w:val="superscript"/>
        </w:rPr>
        <w:t>1</w:t>
      </w:r>
    </w:p>
    <w:p w14:paraId="3235AF02" w14:textId="77777777" w:rsidR="00E83CB4" w:rsidRPr="009B2CDA" w:rsidRDefault="00E83CB4" w:rsidP="00A33C2E">
      <w:pPr>
        <w:spacing w:line="480" w:lineRule="auto"/>
        <w:rPr>
          <w:rFonts w:ascii="Times New Roman" w:hAnsi="Times New Roman" w:cs="Times New Roman"/>
        </w:rPr>
      </w:pPr>
    </w:p>
    <w:p w14:paraId="5087B179" w14:textId="7F0DB069" w:rsidR="00E83CB4" w:rsidRPr="009B2CDA" w:rsidRDefault="00E83CB4" w:rsidP="00A33C2E">
      <w:pPr>
        <w:spacing w:line="480" w:lineRule="auto"/>
        <w:jc w:val="center"/>
        <w:rPr>
          <w:rFonts w:ascii="Times New Roman" w:hAnsi="Times New Roman" w:cs="Times New Roman"/>
        </w:rPr>
      </w:pPr>
      <w:r w:rsidRPr="009B2CDA">
        <w:rPr>
          <w:rFonts w:ascii="Times New Roman" w:hAnsi="Times New Roman" w:cs="Times New Roman"/>
        </w:rPr>
        <w:t xml:space="preserve">1 </w:t>
      </w:r>
      <w:r w:rsidR="00F665CF" w:rsidRPr="009B2CDA">
        <w:rPr>
          <w:rFonts w:ascii="Times New Roman" w:hAnsi="Times New Roman" w:cs="Times New Roman"/>
        </w:rPr>
        <w:t xml:space="preserve">Biomechanics of Balance and Movement Laboratory, </w:t>
      </w:r>
      <w:r w:rsidRPr="009B2CDA">
        <w:rPr>
          <w:rFonts w:ascii="Times New Roman" w:hAnsi="Times New Roman" w:cs="Times New Roman"/>
        </w:rPr>
        <w:t>College of Kinesiology, University of Saskatchewan, Canada.</w:t>
      </w:r>
    </w:p>
    <w:p w14:paraId="00B04F52" w14:textId="77777777" w:rsidR="00E83CB4" w:rsidRPr="009B2CDA" w:rsidRDefault="00E83CB4" w:rsidP="00A33C2E">
      <w:pPr>
        <w:spacing w:line="480" w:lineRule="auto"/>
        <w:jc w:val="center"/>
        <w:rPr>
          <w:rFonts w:ascii="Times New Roman" w:hAnsi="Times New Roman" w:cs="Times New Roman"/>
        </w:rPr>
      </w:pPr>
      <w:r w:rsidRPr="009B2CDA">
        <w:rPr>
          <w:rFonts w:ascii="Times New Roman" w:hAnsi="Times New Roman" w:cs="Times New Roman"/>
        </w:rPr>
        <w:t>2 School of Rehabilitation Science, University of Saskatchewan, Canada.</w:t>
      </w:r>
    </w:p>
    <w:p w14:paraId="06DFA089" w14:textId="77777777" w:rsidR="00E83CB4" w:rsidRPr="009B2CDA" w:rsidRDefault="00E83CB4" w:rsidP="00A33C2E">
      <w:pPr>
        <w:spacing w:line="480" w:lineRule="auto"/>
        <w:jc w:val="center"/>
        <w:rPr>
          <w:rFonts w:ascii="Times New Roman" w:hAnsi="Times New Roman" w:cs="Times New Roman"/>
        </w:rPr>
      </w:pPr>
      <w:r w:rsidRPr="009B2CDA">
        <w:rPr>
          <w:rFonts w:ascii="Times New Roman" w:hAnsi="Times New Roman" w:cs="Times New Roman"/>
        </w:rPr>
        <w:t>3 Canadian Centre for Health and Safety in Agriculture, University of Saskatchewan, Canada.</w:t>
      </w:r>
    </w:p>
    <w:p w14:paraId="4C1E4D89" w14:textId="77777777" w:rsidR="00E83CB4" w:rsidRPr="009B2CDA" w:rsidRDefault="00E83CB4" w:rsidP="00A33C2E">
      <w:pPr>
        <w:spacing w:line="480" w:lineRule="auto"/>
        <w:jc w:val="center"/>
        <w:rPr>
          <w:rFonts w:ascii="Times New Roman" w:hAnsi="Times New Roman" w:cs="Times New Roman"/>
        </w:rPr>
      </w:pPr>
      <w:r w:rsidRPr="009B2CDA">
        <w:rPr>
          <w:rFonts w:ascii="Times New Roman" w:hAnsi="Times New Roman" w:cs="Times New Roman"/>
        </w:rPr>
        <w:t>4 St Mary’s University, London, UK.</w:t>
      </w:r>
    </w:p>
    <w:p w14:paraId="64A6F73F" w14:textId="30F675A3" w:rsidR="00F665CF" w:rsidRPr="009B2CDA" w:rsidRDefault="00E83CB4" w:rsidP="001D418A">
      <w:pPr>
        <w:spacing w:line="480" w:lineRule="auto"/>
        <w:jc w:val="center"/>
        <w:rPr>
          <w:rFonts w:ascii="Times New Roman" w:hAnsi="Times New Roman" w:cs="Times New Roman"/>
        </w:rPr>
      </w:pPr>
      <w:r w:rsidRPr="009B2CDA">
        <w:rPr>
          <w:rFonts w:ascii="Times New Roman" w:hAnsi="Times New Roman" w:cs="Times New Roman"/>
        </w:rPr>
        <w:t>5 Division of Ergonomics, School of Engineering Sciences in Chemistry, Biotechnology and Health, KTH Royal Institute of Technology, Stockholm, Sweden.</w:t>
      </w:r>
    </w:p>
    <w:p w14:paraId="7F6C3E88" w14:textId="56258584" w:rsidR="00E83CB4" w:rsidRPr="009B2CDA" w:rsidRDefault="00F665CF" w:rsidP="00A33C2E">
      <w:pPr>
        <w:spacing w:line="480" w:lineRule="auto"/>
        <w:jc w:val="center"/>
        <w:rPr>
          <w:rFonts w:ascii="Times New Roman" w:hAnsi="Times New Roman" w:cs="Times New Roman"/>
          <w:b/>
        </w:rPr>
      </w:pPr>
      <w:r w:rsidRPr="009B2CDA">
        <w:rPr>
          <w:rFonts w:ascii="Times New Roman" w:hAnsi="Times New Roman" w:cs="Times New Roman"/>
          <w:b/>
        </w:rPr>
        <w:t>Author Note</w:t>
      </w:r>
    </w:p>
    <w:p w14:paraId="3FBD98B8" w14:textId="2A914DD5" w:rsidR="00E83CB4" w:rsidRPr="009B2CDA" w:rsidRDefault="00E83CB4" w:rsidP="00A33C2E">
      <w:pPr>
        <w:spacing w:line="480" w:lineRule="auto"/>
        <w:jc w:val="center"/>
        <w:rPr>
          <w:rFonts w:ascii="Times New Roman" w:hAnsi="Times New Roman" w:cs="Times New Roman"/>
          <w:b/>
        </w:rPr>
      </w:pPr>
      <w:r w:rsidRPr="009B2CDA">
        <w:rPr>
          <w:rFonts w:ascii="Times New Roman" w:hAnsi="Times New Roman" w:cs="Times New Roman"/>
          <w:b/>
        </w:rPr>
        <w:t>Corresponding Author:</w:t>
      </w:r>
      <w:r w:rsidR="00F665CF" w:rsidRPr="009B2CDA">
        <w:rPr>
          <w:rFonts w:ascii="Times New Roman" w:hAnsi="Times New Roman" w:cs="Times New Roman"/>
          <w:b/>
        </w:rPr>
        <w:t xml:space="preserve"> </w:t>
      </w:r>
      <w:r w:rsidRPr="009B2CDA">
        <w:rPr>
          <w:rFonts w:ascii="Times New Roman" w:hAnsi="Times New Roman" w:cs="Times New Roman"/>
        </w:rPr>
        <w:t xml:space="preserve">Hayley S. Legg, College of Kinesiology, University of Saskatchewan, 87 Campus Drive, Saskatoon, SK, S7N 0W6, Canada. </w:t>
      </w:r>
      <w:hyperlink r:id="rId9" w:history="1">
        <w:r w:rsidRPr="009B2CDA">
          <w:rPr>
            <w:rStyle w:val="Hyperlink"/>
            <w:rFonts w:ascii="Times New Roman" w:hAnsi="Times New Roman" w:cs="Times New Roman"/>
          </w:rPr>
          <w:t>Hayley_legg@hotmail.com</w:t>
        </w:r>
      </w:hyperlink>
    </w:p>
    <w:p w14:paraId="679890E6" w14:textId="77777777" w:rsidR="00E83CB4" w:rsidRPr="009B2CDA" w:rsidRDefault="00E83CB4" w:rsidP="00A33C2E">
      <w:pPr>
        <w:spacing w:line="480" w:lineRule="auto"/>
        <w:jc w:val="center"/>
        <w:rPr>
          <w:rFonts w:ascii="Times New Roman" w:hAnsi="Times New Roman" w:cs="Times New Roman"/>
          <w:b/>
        </w:rPr>
      </w:pPr>
      <w:r w:rsidRPr="009B2CDA">
        <w:rPr>
          <w:rFonts w:ascii="Times New Roman" w:hAnsi="Times New Roman" w:cs="Times New Roman"/>
          <w:b/>
        </w:rPr>
        <w:t xml:space="preserve">Conflicts of interest: </w:t>
      </w:r>
      <w:r w:rsidRPr="009B2CDA">
        <w:rPr>
          <w:rFonts w:ascii="Times New Roman" w:hAnsi="Times New Roman" w:cs="Times New Roman"/>
        </w:rPr>
        <w:t>Authors declare no conflicts of interest.</w:t>
      </w:r>
    </w:p>
    <w:p w14:paraId="1DD3D6AC" w14:textId="737E1451" w:rsidR="00E03CBA" w:rsidRPr="009B2CDA" w:rsidRDefault="00E83CB4" w:rsidP="00A33C2E">
      <w:pPr>
        <w:spacing w:line="480" w:lineRule="auto"/>
        <w:rPr>
          <w:rFonts w:ascii="Times New Roman" w:hAnsi="Times New Roman" w:cs="Times New Roman"/>
          <w:b/>
        </w:rPr>
      </w:pPr>
      <w:r w:rsidRPr="009B2CDA">
        <w:rPr>
          <w:rFonts w:ascii="Times New Roman" w:hAnsi="Times New Roman" w:cs="Times New Roman"/>
          <w:b/>
        </w:rPr>
        <w:br w:type="page"/>
      </w:r>
    </w:p>
    <w:p w14:paraId="2BAF5EFF" w14:textId="77777777" w:rsidR="00ED3DAD" w:rsidRPr="009B2CDA" w:rsidRDefault="00ED3DAD" w:rsidP="00A33C2E">
      <w:pPr>
        <w:spacing w:line="480" w:lineRule="auto"/>
        <w:rPr>
          <w:rFonts w:ascii="Times New Roman" w:hAnsi="Times New Roman" w:cs="Times New Roman"/>
        </w:rPr>
      </w:pPr>
    </w:p>
    <w:p w14:paraId="347977F5" w14:textId="20243AEE" w:rsidR="00431DED" w:rsidRPr="009B2CDA" w:rsidRDefault="00ED3DAD" w:rsidP="00A33C2E">
      <w:pPr>
        <w:spacing w:line="480" w:lineRule="auto"/>
        <w:jc w:val="center"/>
        <w:rPr>
          <w:rFonts w:ascii="Times New Roman" w:hAnsi="Times New Roman" w:cs="Times New Roman"/>
          <w:b/>
        </w:rPr>
      </w:pPr>
      <w:r w:rsidRPr="009B2CDA">
        <w:rPr>
          <w:rFonts w:ascii="Times New Roman" w:hAnsi="Times New Roman" w:cs="Times New Roman"/>
          <w:b/>
        </w:rPr>
        <w:t>Abstract</w:t>
      </w:r>
    </w:p>
    <w:p w14:paraId="71B0D269" w14:textId="6D5B2B86" w:rsidR="000931AC" w:rsidRPr="00F37E17" w:rsidRDefault="0050134F" w:rsidP="00A33C2E">
      <w:pPr>
        <w:spacing w:line="480" w:lineRule="auto"/>
        <w:rPr>
          <w:rFonts w:ascii="Times New Roman" w:hAnsi="Times New Roman" w:cs="Times New Roman"/>
        </w:rPr>
      </w:pPr>
      <w:r w:rsidRPr="009B2CDA">
        <w:rPr>
          <w:rFonts w:ascii="Times New Roman" w:hAnsi="Times New Roman" w:cs="Times New Roman"/>
          <w:i/>
        </w:rPr>
        <w:t>Background</w:t>
      </w:r>
      <w:r w:rsidR="006E1AB3" w:rsidRPr="009B2CDA">
        <w:rPr>
          <w:rFonts w:ascii="Times New Roman" w:hAnsi="Times New Roman" w:cs="Times New Roman"/>
          <w:i/>
        </w:rPr>
        <w:t>:</w:t>
      </w:r>
      <w:r w:rsidR="006E1AB3" w:rsidRPr="009B2CDA">
        <w:rPr>
          <w:rFonts w:ascii="Times New Roman" w:hAnsi="Times New Roman" w:cs="Times New Roman"/>
        </w:rPr>
        <w:t xml:space="preserve"> </w:t>
      </w:r>
      <w:r w:rsidR="00B03318" w:rsidRPr="009B2CDA">
        <w:rPr>
          <w:rFonts w:ascii="Times New Roman" w:hAnsi="Times New Roman" w:cs="Times New Roman"/>
        </w:rPr>
        <w:t xml:space="preserve">Reaction time to initiate upper limb movement and movement time to place hands on the landing surface </w:t>
      </w:r>
      <w:r w:rsidR="006E1AB3" w:rsidRPr="009B2CDA">
        <w:rPr>
          <w:rFonts w:ascii="Times New Roman" w:hAnsi="Times New Roman" w:cs="Times New Roman"/>
        </w:rPr>
        <w:t>may be</w:t>
      </w:r>
      <w:r w:rsidR="00C44C62" w:rsidRPr="009B2CDA">
        <w:rPr>
          <w:rFonts w:ascii="Times New Roman" w:hAnsi="Times New Roman" w:cs="Times New Roman"/>
        </w:rPr>
        <w:t xml:space="preserve"> </w:t>
      </w:r>
      <w:r w:rsidR="006E1AB3" w:rsidRPr="009B2CDA">
        <w:rPr>
          <w:rFonts w:ascii="Times New Roman" w:hAnsi="Times New Roman" w:cs="Times New Roman"/>
        </w:rPr>
        <w:t xml:space="preserve">important </w:t>
      </w:r>
      <w:r w:rsidR="002A19CF" w:rsidRPr="009B2CDA">
        <w:rPr>
          <w:rFonts w:ascii="Times New Roman" w:hAnsi="Times New Roman" w:cs="Times New Roman"/>
        </w:rPr>
        <w:t>factor</w:t>
      </w:r>
      <w:r w:rsidR="00B03318" w:rsidRPr="009B2CDA">
        <w:rPr>
          <w:rFonts w:ascii="Times New Roman" w:hAnsi="Times New Roman" w:cs="Times New Roman"/>
        </w:rPr>
        <w:t>s</w:t>
      </w:r>
      <w:r w:rsidR="002A19CF" w:rsidRPr="009B2CDA">
        <w:rPr>
          <w:rFonts w:ascii="Times New Roman" w:hAnsi="Times New Roman" w:cs="Times New Roman"/>
        </w:rPr>
        <w:t xml:space="preserve"> in </w:t>
      </w:r>
      <w:r w:rsidR="00C44C62" w:rsidRPr="009B2CDA">
        <w:rPr>
          <w:rFonts w:ascii="Times New Roman" w:hAnsi="Times New Roman" w:cs="Times New Roman"/>
        </w:rPr>
        <w:t>forward fall landing and impact</w:t>
      </w:r>
      <w:r w:rsidR="00516533" w:rsidRPr="009B2CDA">
        <w:rPr>
          <w:rFonts w:ascii="Times New Roman" w:hAnsi="Times New Roman" w:cs="Times New Roman"/>
        </w:rPr>
        <w:t>,</w:t>
      </w:r>
      <w:r w:rsidR="00D64F1E" w:rsidRPr="009B2CDA">
        <w:rPr>
          <w:rFonts w:ascii="Times New Roman" w:hAnsi="Times New Roman" w:cs="Times New Roman"/>
        </w:rPr>
        <w:t xml:space="preserve"> </w:t>
      </w:r>
      <w:r w:rsidR="00C44C62" w:rsidRPr="009B2CDA">
        <w:rPr>
          <w:rFonts w:ascii="Times New Roman" w:hAnsi="Times New Roman" w:cs="Times New Roman"/>
        </w:rPr>
        <w:t>contributing to injury reduction.</w:t>
      </w:r>
      <w:r w:rsidR="003A2DE2" w:rsidRPr="009B2CDA">
        <w:rPr>
          <w:rFonts w:ascii="Times New Roman" w:hAnsi="Times New Roman" w:cs="Times New Roman"/>
        </w:rPr>
        <w:t xml:space="preserve"> </w:t>
      </w:r>
      <w:r w:rsidR="00516533" w:rsidRPr="009B2CDA">
        <w:rPr>
          <w:rFonts w:ascii="Times New Roman" w:hAnsi="Times New Roman" w:cs="Times New Roman"/>
        </w:rPr>
        <w:t>The aim was to investigate</w:t>
      </w:r>
      <w:r w:rsidR="006E1AB3" w:rsidRPr="009B2CDA">
        <w:rPr>
          <w:rFonts w:ascii="Times New Roman" w:hAnsi="Times New Roman" w:cs="Times New Roman"/>
        </w:rPr>
        <w:t xml:space="preserve"> the </w:t>
      </w:r>
      <w:r w:rsidR="006E1AB3" w:rsidRPr="00F37E17">
        <w:rPr>
          <w:rFonts w:ascii="Times New Roman" w:hAnsi="Times New Roman" w:cs="Times New Roman"/>
        </w:rPr>
        <w:t>relationship of physical function</w:t>
      </w:r>
      <w:r w:rsidR="00431DED" w:rsidRPr="00F37E17">
        <w:rPr>
          <w:rFonts w:ascii="Times New Roman" w:hAnsi="Times New Roman" w:cs="Times New Roman"/>
        </w:rPr>
        <w:t xml:space="preserve"> and</w:t>
      </w:r>
      <w:r w:rsidR="006E1AB3" w:rsidRPr="00F37E17">
        <w:rPr>
          <w:rFonts w:ascii="Times New Roman" w:hAnsi="Times New Roman" w:cs="Times New Roman"/>
        </w:rPr>
        <w:t xml:space="preserve"> </w:t>
      </w:r>
      <w:r w:rsidR="00C44C62" w:rsidRPr="00F37E17">
        <w:rPr>
          <w:rFonts w:ascii="Times New Roman" w:hAnsi="Times New Roman" w:cs="Times New Roman"/>
        </w:rPr>
        <w:t xml:space="preserve">upper body </w:t>
      </w:r>
      <w:r w:rsidR="006E1AB3" w:rsidRPr="00F37E17">
        <w:rPr>
          <w:rFonts w:ascii="Times New Roman" w:hAnsi="Times New Roman" w:cs="Times New Roman"/>
        </w:rPr>
        <w:t xml:space="preserve">strength to </w:t>
      </w:r>
      <w:r w:rsidR="00C44C62" w:rsidRPr="00F37E17">
        <w:rPr>
          <w:rFonts w:ascii="Times New Roman" w:hAnsi="Times New Roman" w:cs="Times New Roman"/>
        </w:rPr>
        <w:t xml:space="preserve">upper limb </w:t>
      </w:r>
      <w:r w:rsidR="00516533" w:rsidRPr="00F37E17">
        <w:rPr>
          <w:rFonts w:ascii="Times New Roman" w:hAnsi="Times New Roman" w:cs="Times New Roman"/>
        </w:rPr>
        <w:t>reaction</w:t>
      </w:r>
      <w:r w:rsidR="006E1AB3" w:rsidRPr="00F37E17">
        <w:rPr>
          <w:rFonts w:ascii="Times New Roman" w:hAnsi="Times New Roman" w:cs="Times New Roman"/>
        </w:rPr>
        <w:t xml:space="preserve"> and </w:t>
      </w:r>
      <w:r w:rsidR="00516533" w:rsidRPr="00F37E17">
        <w:rPr>
          <w:rFonts w:ascii="Times New Roman" w:hAnsi="Times New Roman" w:cs="Times New Roman"/>
        </w:rPr>
        <w:t>movement time</w:t>
      </w:r>
      <w:r w:rsidR="006E1AB3" w:rsidRPr="00F37E17">
        <w:rPr>
          <w:rFonts w:ascii="Times New Roman" w:hAnsi="Times New Roman" w:cs="Times New Roman"/>
        </w:rPr>
        <w:t xml:space="preserve"> in </w:t>
      </w:r>
      <w:r w:rsidR="009D10DB" w:rsidRPr="00F37E17">
        <w:rPr>
          <w:rFonts w:ascii="Times New Roman" w:hAnsi="Times New Roman" w:cs="Times New Roman"/>
        </w:rPr>
        <w:t xml:space="preserve">older </w:t>
      </w:r>
      <w:r w:rsidR="001F4078" w:rsidRPr="00F37E17">
        <w:rPr>
          <w:rFonts w:ascii="Times New Roman" w:hAnsi="Times New Roman" w:cs="Times New Roman"/>
        </w:rPr>
        <w:t>female participants</w:t>
      </w:r>
      <w:r w:rsidR="00C44C62" w:rsidRPr="00F37E17">
        <w:rPr>
          <w:rFonts w:ascii="Times New Roman" w:hAnsi="Times New Roman" w:cs="Times New Roman"/>
        </w:rPr>
        <w:t xml:space="preserve">. </w:t>
      </w:r>
    </w:p>
    <w:p w14:paraId="7211D1F2" w14:textId="5490602A" w:rsidR="006E1AB3" w:rsidRPr="00F37E17" w:rsidRDefault="006E1AB3" w:rsidP="00065333">
      <w:pPr>
        <w:spacing w:line="480" w:lineRule="auto"/>
        <w:rPr>
          <w:rFonts w:ascii="Times New Roman" w:hAnsi="Times New Roman" w:cs="Times New Roman"/>
        </w:rPr>
      </w:pPr>
      <w:r w:rsidRPr="00F37E17">
        <w:rPr>
          <w:rFonts w:ascii="Times New Roman" w:hAnsi="Times New Roman" w:cs="Times New Roman"/>
          <w:i/>
        </w:rPr>
        <w:t>Methods:</w:t>
      </w:r>
      <w:r w:rsidR="000931AC" w:rsidRPr="00F37E17">
        <w:rPr>
          <w:rFonts w:ascii="Times New Roman" w:hAnsi="Times New Roman" w:cs="Times New Roman"/>
          <w:i/>
        </w:rPr>
        <w:t xml:space="preserve"> </w:t>
      </w:r>
      <w:r w:rsidR="000931AC" w:rsidRPr="00F37E17">
        <w:rPr>
          <w:rFonts w:ascii="Times New Roman" w:hAnsi="Times New Roman" w:cs="Times New Roman"/>
        </w:rPr>
        <w:t xml:space="preserve">75 </w:t>
      </w:r>
      <w:r w:rsidR="001F4078" w:rsidRPr="00F37E17">
        <w:rPr>
          <w:rFonts w:ascii="Times New Roman" w:hAnsi="Times New Roman" w:cs="Times New Roman"/>
        </w:rPr>
        <w:t>female participants</w:t>
      </w:r>
      <w:r w:rsidR="000931AC" w:rsidRPr="00F37E17">
        <w:rPr>
          <w:rFonts w:ascii="Times New Roman" w:hAnsi="Times New Roman" w:cs="Times New Roman"/>
        </w:rPr>
        <w:t xml:space="preserve"> (72 ± 8 yrs) performed 5 arm response trials.</w:t>
      </w:r>
      <w:r w:rsidRPr="00F37E17">
        <w:rPr>
          <w:rFonts w:ascii="Times New Roman" w:hAnsi="Times New Roman" w:cs="Times New Roman"/>
        </w:rPr>
        <w:t xml:space="preserve"> R</w:t>
      </w:r>
      <w:r w:rsidR="00516533" w:rsidRPr="00F37E17">
        <w:rPr>
          <w:rFonts w:ascii="Times New Roman" w:hAnsi="Times New Roman" w:cs="Times New Roman"/>
        </w:rPr>
        <w:t>eaction time</w:t>
      </w:r>
      <w:r w:rsidR="00072EFA" w:rsidRPr="00F37E17">
        <w:rPr>
          <w:rFonts w:ascii="Times New Roman" w:hAnsi="Times New Roman" w:cs="Times New Roman"/>
        </w:rPr>
        <w:t xml:space="preserve"> </w:t>
      </w:r>
      <w:r w:rsidR="00DE40C5" w:rsidRPr="00F37E17">
        <w:rPr>
          <w:rFonts w:ascii="Times New Roman" w:hAnsi="Times New Roman" w:cs="Times New Roman"/>
        </w:rPr>
        <w:t>(</w:t>
      </w:r>
      <w:r w:rsidRPr="00F37E17">
        <w:rPr>
          <w:rFonts w:ascii="Times New Roman" w:hAnsi="Times New Roman" w:cs="Times New Roman"/>
        </w:rPr>
        <w:t>s</w:t>
      </w:r>
      <w:r w:rsidR="004D0B3A" w:rsidRPr="00F37E17">
        <w:rPr>
          <w:rFonts w:ascii="Times New Roman" w:hAnsi="Times New Roman" w:cs="Times New Roman"/>
        </w:rPr>
        <w:t>ignal</w:t>
      </w:r>
      <w:r w:rsidRPr="00F37E17">
        <w:rPr>
          <w:rFonts w:ascii="Times New Roman" w:hAnsi="Times New Roman" w:cs="Times New Roman"/>
        </w:rPr>
        <w:t xml:space="preserve"> to initiation of movement</w:t>
      </w:r>
      <w:r w:rsidR="00DE40C5" w:rsidRPr="00F37E17">
        <w:rPr>
          <w:rFonts w:ascii="Times New Roman" w:hAnsi="Times New Roman" w:cs="Times New Roman"/>
        </w:rPr>
        <w:t>)</w:t>
      </w:r>
      <w:r w:rsidRPr="00F37E17">
        <w:rPr>
          <w:rFonts w:ascii="Times New Roman" w:hAnsi="Times New Roman" w:cs="Times New Roman"/>
        </w:rPr>
        <w:t xml:space="preserve">, and </w:t>
      </w:r>
      <w:r w:rsidR="00516533" w:rsidRPr="00F37E17">
        <w:rPr>
          <w:rFonts w:ascii="Times New Roman" w:hAnsi="Times New Roman" w:cs="Times New Roman"/>
        </w:rPr>
        <w:t>movement time</w:t>
      </w:r>
      <w:r w:rsidRPr="00F37E17">
        <w:rPr>
          <w:rFonts w:ascii="Times New Roman" w:hAnsi="Times New Roman" w:cs="Times New Roman"/>
        </w:rPr>
        <w:t xml:space="preserve"> </w:t>
      </w:r>
      <w:r w:rsidR="00DE40C5" w:rsidRPr="00F37E17">
        <w:rPr>
          <w:rFonts w:ascii="Times New Roman" w:hAnsi="Times New Roman" w:cs="Times New Roman"/>
        </w:rPr>
        <w:t>(</w:t>
      </w:r>
      <w:r w:rsidRPr="00F37E17">
        <w:rPr>
          <w:rFonts w:ascii="Times New Roman" w:hAnsi="Times New Roman" w:cs="Times New Roman"/>
        </w:rPr>
        <w:t>initial movement to</w:t>
      </w:r>
      <w:r w:rsidR="009D10DB" w:rsidRPr="00F37E17">
        <w:rPr>
          <w:rFonts w:ascii="Times New Roman" w:hAnsi="Times New Roman" w:cs="Times New Roman"/>
        </w:rPr>
        <w:t xml:space="preserve"> </w:t>
      </w:r>
      <w:r w:rsidRPr="00F37E17">
        <w:rPr>
          <w:rFonts w:ascii="Times New Roman" w:hAnsi="Times New Roman" w:cs="Times New Roman"/>
        </w:rPr>
        <w:t>contact</w:t>
      </w:r>
      <w:r w:rsidR="00DE40C5" w:rsidRPr="00F37E17">
        <w:rPr>
          <w:rFonts w:ascii="Times New Roman" w:hAnsi="Times New Roman" w:cs="Times New Roman"/>
        </w:rPr>
        <w:t>)</w:t>
      </w:r>
      <w:r w:rsidR="005A1B6B" w:rsidRPr="00F37E17">
        <w:rPr>
          <w:rFonts w:ascii="Times New Roman" w:hAnsi="Times New Roman" w:cs="Times New Roman"/>
        </w:rPr>
        <w:t>,</w:t>
      </w:r>
      <w:r w:rsidR="00431DED" w:rsidRPr="00F37E17">
        <w:rPr>
          <w:rFonts w:ascii="Times New Roman" w:hAnsi="Times New Roman" w:cs="Times New Roman"/>
        </w:rPr>
        <w:t xml:space="preserve"> were</w:t>
      </w:r>
      <w:r w:rsidR="00072EFA" w:rsidRPr="00F37E17">
        <w:rPr>
          <w:rFonts w:ascii="Times New Roman" w:hAnsi="Times New Roman" w:cs="Times New Roman"/>
        </w:rPr>
        <w:t xml:space="preserve"> collected</w:t>
      </w:r>
      <w:r w:rsidR="00C44C62" w:rsidRPr="00F37E17">
        <w:rPr>
          <w:rFonts w:ascii="Times New Roman" w:hAnsi="Times New Roman" w:cs="Times New Roman"/>
        </w:rPr>
        <w:t xml:space="preserve"> using 3D motion capture</w:t>
      </w:r>
      <w:r w:rsidRPr="00F37E17">
        <w:rPr>
          <w:rFonts w:ascii="Times New Roman" w:hAnsi="Times New Roman" w:cs="Times New Roman"/>
        </w:rPr>
        <w:t xml:space="preserve">. </w:t>
      </w:r>
      <w:r w:rsidR="009C7A44" w:rsidRPr="00F37E17">
        <w:rPr>
          <w:rFonts w:ascii="Times New Roman" w:hAnsi="Times New Roman" w:cs="Times New Roman"/>
        </w:rPr>
        <w:t>Additional</w:t>
      </w:r>
      <w:r w:rsidRPr="00F37E17">
        <w:rPr>
          <w:rFonts w:ascii="Times New Roman" w:hAnsi="Times New Roman" w:cs="Times New Roman"/>
        </w:rPr>
        <w:t xml:space="preserve"> variables were</w:t>
      </w:r>
      <w:r w:rsidR="005A1B6B" w:rsidRPr="00F37E17">
        <w:rPr>
          <w:rFonts w:ascii="Times New Roman" w:hAnsi="Times New Roman" w:cs="Times New Roman"/>
        </w:rPr>
        <w:t>:</w:t>
      </w:r>
      <w:r w:rsidRPr="00F37E17">
        <w:rPr>
          <w:rFonts w:ascii="Times New Roman" w:hAnsi="Times New Roman" w:cs="Times New Roman"/>
        </w:rPr>
        <w:t xml:space="preserve"> handgrip</w:t>
      </w:r>
      <w:r w:rsidR="005A1B6B" w:rsidRPr="00F37E17">
        <w:rPr>
          <w:rFonts w:ascii="Times New Roman" w:hAnsi="Times New Roman" w:cs="Times New Roman"/>
        </w:rPr>
        <w:t>;</w:t>
      </w:r>
      <w:r w:rsidRPr="00F37E17">
        <w:rPr>
          <w:rFonts w:ascii="Times New Roman" w:hAnsi="Times New Roman" w:cs="Times New Roman"/>
        </w:rPr>
        <w:t xml:space="preserve"> sit-to-stand</w:t>
      </w:r>
      <w:r w:rsidR="005A1B6B" w:rsidRPr="00F37E17">
        <w:rPr>
          <w:rFonts w:ascii="Times New Roman" w:hAnsi="Times New Roman" w:cs="Times New Roman"/>
        </w:rPr>
        <w:t>;</w:t>
      </w:r>
      <w:r w:rsidRPr="00F37E17">
        <w:rPr>
          <w:rFonts w:ascii="Times New Roman" w:hAnsi="Times New Roman" w:cs="Times New Roman"/>
        </w:rPr>
        <w:t xml:space="preserve"> </w:t>
      </w:r>
      <w:r w:rsidR="00C44C62" w:rsidRPr="00F37E17">
        <w:rPr>
          <w:rFonts w:ascii="Times New Roman" w:hAnsi="Times New Roman" w:cs="Times New Roman"/>
        </w:rPr>
        <w:t xml:space="preserve">shoulder </w:t>
      </w:r>
      <w:r w:rsidR="006C308F" w:rsidRPr="00F37E17">
        <w:rPr>
          <w:rFonts w:ascii="Times New Roman" w:hAnsi="Times New Roman" w:cs="Times New Roman"/>
        </w:rPr>
        <w:t xml:space="preserve">flexion </w:t>
      </w:r>
      <w:r w:rsidR="00C44C62" w:rsidRPr="00F37E17">
        <w:rPr>
          <w:rFonts w:ascii="Times New Roman" w:hAnsi="Times New Roman" w:cs="Times New Roman"/>
        </w:rPr>
        <w:t xml:space="preserve">and elbow </w:t>
      </w:r>
      <w:r w:rsidR="006C308F" w:rsidRPr="00F37E17">
        <w:rPr>
          <w:rFonts w:ascii="Times New Roman" w:hAnsi="Times New Roman" w:cs="Times New Roman"/>
        </w:rPr>
        <w:t xml:space="preserve">extension </w:t>
      </w:r>
      <w:r w:rsidR="00C44C62" w:rsidRPr="00F37E17">
        <w:rPr>
          <w:rFonts w:ascii="Times New Roman" w:hAnsi="Times New Roman" w:cs="Times New Roman"/>
        </w:rPr>
        <w:t xml:space="preserve">strength measured by </w:t>
      </w:r>
      <w:r w:rsidRPr="00F37E17">
        <w:rPr>
          <w:rFonts w:ascii="Times New Roman" w:hAnsi="Times New Roman" w:cs="Times New Roman"/>
        </w:rPr>
        <w:t>hand-held dynamometry</w:t>
      </w:r>
      <w:r w:rsidR="005A1B6B" w:rsidRPr="00F37E17">
        <w:rPr>
          <w:rFonts w:ascii="Times New Roman" w:hAnsi="Times New Roman" w:cs="Times New Roman"/>
        </w:rPr>
        <w:t>;</w:t>
      </w:r>
      <w:r w:rsidRPr="00F37E17">
        <w:rPr>
          <w:rFonts w:ascii="Times New Roman" w:hAnsi="Times New Roman" w:cs="Times New Roman"/>
        </w:rPr>
        <w:t xml:space="preserve"> one-legged balance</w:t>
      </w:r>
      <w:r w:rsidR="005A1B6B" w:rsidRPr="00F37E17">
        <w:rPr>
          <w:rFonts w:ascii="Times New Roman" w:hAnsi="Times New Roman" w:cs="Times New Roman"/>
        </w:rPr>
        <w:t>;</w:t>
      </w:r>
      <w:r w:rsidR="009D10DB" w:rsidRPr="00F37E17">
        <w:rPr>
          <w:rFonts w:ascii="Times New Roman" w:hAnsi="Times New Roman" w:cs="Times New Roman"/>
        </w:rPr>
        <w:t xml:space="preserve"> fall risk</w:t>
      </w:r>
      <w:r w:rsidR="005A1B6B" w:rsidRPr="00F37E17">
        <w:rPr>
          <w:rFonts w:ascii="Times New Roman" w:hAnsi="Times New Roman" w:cs="Times New Roman"/>
        </w:rPr>
        <w:t>;</w:t>
      </w:r>
      <w:r w:rsidR="009D10DB" w:rsidRPr="00F37E17">
        <w:rPr>
          <w:rFonts w:ascii="Times New Roman" w:hAnsi="Times New Roman" w:cs="Times New Roman"/>
        </w:rPr>
        <w:t xml:space="preserve"> and</w:t>
      </w:r>
      <w:r w:rsidRPr="00F37E17">
        <w:rPr>
          <w:rFonts w:ascii="Times New Roman" w:hAnsi="Times New Roman" w:cs="Times New Roman"/>
        </w:rPr>
        <w:t xml:space="preserve"> </w:t>
      </w:r>
      <w:r w:rsidR="009C7A44" w:rsidRPr="00F37E17">
        <w:rPr>
          <w:rFonts w:ascii="Times New Roman" w:hAnsi="Times New Roman" w:cs="Times New Roman"/>
        </w:rPr>
        <w:t>p</w:t>
      </w:r>
      <w:r w:rsidRPr="00F37E17">
        <w:rPr>
          <w:rFonts w:ascii="Times New Roman" w:hAnsi="Times New Roman" w:cs="Times New Roman"/>
        </w:rPr>
        <w:t xml:space="preserve">hysical </w:t>
      </w:r>
      <w:r w:rsidR="009C7A44" w:rsidRPr="00F37E17">
        <w:rPr>
          <w:rFonts w:ascii="Times New Roman" w:hAnsi="Times New Roman" w:cs="Times New Roman"/>
        </w:rPr>
        <w:t>a</w:t>
      </w:r>
      <w:r w:rsidRPr="00F37E17">
        <w:rPr>
          <w:rFonts w:ascii="Times New Roman" w:hAnsi="Times New Roman" w:cs="Times New Roman"/>
        </w:rPr>
        <w:t xml:space="preserve">ctivity </w:t>
      </w:r>
      <w:r w:rsidR="009C7A44" w:rsidRPr="00F37E17">
        <w:rPr>
          <w:rFonts w:ascii="Times New Roman" w:hAnsi="Times New Roman" w:cs="Times New Roman"/>
        </w:rPr>
        <w:t>s</w:t>
      </w:r>
      <w:r w:rsidRPr="00F37E17">
        <w:rPr>
          <w:rFonts w:ascii="Times New Roman" w:hAnsi="Times New Roman" w:cs="Times New Roman"/>
        </w:rPr>
        <w:t>c</w:t>
      </w:r>
      <w:r w:rsidR="009C7A44" w:rsidRPr="00F37E17">
        <w:rPr>
          <w:rFonts w:ascii="Times New Roman" w:hAnsi="Times New Roman" w:cs="Times New Roman"/>
        </w:rPr>
        <w:t>ores</w:t>
      </w:r>
      <w:r w:rsidRPr="00F37E17">
        <w:rPr>
          <w:rFonts w:ascii="Times New Roman" w:hAnsi="Times New Roman" w:cs="Times New Roman"/>
        </w:rPr>
        <w:t xml:space="preserve">. </w:t>
      </w:r>
      <w:r w:rsidR="00C44C62" w:rsidRPr="00F37E17">
        <w:rPr>
          <w:rFonts w:ascii="Times New Roman" w:hAnsi="Times New Roman" w:cs="Times New Roman"/>
        </w:rPr>
        <w:t xml:space="preserve">Prediction variables for </w:t>
      </w:r>
      <w:r w:rsidR="00516533" w:rsidRPr="00F37E17">
        <w:rPr>
          <w:rFonts w:ascii="Times New Roman" w:hAnsi="Times New Roman" w:cs="Times New Roman"/>
        </w:rPr>
        <w:t>reaction</w:t>
      </w:r>
      <w:r w:rsidR="00C44C62" w:rsidRPr="00F37E17">
        <w:rPr>
          <w:rFonts w:ascii="Times New Roman" w:hAnsi="Times New Roman" w:cs="Times New Roman"/>
        </w:rPr>
        <w:t xml:space="preserve"> and </w:t>
      </w:r>
      <w:r w:rsidR="00516533" w:rsidRPr="00F37E17">
        <w:rPr>
          <w:rFonts w:ascii="Times New Roman" w:hAnsi="Times New Roman" w:cs="Times New Roman"/>
        </w:rPr>
        <w:t>movement time</w:t>
      </w:r>
      <w:r w:rsidR="00C44C62" w:rsidRPr="00F37E17">
        <w:rPr>
          <w:rFonts w:ascii="Times New Roman" w:hAnsi="Times New Roman" w:cs="Times New Roman"/>
        </w:rPr>
        <w:t xml:space="preserve"> were determined</w:t>
      </w:r>
      <w:r w:rsidRPr="00F37E17">
        <w:rPr>
          <w:rFonts w:ascii="Times New Roman" w:hAnsi="Times New Roman" w:cs="Times New Roman"/>
        </w:rPr>
        <w:t xml:space="preserve"> in separate </w:t>
      </w:r>
      <w:r w:rsidR="00072EFA" w:rsidRPr="00F37E17">
        <w:rPr>
          <w:rFonts w:ascii="Times New Roman" w:hAnsi="Times New Roman" w:cs="Times New Roman"/>
        </w:rPr>
        <w:t xml:space="preserve">backward selection </w:t>
      </w:r>
      <w:r w:rsidRPr="00F37E17">
        <w:rPr>
          <w:rFonts w:ascii="Times New Roman" w:hAnsi="Times New Roman" w:cs="Times New Roman"/>
        </w:rPr>
        <w:t>multiple regression analyses</w:t>
      </w:r>
      <w:r w:rsidR="00C44C62" w:rsidRPr="00F37E17">
        <w:rPr>
          <w:rFonts w:ascii="Times New Roman" w:hAnsi="Times New Roman" w:cs="Times New Roman"/>
        </w:rPr>
        <w:t xml:space="preserve">. </w:t>
      </w:r>
      <w:r w:rsidRPr="00F37E17">
        <w:rPr>
          <w:rFonts w:ascii="Times New Roman" w:hAnsi="Times New Roman" w:cs="Times New Roman"/>
        </w:rPr>
        <w:t xml:space="preserve">Significance was set at </w:t>
      </w:r>
      <w:r w:rsidR="0064369C" w:rsidRPr="00F37E17">
        <w:rPr>
          <w:rFonts w:ascii="Times New Roman" w:hAnsi="Times New Roman" w:cs="Times New Roman"/>
          <w:i/>
        </w:rPr>
        <w:t>P</w:t>
      </w:r>
      <w:r w:rsidRPr="00F37E17">
        <w:rPr>
          <w:rFonts w:ascii="Times New Roman" w:hAnsi="Times New Roman" w:cs="Times New Roman"/>
        </w:rPr>
        <w:t>&lt;0.05</w:t>
      </w:r>
      <w:r w:rsidR="00D27A6C" w:rsidRPr="00F37E17">
        <w:rPr>
          <w:rFonts w:ascii="Times New Roman" w:hAnsi="Times New Roman" w:cs="Times New Roman"/>
        </w:rPr>
        <w:t>.</w:t>
      </w:r>
    </w:p>
    <w:p w14:paraId="6587C95B" w14:textId="6766989E" w:rsidR="008D5EA5" w:rsidRPr="00F37E17" w:rsidRDefault="00ED3DAD" w:rsidP="008D5EA5">
      <w:pPr>
        <w:spacing w:line="480" w:lineRule="auto"/>
        <w:rPr>
          <w:rFonts w:ascii="Times New Roman" w:hAnsi="Times New Roman" w:cs="Times New Roman"/>
        </w:rPr>
      </w:pPr>
      <w:r w:rsidRPr="00F37E17">
        <w:rPr>
          <w:rFonts w:ascii="Times New Roman" w:hAnsi="Times New Roman" w:cs="Times New Roman"/>
          <w:i/>
        </w:rPr>
        <w:t>Finding</w:t>
      </w:r>
      <w:r w:rsidR="006E1AB3" w:rsidRPr="00F37E17">
        <w:rPr>
          <w:rFonts w:ascii="Times New Roman" w:hAnsi="Times New Roman" w:cs="Times New Roman"/>
          <w:i/>
        </w:rPr>
        <w:t>s:</w:t>
      </w:r>
      <w:r w:rsidR="006E1AB3" w:rsidRPr="00F37E17">
        <w:rPr>
          <w:rFonts w:ascii="Times New Roman" w:hAnsi="Times New Roman" w:cs="Times New Roman"/>
        </w:rPr>
        <w:t xml:space="preserve"> </w:t>
      </w:r>
      <w:r w:rsidR="00D27A6C" w:rsidRPr="00F37E17">
        <w:rPr>
          <w:rFonts w:ascii="Times New Roman" w:hAnsi="Times New Roman" w:cs="Times New Roman"/>
        </w:rPr>
        <w:t>S</w:t>
      </w:r>
      <w:r w:rsidR="009C6C0E" w:rsidRPr="00F37E17">
        <w:rPr>
          <w:rFonts w:ascii="Times New Roman" w:hAnsi="Times New Roman" w:cs="Times New Roman"/>
        </w:rPr>
        <w:t>ignificant regression equations for RT (</w:t>
      </w:r>
      <w:r w:rsidR="00ED0FFE" w:rsidRPr="00F37E17">
        <w:rPr>
          <w:rFonts w:ascii="Times New Roman" w:hAnsi="Times New Roman" w:cs="Times New Roman"/>
        </w:rPr>
        <w:t>r</w:t>
      </w:r>
      <w:r w:rsidR="00ED0FFE" w:rsidRPr="00F37E17">
        <w:rPr>
          <w:rFonts w:ascii="Times New Roman" w:hAnsi="Times New Roman" w:cs="Times New Roman"/>
          <w:vertAlign w:val="superscript"/>
        </w:rPr>
        <w:t>2</w:t>
      </w:r>
      <w:r w:rsidR="00ED0FFE" w:rsidRPr="00F37E17">
        <w:rPr>
          <w:rFonts w:ascii="Times New Roman" w:hAnsi="Times New Roman" w:cs="Times New Roman"/>
        </w:rPr>
        <w:t xml:space="preserve"> = .08, </w:t>
      </w:r>
      <w:r w:rsidR="0064369C" w:rsidRPr="00F37E17">
        <w:rPr>
          <w:rFonts w:ascii="Times New Roman" w:hAnsi="Times New Roman" w:cs="Times New Roman"/>
          <w:i/>
        </w:rPr>
        <w:t>P</w:t>
      </w:r>
      <w:r w:rsidR="009C6C0E" w:rsidRPr="00F37E17">
        <w:rPr>
          <w:rFonts w:ascii="Times New Roman" w:hAnsi="Times New Roman" w:cs="Times New Roman"/>
        </w:rPr>
        <w:t xml:space="preserve"> = 0.013) </w:t>
      </w:r>
      <w:r w:rsidR="00C44C62" w:rsidRPr="00F37E17">
        <w:rPr>
          <w:rFonts w:ascii="Times New Roman" w:hAnsi="Times New Roman" w:cs="Times New Roman"/>
        </w:rPr>
        <w:t>found</w:t>
      </w:r>
      <w:r w:rsidR="005142D8" w:rsidRPr="00F37E17">
        <w:rPr>
          <w:rFonts w:ascii="Times New Roman" w:hAnsi="Times New Roman" w:cs="Times New Roman"/>
        </w:rPr>
        <w:t xml:space="preserve"> </w:t>
      </w:r>
      <w:r w:rsidR="00781A80" w:rsidRPr="00F37E17">
        <w:rPr>
          <w:rFonts w:ascii="Times New Roman" w:hAnsi="Times New Roman" w:cs="Times New Roman"/>
        </w:rPr>
        <w:t xml:space="preserve">a relationship between </w:t>
      </w:r>
      <w:r w:rsidR="00070F02" w:rsidRPr="00F37E17">
        <w:rPr>
          <w:rFonts w:ascii="Times New Roman" w:hAnsi="Times New Roman" w:cs="Times New Roman"/>
        </w:rPr>
        <w:t xml:space="preserve">stronger </w:t>
      </w:r>
      <w:r w:rsidR="00516533" w:rsidRPr="00F37E17">
        <w:rPr>
          <w:rFonts w:ascii="Times New Roman" w:hAnsi="Times New Roman" w:cs="Times New Roman"/>
        </w:rPr>
        <w:t>handgrip</w:t>
      </w:r>
      <w:r w:rsidR="009C6C0E" w:rsidRPr="00F37E17">
        <w:rPr>
          <w:rFonts w:ascii="Times New Roman" w:hAnsi="Times New Roman" w:cs="Times New Roman"/>
        </w:rPr>
        <w:t xml:space="preserve"> (Beta = -.</w:t>
      </w:r>
      <w:r w:rsidR="00915F13" w:rsidRPr="00F37E17">
        <w:rPr>
          <w:rFonts w:ascii="Times New Roman" w:hAnsi="Times New Roman" w:cs="Times New Roman"/>
        </w:rPr>
        <w:t>00</w:t>
      </w:r>
      <w:r w:rsidR="009C6C0E" w:rsidRPr="00F37E17">
        <w:rPr>
          <w:rFonts w:ascii="Times New Roman" w:hAnsi="Times New Roman" w:cs="Times New Roman"/>
        </w:rPr>
        <w:t>2)</w:t>
      </w:r>
      <w:r w:rsidR="00C44C62" w:rsidRPr="00F37E17">
        <w:rPr>
          <w:rFonts w:ascii="Times New Roman" w:hAnsi="Times New Roman" w:cs="Times New Roman"/>
        </w:rPr>
        <w:t xml:space="preserve"> </w:t>
      </w:r>
      <w:r w:rsidR="00781A80" w:rsidRPr="00F37E17">
        <w:rPr>
          <w:rFonts w:ascii="Times New Roman" w:hAnsi="Times New Roman" w:cs="Times New Roman"/>
        </w:rPr>
        <w:t>and</w:t>
      </w:r>
      <w:r w:rsidR="00C44C62" w:rsidRPr="00F37E17">
        <w:rPr>
          <w:rFonts w:ascii="Times New Roman" w:hAnsi="Times New Roman" w:cs="Times New Roman"/>
        </w:rPr>
        <w:t xml:space="preserve"> faster </w:t>
      </w:r>
      <w:r w:rsidR="00516533" w:rsidRPr="00F37E17">
        <w:rPr>
          <w:rFonts w:ascii="Times New Roman" w:hAnsi="Times New Roman" w:cs="Times New Roman"/>
        </w:rPr>
        <w:t>reaction time</w:t>
      </w:r>
      <w:r w:rsidR="009C6C0E" w:rsidRPr="00F37E17">
        <w:rPr>
          <w:rFonts w:ascii="Times New Roman" w:hAnsi="Times New Roman" w:cs="Times New Roman"/>
        </w:rPr>
        <w:t>, accounting for 8% variance</w:t>
      </w:r>
      <w:r w:rsidR="006C308F" w:rsidRPr="00F37E17">
        <w:rPr>
          <w:rFonts w:ascii="Times New Roman" w:hAnsi="Times New Roman" w:cs="Times New Roman"/>
        </w:rPr>
        <w:t>.</w:t>
      </w:r>
      <w:r w:rsidR="00065333" w:rsidRPr="00F37E17">
        <w:rPr>
          <w:rFonts w:ascii="Times New Roman" w:hAnsi="Times New Roman" w:cs="Times New Roman"/>
        </w:rPr>
        <w:t xml:space="preserve"> </w:t>
      </w:r>
      <w:r w:rsidR="008D5EA5" w:rsidRPr="00F37E17">
        <w:rPr>
          <w:rFonts w:ascii="Times New Roman" w:hAnsi="Times New Roman" w:cs="Times New Roman"/>
        </w:rPr>
        <w:t>For movement time (r</w:t>
      </w:r>
      <w:r w:rsidR="008D5EA5" w:rsidRPr="00F37E17">
        <w:rPr>
          <w:rFonts w:ascii="Times New Roman" w:hAnsi="Times New Roman" w:cs="Times New Roman"/>
          <w:vertAlign w:val="superscript"/>
        </w:rPr>
        <w:t>2</w:t>
      </w:r>
      <w:r w:rsidR="008D5EA5" w:rsidRPr="00F37E17">
        <w:rPr>
          <w:rFonts w:ascii="Times New Roman" w:hAnsi="Times New Roman" w:cs="Times New Roman"/>
        </w:rPr>
        <w:t xml:space="preserve"> = .06, </w:t>
      </w:r>
      <w:r w:rsidR="008D5EA5" w:rsidRPr="00F37E17">
        <w:rPr>
          <w:rFonts w:ascii="Times New Roman" w:hAnsi="Times New Roman" w:cs="Times New Roman"/>
          <w:i/>
        </w:rPr>
        <w:t>P</w:t>
      </w:r>
      <w:r w:rsidR="008D5EA5" w:rsidRPr="00F37E17">
        <w:rPr>
          <w:rFonts w:ascii="Times New Roman" w:hAnsi="Times New Roman" w:cs="Times New Roman"/>
        </w:rPr>
        <w:t>= .036) greater shoulder flexion strength (Beta = -.04) was related to faster movement time, explaining 6% variance. Stronger SF strength was related to a decrease in MT by 4%.</w:t>
      </w:r>
    </w:p>
    <w:p w14:paraId="184D8EBE" w14:textId="630E05B8" w:rsidR="006E1AB3" w:rsidRPr="00F37E17" w:rsidRDefault="008D5EA5" w:rsidP="008D5EA5">
      <w:pPr>
        <w:spacing w:line="480" w:lineRule="auto"/>
        <w:textAlignment w:val="baseline"/>
        <w:rPr>
          <w:rFonts w:ascii="Calibri" w:eastAsia="Times New Roman" w:hAnsi="Calibri" w:cs="Calibri"/>
          <w:bdr w:val="none" w:sz="0" w:space="0" w:color="auto" w:frame="1"/>
        </w:rPr>
      </w:pPr>
      <w:r w:rsidRPr="00F37E17">
        <w:rPr>
          <w:rFonts w:ascii="Times New Roman" w:hAnsi="Times New Roman" w:cs="Times New Roman"/>
          <w:i/>
        </w:rPr>
        <w:t>Discussion:</w:t>
      </w:r>
      <w:r w:rsidRPr="00F37E17">
        <w:rPr>
          <w:rFonts w:ascii="Times New Roman" w:hAnsi="Times New Roman" w:cs="Times New Roman"/>
        </w:rPr>
        <w:t xml:space="preserve"> A relationship between arm strength measures and faster upper body reaction and movement time was shown, with 10-20% higher strength associated with a 5% faster response time. Even though this was a relatively weak relationship, given that strength is a modifiable component this provides a potential avenue for future intervention efforts. </w:t>
      </w:r>
      <w:r w:rsidR="00B03318" w:rsidRPr="00F37E17">
        <w:rPr>
          <w:rFonts w:ascii="Times New Roman" w:hAnsi="Times New Roman" w:cs="Times New Roman"/>
        </w:rPr>
        <w:t xml:space="preserve">This </w:t>
      </w:r>
      <w:r w:rsidR="005C3495" w:rsidRPr="00F37E17">
        <w:rPr>
          <w:rFonts w:ascii="Times New Roman" w:hAnsi="Times New Roman" w:cs="Times New Roman"/>
        </w:rPr>
        <w:t xml:space="preserve">in turn could have an impact on forward fall landing and potential reduction of injury risk. </w:t>
      </w:r>
    </w:p>
    <w:p w14:paraId="47322EF6" w14:textId="71C0181E" w:rsidR="007428CB" w:rsidRPr="00DF6E78" w:rsidRDefault="006B68DF" w:rsidP="00DF6E78">
      <w:pPr>
        <w:spacing w:line="480" w:lineRule="auto"/>
        <w:ind w:firstLine="360"/>
        <w:rPr>
          <w:rFonts w:ascii="Times New Roman" w:hAnsi="Times New Roman" w:cs="Times New Roman"/>
        </w:rPr>
      </w:pPr>
      <w:r w:rsidRPr="009B2CDA">
        <w:rPr>
          <w:rFonts w:ascii="Times New Roman" w:hAnsi="Times New Roman" w:cs="Times New Roman"/>
          <w:i/>
        </w:rPr>
        <w:t>Keywords:</w:t>
      </w:r>
      <w:r w:rsidR="00E03CBA" w:rsidRPr="009B2CDA">
        <w:rPr>
          <w:rFonts w:ascii="Times New Roman" w:hAnsi="Times New Roman" w:cs="Times New Roman"/>
        </w:rPr>
        <w:t xml:space="preserve"> </w:t>
      </w:r>
      <w:r w:rsidR="00F9689E" w:rsidRPr="009B2CDA">
        <w:rPr>
          <w:rFonts w:ascii="Times New Roman" w:hAnsi="Times New Roman" w:cs="Times New Roman"/>
        </w:rPr>
        <w:t xml:space="preserve">fall prevention, aging, </w:t>
      </w:r>
      <w:r w:rsidR="002945E9" w:rsidRPr="009B2CDA">
        <w:rPr>
          <w:rFonts w:ascii="Times New Roman" w:hAnsi="Times New Roman" w:cs="Times New Roman"/>
        </w:rPr>
        <w:t xml:space="preserve">upper limb </w:t>
      </w:r>
      <w:r w:rsidR="007428CB" w:rsidRPr="00DF6E78">
        <w:rPr>
          <w:rFonts w:ascii="Times New Roman" w:hAnsi="Times New Roman" w:cs="Times New Roman"/>
        </w:rPr>
        <w:br w:type="page"/>
      </w:r>
    </w:p>
    <w:p w14:paraId="1DE5297B" w14:textId="77777777" w:rsidR="00FD2AE8" w:rsidRPr="009B2CDA" w:rsidRDefault="00FD2AE8" w:rsidP="00A33C2E">
      <w:pPr>
        <w:spacing w:line="480" w:lineRule="auto"/>
        <w:jc w:val="center"/>
        <w:rPr>
          <w:rFonts w:ascii="Times New Roman" w:hAnsi="Times New Roman" w:cs="Times New Roman"/>
          <w:b/>
        </w:rPr>
      </w:pPr>
      <w:r w:rsidRPr="009B2CDA">
        <w:rPr>
          <w:rFonts w:ascii="Times New Roman" w:hAnsi="Times New Roman" w:cs="Times New Roman"/>
          <w:b/>
        </w:rPr>
        <w:lastRenderedPageBreak/>
        <w:t>Does functional performance and upper body strength predict upper extremity reaction and movement time in older women?</w:t>
      </w:r>
    </w:p>
    <w:p w14:paraId="74421B2F" w14:textId="7EA17FCD" w:rsidR="005D5527" w:rsidRPr="00862598" w:rsidRDefault="00A7399C" w:rsidP="00A33C2E">
      <w:pPr>
        <w:spacing w:line="480" w:lineRule="auto"/>
        <w:ind w:firstLine="720"/>
        <w:rPr>
          <w:rFonts w:ascii="Times New Roman" w:hAnsi="Times New Roman" w:cs="Times New Roman"/>
        </w:rPr>
      </w:pPr>
      <w:r w:rsidRPr="00862598">
        <w:rPr>
          <w:rFonts w:ascii="Times New Roman" w:hAnsi="Times New Roman" w:cs="Times New Roman"/>
        </w:rPr>
        <w:t>O</w:t>
      </w:r>
      <w:r w:rsidR="0037052F" w:rsidRPr="00862598">
        <w:rPr>
          <w:rFonts w:ascii="Times New Roman" w:hAnsi="Times New Roman" w:cs="Times New Roman"/>
        </w:rPr>
        <w:t>lder adults</w:t>
      </w:r>
      <w:r w:rsidR="00E75091" w:rsidRPr="00862598">
        <w:rPr>
          <w:rFonts w:ascii="Times New Roman" w:hAnsi="Times New Roman" w:cs="Times New Roman"/>
        </w:rPr>
        <w:t>,</w:t>
      </w:r>
      <w:r w:rsidR="0037052F" w:rsidRPr="00862598">
        <w:rPr>
          <w:rFonts w:ascii="Times New Roman" w:hAnsi="Times New Roman" w:cs="Times New Roman"/>
        </w:rPr>
        <w:t xml:space="preserve"> especially women, are at risk of injury</w:t>
      </w:r>
      <w:r w:rsidRPr="00862598">
        <w:rPr>
          <w:rFonts w:ascii="Times New Roman" w:hAnsi="Times New Roman" w:cs="Times New Roman"/>
        </w:rPr>
        <w:t xml:space="preserve"> following a forward fall</w:t>
      </w:r>
      <w:r w:rsidR="00F35E24" w:rsidRPr="00862598">
        <w:rPr>
          <w:rFonts w:ascii="Times New Roman" w:hAnsi="Times New Roman" w:cs="Times New Roman"/>
        </w:rPr>
        <w:t xml:space="preserve"> </w:t>
      </w:r>
      <w:r w:rsidR="00F35E24" w:rsidRPr="00862598">
        <w:rPr>
          <w:rFonts w:ascii="Times New Roman" w:hAnsi="Times New Roman" w:cs="Times New Roman"/>
        </w:rPr>
        <w:fldChar w:fldCharType="begin" w:fldLock="1"/>
      </w:r>
      <w:r w:rsidR="00B84FB4" w:rsidRPr="00862598">
        <w:rPr>
          <w:rFonts w:ascii="Times New Roman" w:hAnsi="Times New Roman" w:cs="Times New Roman"/>
        </w:rPr>
        <w:instrText>ADDIN CSL_CITATION {"citationItems":[{"id":"ITEM-1","itemData":{"DOI":"10.1136/ard.53.11.773","ISBN":"0003-4967 (Print) 0003-4967 (Linking)","ISSN":"00034967","PMID":"7826141","abstract":"OBJECTIVE: To investigate age and sex influences on fall characteristics.\\n\\nMETHODS: A total of 1243 subjects (517 males and 726 females) aged 50 years and over and drawn from population based sampling frames were invited to complete an interviewer administered questionnaire concerning descriptive characteristics of falls experienced in the previous four months. Information collected included details about the part of the body to strike the ground, direction of the fall, level of trauma and whether or not injury or fracture was sustained.\\n\\nRESULTS: One hundred and seventy two subjects reported a fall in the previous four months. Restricting analysis to the 142 subjects who fell from a standing height or less, females aged 50-64 years were more than twice as likely to fall onto their hand compared with older females (odds ratio (OR) = 2.2; 95% confidence interval (CI) 0.8 to 6.2) and at all ages (50+) were more than three times as likely to fall on their hip compared with males (OR = 3.4; 95% CI 1.0 to 11.5). Compared with older males, males aged 50-64 were more likely to fall sideways (OR = 5.1; 95% CI 1.5 to 17.4) and less likely to fall forwards (OR = 0.4; 95% CI 0.1 to 1.1).\\n\\nCONCLUSION: There is a potentially clinically important variation in fall type by age and sex. In particular, this variation might explain patterns of occurrence of hip and Colles' fracture.","author":[{"dropping-particle":"","family":"O'Neill","given":"T. W.","non-dropping-particle":"","parse-names":false,"suffix":""},{"dropping-particle":"","family":"Varlow","given":"J.","non-dropping-particle":"","parse-names":false,"suffix":""},{"dropping-particle":"","family":"Silman","given":"A. J.","non-dropping-particle":"","parse-names":false,"suffix":""},{"dropping-particle":"","family":"Reeve","given":"J.","non-dropping-particle":"","parse-names":false,"suffix":""},{"dropping-particle":"","family":"Reid","given":"D. M.","non-dropping-particle":"","parse-names":false,"suffix":""},{"dropping-particle":"","family":"Todd","given":"C.","non-dropping-particle":"","parse-names":false,"suffix":""},{"dropping-particle":"","family":"Woolf","given":"A. D.","non-dropping-particle":"","parse-names":false,"suffix":""}],"container-title":"Annals of the Rheumatic Diseases","id":"ITEM-1","issue":"11","issued":{"date-parts":[["1994"]]},"page":"773-775","title":"Age and sex influences on fall characteristics","type":"article-journal","volume":"53"},"uris":["http://www.mendeley.com/documents/?uuid=ac2b6b39-1256-4327-8fb7-f0ab838dab11"]},{"id":"ITEM-2","itemData":{"DOI":"10.1016/S0021-9290(03)00034-4","ISBN":"0021-9290","ISSN":"00219290","PMID":"12757814","abstract":"Although the epidemiology of fall-related injuries is well established for the elderly population over 65 years of age, the biomechanics of how, when and why injuries do and do not occur when arresting a fall have received relatively little attention. This paper reviews the epidemiological literature in the MEDLINE data base pertinent to the biomechanics of fall-related injuries, including data on fall rates, fall-related injury rates, fall directions and types of injuries available. It also covers primary sources not listed on MEDLINE, along with the pertinent biomechanics literature. Many falls in older adults are in a forward direction, and as a result the upper extremities are one of the most commonly injured structures, presumably in protecting the head and torso. In this review emphasis is placed on what is, and what is not, known of the biomechanical factors that determine the impact forces and injury risk associated with upper extremity injuries in forward falls. While decreased bone mineral density may be contributory, it is not a reliable predictor of fracture risk. Evidence is presented that fall-related impact forces can be reduced by appropriate volitional arrest strategies. Further theoretical and experimental research is needed to identify appropriate fall-arrest strategies for the elderly, as well as the physical capacities and skills required to do so. Inexpensive interventions might then be developed to teach safe fall-arrest techniques to older individuals. © 2003 Elsevier Science Ltd. All rights reserved.","author":[{"dropping-particle":"","family":"DeGoede","given":"K. M.","non-dropping-particle":"","parse-names":false,"suffix":""},{"dropping-particle":"","family":"Ashton-Miller","given":"J. A.","non-dropping-particle":"","parse-names":false,"suffix":""},{"dropping-particle":"","family":"Schultz","given":"A. B.","non-dropping-particle":"","parse-names":false,"suffix":""}],"container-title":"Journal of Biomechanics","id":"ITEM-2","issue":"7","issued":{"date-parts":[["2003"]]},"page":"1043-1053","title":"Fall-related upper body injuries in the older adult: A review of the biomechanical issues","type":"article-journal","volume":"36"},"uris":["http://www.mendeley.com/documents/?uuid=e06d0119-b0bd-4a42-bc7f-571040611ee1"]},{"id":"ITEM-3","itemData":{"ISBN":"0002-9262;","ISSN":"0002-9262","PMID":"2343855","abstract":"Falls are a leading cause of death from injury among older persons in the United States, and about one in three older persons falls each year. Yet, reliable estimates of the incidence of fall injury events in a population-based setting are not readily available. Therefore, the authors analyzed population-based surveillance data, between July 1985 and June 1987, from the Study to Assess Falls Among the Elderly, Miami Beach, Florida. The rate of fall injury events coming to acute medical attention increased exponentially with age for both elderly men and women (predominantly white), reaching a high for those aged 85 years or more of 138.5 per 1,000 for males and 158.8 per 1,000 for females. Compared with males, females had a higher incidence of fractures other than skull. Males were nearly twice as likely to die, however, following a fall injury event than were females. Of those fall injury events identified through the surveillance system, about 42% resulted in hospital admission. The mean length of hospital stay was 11.6 days overall and was 15.5 days for hip fracture, 9.8 days for skull fracture/intracranial injury, 11.2 days for all other fractures, and 9.1 days for all other injuries. About 50% of fall injury events that occurred at home and required hospital admission resulted in a person being discharged to a nursing home.","author":[{"dropping-particle":"","family":"Sattin","given":"R W","non-dropping-particle":"","parse-names":false,"suffix":""},{"dropping-particle":"","family":"Lambert Huber","given":"D A","non-dropping-particle":"","parse-names":false,"suffix":""},{"dropping-particle":"","family":"DeVito","given":"C A","non-dropping-particle":"","parse-names":false,"suffix":""},{"dropping-particle":"","family":"Rodriguez","given":"J G","non-dropping-particle":"","parse-names":false,"suffix":""},{"dropping-particle":"","family":"Ros","given":"A","non-dropping-particle":"","parse-names":false,"suffix":""},{"dropping-particle":"","family":"Bacchelli","given":"S","non-dropping-particle":"","parse-names":false,"suffix":""},{"dropping-particle":"","family":"Stevens","given":"J a","non-dropping-particle":"","parse-names":false,"suffix":""},{"dropping-particle":"","family":"Waxweiler","given":"R J","non-dropping-particle":"","parse-names":false,"suffix":""}],"container-title":"American journal of epidemiology","id":"ITEM-3","issue":"6","issued":{"date-parts":[["1990"]]},"page":"1028-37","title":"The incidence of fall injury events among the elderly in a defined population.","type":"article-journal","volume":"131"},"uris":["http://www.mendeley.com/documents/?uuid=148b072e-782d-4a8e-bcd8-ab876b2f386e"]}],"mendeley":{"formattedCitation":"(K. M. DeGoede, Ashton-Miller, &amp; Schultz, 2003; O’Neill et al., 1994; Sattin et al., 1990)","manualFormatting":"(DeGoede, Ashton-Miller, &amp; Schultz, 2003; O’Neill et al., 1994; Sattin et al., 1990)","plainTextFormattedCitation":"(K. M. DeGoede, Ashton-Miller, &amp; Schultz, 2003; O’Neill et al., 1994; Sattin et al., 1990)","previouslyFormattedCitation":"(K. M. DeGoede, Ashton-Miller, &amp; Schultz, 2003; O’Neill et al., 1994; Sattin et al., 1990)"},"properties":{"noteIndex":0},"schema":"https://github.com/citation-style-language/schema/raw/master/csl-citation.json"}</w:instrText>
      </w:r>
      <w:r w:rsidR="00F35E24" w:rsidRPr="00862598">
        <w:rPr>
          <w:rFonts w:ascii="Times New Roman" w:hAnsi="Times New Roman" w:cs="Times New Roman"/>
        </w:rPr>
        <w:fldChar w:fldCharType="separate"/>
      </w:r>
      <w:r w:rsidR="005B5832" w:rsidRPr="00862598">
        <w:rPr>
          <w:rFonts w:ascii="Times New Roman" w:hAnsi="Times New Roman" w:cs="Times New Roman"/>
          <w:noProof/>
        </w:rPr>
        <w:t>(DeGoede, Ashton-Miller, &amp; Schultz, 2003; O’Neill et al., 1994; Sattin et al., 1990)</w:t>
      </w:r>
      <w:r w:rsidR="00F35E24" w:rsidRPr="00862598">
        <w:rPr>
          <w:rFonts w:ascii="Times New Roman" w:hAnsi="Times New Roman" w:cs="Times New Roman"/>
        </w:rPr>
        <w:fldChar w:fldCharType="end"/>
      </w:r>
      <w:r w:rsidR="0037052F" w:rsidRPr="00862598">
        <w:rPr>
          <w:rFonts w:ascii="Times New Roman" w:hAnsi="Times New Roman" w:cs="Times New Roman"/>
        </w:rPr>
        <w:t>.</w:t>
      </w:r>
      <w:r w:rsidRPr="00862598">
        <w:rPr>
          <w:rFonts w:ascii="Times New Roman" w:hAnsi="Times New Roman" w:cs="Times New Roman"/>
        </w:rPr>
        <w:t xml:space="preserve"> </w:t>
      </w:r>
      <w:r w:rsidR="00512552" w:rsidRPr="00862598">
        <w:rPr>
          <w:rFonts w:ascii="Times New Roman" w:hAnsi="Times New Roman" w:cs="Times New Roman"/>
        </w:rPr>
        <w:t xml:space="preserve">Forward falls account for more than 50% of falls in </w:t>
      </w:r>
      <w:r w:rsidR="005C3495" w:rsidRPr="00862598">
        <w:rPr>
          <w:rFonts w:ascii="Times New Roman" w:hAnsi="Times New Roman" w:cs="Times New Roman"/>
        </w:rPr>
        <w:t xml:space="preserve">community-dwelling </w:t>
      </w:r>
      <w:r w:rsidR="00512552" w:rsidRPr="00862598">
        <w:rPr>
          <w:rFonts w:ascii="Times New Roman" w:hAnsi="Times New Roman" w:cs="Times New Roman"/>
        </w:rPr>
        <w:t xml:space="preserve">older adults </w:t>
      </w:r>
      <w:r w:rsidR="00314FC7" w:rsidRPr="00862598">
        <w:rPr>
          <w:rFonts w:ascii="Times New Roman" w:hAnsi="Times New Roman" w:cs="Times New Roman"/>
        </w:rPr>
        <w:fldChar w:fldCharType="begin" w:fldLock="1"/>
      </w:r>
      <w:r w:rsidR="005B5832" w:rsidRPr="00862598">
        <w:rPr>
          <w:rFonts w:ascii="Times New Roman" w:hAnsi="Times New Roman" w:cs="Times New Roman"/>
        </w:rPr>
        <w:instrText>ADDIN CSL_CITATION {"citationItems":[{"id":"ITEM-1","itemData":{"DOI":"10.1136/ard.53.11.773","ISBN":"0003-4967 (Print) 0003-4967 (Linking)","ISSN":"00034967","PMID":"7826141","abstract":"OBJECTIVE: To investigate age and sex influences on fall characteristics.\\n\\nMETHODS: A total of 1243 subjects (517 males and 726 females) aged 50 years and over and drawn from population based sampling frames were invited to complete an interviewer administered questionnaire concerning descriptive characteristics of falls experienced in the previous four months. Information collected included details about the part of the body to strike the ground, direction of the fall, level of trauma and whether or not injury or fracture was sustained.\\n\\nRESULTS: One hundred and seventy two subjects reported a fall in the previous four months. Restricting analysis to the 142 subjects who fell from a standing height or less, females aged 50-64 years were more than twice as likely to fall onto their hand compared with older females (odds ratio (OR) = 2.2; 95% confidence interval (CI) 0.8 to 6.2) and at all ages (50+) were more than three times as likely to fall on their hip compared with males (OR = 3.4; 95% CI 1.0 to 11.5). Compared with older males, males aged 50-64 were more likely to fall sideways (OR = 5.1; 95% CI 1.5 to 17.4) and less likely to fall forwards (OR = 0.4; 95% CI 0.1 to 1.1).\\n\\nCONCLUSION: There is a potentially clinically important variation in fall type by age and sex. In particular, this variation might explain patterns of occurrence of hip and Colles' fracture.","author":[{"dropping-particle":"","family":"O'Neill","given":"T. W.","non-dropping-particle":"","parse-names":false,"suffix":""},{"dropping-particle":"","family":"Varlow","given":"J.","non-dropping-particle":"","parse-names":false,"suffix":""},{"dropping-particle":"","family":"Silman","given":"A. J.","non-dropping-particle":"","parse-names":false,"suffix":""},{"dropping-particle":"","family":"Reeve","given":"J.","non-dropping-particle":"","parse-names":false,"suffix":""},{"dropping-particle":"","family":"Reid","given":"D. M.","non-dropping-particle":"","parse-names":false,"suffix":""},{"dropping-particle":"","family":"Todd","given":"C.","non-dropping-particle":"","parse-names":false,"suffix":""},{"dropping-particle":"","family":"Woolf","given":"A. D.","non-dropping-particle":"","parse-names":false,"suffix":""}],"container-title":"Annals of the Rheumatic Diseases","id":"ITEM-1","issue":"11","issued":{"date-parts":[["1994"]]},"page":"773-775","title":"Age and sex influences on fall characteristics","type":"article-journal","volume":"53"},"uris":["http://www.mendeley.com/documents/?uuid=ac2b6b39-1256-4327-8fb7-f0ab838dab11"]}],"mendeley":{"formattedCitation":"(O’Neill et al., 1994)","plainTextFormattedCitation":"(O’Neill et al., 1994)","previouslyFormattedCitation":"(O’Neill et al., 1994)"},"properties":{"noteIndex":0},"schema":"https://github.com/citation-style-language/schema/raw/master/csl-citation.json"}</w:instrText>
      </w:r>
      <w:r w:rsidR="00314FC7" w:rsidRPr="00862598">
        <w:rPr>
          <w:rFonts w:ascii="Times New Roman" w:hAnsi="Times New Roman" w:cs="Times New Roman"/>
        </w:rPr>
        <w:fldChar w:fldCharType="separate"/>
      </w:r>
      <w:r w:rsidR="00BB5C78" w:rsidRPr="00862598">
        <w:rPr>
          <w:rFonts w:ascii="Times New Roman" w:hAnsi="Times New Roman" w:cs="Times New Roman"/>
          <w:noProof/>
        </w:rPr>
        <w:t>(O’Neill et al., 1994)</w:t>
      </w:r>
      <w:r w:rsidR="00314FC7" w:rsidRPr="00862598">
        <w:rPr>
          <w:rFonts w:ascii="Times New Roman" w:hAnsi="Times New Roman" w:cs="Times New Roman"/>
        </w:rPr>
        <w:fldChar w:fldCharType="end"/>
      </w:r>
      <w:r w:rsidR="00512552" w:rsidRPr="00862598">
        <w:rPr>
          <w:rFonts w:ascii="Times New Roman" w:hAnsi="Times New Roman" w:cs="Times New Roman"/>
        </w:rPr>
        <w:t xml:space="preserve"> and are associated with injuries to the upper limb</w:t>
      </w:r>
      <w:r w:rsidR="005C3495" w:rsidRPr="00862598">
        <w:rPr>
          <w:rFonts w:ascii="Times New Roman" w:hAnsi="Times New Roman" w:cs="Times New Roman"/>
        </w:rPr>
        <w:t>. W</w:t>
      </w:r>
      <w:r w:rsidR="00511A31" w:rsidRPr="00862598">
        <w:rPr>
          <w:rFonts w:ascii="Times New Roman" w:hAnsi="Times New Roman" w:cs="Times New Roman"/>
        </w:rPr>
        <w:t xml:space="preserve">omen are at a higher risk of </w:t>
      </w:r>
      <w:r w:rsidR="008841BD" w:rsidRPr="00862598">
        <w:rPr>
          <w:rFonts w:ascii="Times New Roman" w:hAnsi="Times New Roman" w:cs="Times New Roman"/>
        </w:rPr>
        <w:t xml:space="preserve">fall-related </w:t>
      </w:r>
      <w:r w:rsidR="00511A31" w:rsidRPr="00862598">
        <w:rPr>
          <w:rFonts w:ascii="Times New Roman" w:hAnsi="Times New Roman" w:cs="Times New Roman"/>
        </w:rPr>
        <w:t xml:space="preserve">injury  </w:t>
      </w:r>
      <w:r w:rsidR="00511A31" w:rsidRPr="00862598">
        <w:rPr>
          <w:rFonts w:ascii="Times New Roman" w:hAnsi="Times New Roman" w:cs="Times New Roman"/>
        </w:rPr>
        <w:fldChar w:fldCharType="begin" w:fldLock="1"/>
      </w:r>
      <w:r w:rsidR="00B84FB4" w:rsidRPr="00862598">
        <w:rPr>
          <w:rFonts w:ascii="Times New Roman" w:hAnsi="Times New Roman" w:cs="Times New Roman"/>
        </w:rPr>
        <w:instrText>ADDIN CSL_CITATION {"citationItems":[{"id":"ITEM-1","itemData":{"DOI":"10.1136/ard.53.11.773","ISBN":"0003-4967 (Print) 0003-4967 (Linking)","ISSN":"00034967","PMID":"7826141","abstract":"OBJECTIVE: To investigate age and sex influences on fall characteristics.\\n\\nMETHODS: A total of 1243 subjects (517 males and 726 females) aged 50 years and over and drawn from population based sampling frames were invited to complete an interviewer administered questionnaire concerning descriptive characteristics of falls experienced in the previous four months. Information collected included details about the part of the body to strike the ground, direction of the fall, level of trauma and whether or not injury or fracture was sustained.\\n\\nRESULTS: One hundred and seventy two subjects reported a fall in the previous four months. Restricting analysis to the 142 subjects who fell from a standing height or less, females aged 50-64 years were more than twice as likely to fall onto their hand compared with older females (odds ratio (OR) = 2.2; 95% confidence interval (CI) 0.8 to 6.2) and at all ages (50+) were more than three times as likely to fall on their hip compared with males (OR = 3.4; 95% CI 1.0 to 11.5). Compared with older males, males aged 50-64 were more likely to fall sideways (OR = 5.1; 95% CI 1.5 to 17.4) and less likely to fall forwards (OR = 0.4; 95% CI 0.1 to 1.1).\\n\\nCONCLUSION: There is a potentially clinically important variation in fall type by age and sex. In particular, this variation might explain patterns of occurrence of hip and Colles' fracture.","author":[{"dropping-particle":"","family":"O'Neill","given":"T. W.","non-dropping-particle":"","parse-names":false,"suffix":""},{"dropping-particle":"","family":"Varlow","given":"J.","non-dropping-particle":"","parse-names":false,"suffix":""},{"dropping-particle":"","family":"Silman","given":"A. J.","non-dropping-particle":"","parse-names":false,"suffix":""},{"dropping-particle":"","family":"Reeve","given":"J.","non-dropping-particle":"","parse-names":false,"suffix":""},{"dropping-particle":"","family":"Reid","given":"D. M.","non-dropping-particle":"","parse-names":false,"suffix":""},{"dropping-particle":"","family":"Todd","given":"C.","non-dropping-particle":"","parse-names":false,"suffix":""},{"dropping-particle":"","family":"Woolf","given":"A. D.","non-dropping-particle":"","parse-names":false,"suffix":""}],"container-title":"Annals of the Rheumatic Diseases","id":"ITEM-1","issue":"11","issued":{"date-parts":[["1994"]]},"page":"773-775","title":"Age and sex influences on fall characteristics","type":"article-journal","volume":"53"},"uris":["http://www.mendeley.com/documents/?uuid=ac2b6b39-1256-4327-8fb7-f0ab838dab11"]},{"id":"ITEM-2","itemData":{"DOI":"10.1016/S0021-9290(03)00034-4","ISBN":"0021-9290","ISSN":"00219290","PMID":"12757814","abstract":"Although the epidemiology of fall-related injuries is well established for the elderly population over 65 years of age, the biomechanics of how, when and why injuries do and do not occur when arresting a fall have received relatively little attention. This paper reviews the epidemiological literature in the MEDLINE data base pertinent to the biomechanics of fall-related injuries, including data on fall rates, fall-related injury rates, fall directions and types of injuries available. It also covers primary sources not listed on MEDLINE, along with the pertinent biomechanics literature. Many falls in older adults are in a forward direction, and as a result the upper extremities are one of the most commonly injured structures, presumably in protecting the head and torso. In this review emphasis is placed on what is, and what is not, known of the biomechanical factors that determine the impact forces and injury risk associated with upper extremity injuries in forward falls. While decreased bone mineral density may be contributory, it is not a reliable predictor of fracture risk. Evidence is presented that fall-related impact forces can be reduced by appropriate volitional arrest strategies. Further theoretical and experimental research is needed to identify appropriate fall-arrest strategies for the elderly, as well as the physical capacities and skills required to do so. Inexpensive interventions might then be developed to teach safe fall-arrest techniques to older individuals. © 2003 Elsevier Science Ltd. All rights reserved.","author":[{"dropping-particle":"","family":"DeGoede","given":"K. M.","non-dropping-particle":"","parse-names":false,"suffix":""},{"dropping-particle":"","family":"Ashton-Miller","given":"J. A.","non-dropping-particle":"","parse-names":false,"suffix":""},{"dropping-particle":"","family":"Schultz","given":"A. B.","non-dropping-particle":"","parse-names":false,"suffix":""}],"container-title":"Journal of Biomechanics","id":"ITEM-2","issue":"7","issued":{"date-parts":[["2003"]]},"page":"1043-1053","title":"Fall-related upper body injuries in the older adult: A review of the biomechanical issues","type":"article-journal","volume":"36"},"uris":["http://www.mendeley.com/documents/?uuid=e06d0119-b0bd-4a42-bc7f-571040611ee1"]},{"id":"ITEM-3","itemData":{"ISBN":"0002-9262;","ISSN":"0002-9262","PMID":"2343855","abstract":"Falls are a leading cause of death from injury among older persons in the United States, and about one in three older persons falls each year. Yet, reliable estimates of the incidence of fall injury events in a population-based setting are not readily available. Therefore, the authors analyzed population-based surveillance data, between July 1985 and June 1987, from the Study to Assess Falls Among the Elderly, Miami Beach, Florida. The rate of fall injury events coming to acute medical attention increased exponentially with age for both elderly men and women (predominantly white), reaching a high for those aged 85 years or more of 138.5 per 1,000 for males and 158.8 per 1,000 for females. Compared with males, females had a higher incidence of fractures other than skull. Males were nearly twice as likely to die, however, following a fall injury event than were females. Of those fall injury events identified through the surveillance system, about 42% resulted in hospital admission. The mean length of hospital stay was 11.6 days overall and was 15.5 days for hip fracture, 9.8 days for skull fracture/intracranial injury, 11.2 days for all other fractures, and 9.1 days for all other injuries. About 50% of fall injury events that occurred at home and required hospital admission resulted in a person being discharged to a nursing home.","author":[{"dropping-particle":"","family":"Sattin","given":"R W","non-dropping-particle":"","parse-names":false,"suffix":""},{"dropping-particle":"","family":"Lambert Huber","given":"D A","non-dropping-particle":"","parse-names":false,"suffix":""},{"dropping-particle":"","family":"DeVito","given":"C A","non-dropping-particle":"","parse-names":false,"suffix":""},{"dropping-particle":"","family":"Rodriguez","given":"J G","non-dropping-particle":"","parse-names":false,"suffix":""},{"dropping-particle":"","family":"Ros","given":"A","non-dropping-particle":"","parse-names":false,"suffix":""},{"dropping-particle":"","family":"Bacchelli","given":"S","non-dropping-particle":"","parse-names":false,"suffix":""},{"dropping-particle":"","family":"Stevens","given":"J a","non-dropping-particle":"","parse-names":false,"suffix":""},{"dropping-particle":"","family":"Waxweiler","given":"R J","non-dropping-particle":"","parse-names":false,"suffix":""}],"container-title":"American journal of epidemiology","id":"ITEM-3","issue":"6","issued":{"date-parts":[["1990"]]},"page":"1028-37","title":"The incidence of fall injury events among the elderly in a defined population.","type":"article-journal","volume":"131"},"uris":["http://www.mendeley.com/documents/?uuid=148b072e-782d-4a8e-bcd8-ab876b2f386e"]}],"mendeley":{"formattedCitation":"(K. M. DeGoede et al., 2003; O’Neill et al., 1994; Sattin et al., 1990)","manualFormatting":"(DeGoede et al., 2003; O’Neill et al., 1994; Sattin et al., 1990)","plainTextFormattedCitation":"(K. M. DeGoede et al., 2003; O’Neill et al., 1994; Sattin et al., 1990)","previouslyFormattedCitation":"(K. M. DeGoede et al., 2003; O’Neill et al., 1994; Sattin et al., 1990)"},"properties":{"noteIndex":0},"schema":"https://github.com/citation-style-language/schema/raw/master/csl-citation.json"}</w:instrText>
      </w:r>
      <w:r w:rsidR="00511A31" w:rsidRPr="00862598">
        <w:rPr>
          <w:rFonts w:ascii="Times New Roman" w:hAnsi="Times New Roman" w:cs="Times New Roman"/>
        </w:rPr>
        <w:fldChar w:fldCharType="separate"/>
      </w:r>
      <w:r w:rsidR="005B5832" w:rsidRPr="00862598">
        <w:rPr>
          <w:rFonts w:ascii="Times New Roman" w:hAnsi="Times New Roman" w:cs="Times New Roman"/>
          <w:noProof/>
        </w:rPr>
        <w:t>(DeGoede et al., 2003; O’Neill et al., 1994; Sattin et al., 1990)</w:t>
      </w:r>
      <w:r w:rsidR="00511A31" w:rsidRPr="00862598">
        <w:rPr>
          <w:rFonts w:ascii="Times New Roman" w:hAnsi="Times New Roman" w:cs="Times New Roman"/>
        </w:rPr>
        <w:fldChar w:fldCharType="end"/>
      </w:r>
      <w:r w:rsidR="00511A31" w:rsidRPr="00862598">
        <w:rPr>
          <w:rFonts w:ascii="Times New Roman" w:hAnsi="Times New Roman" w:cs="Times New Roman"/>
        </w:rPr>
        <w:t>, and</w:t>
      </w:r>
      <w:r w:rsidR="00512552" w:rsidRPr="00862598">
        <w:rPr>
          <w:rFonts w:ascii="Times New Roman" w:hAnsi="Times New Roman" w:cs="Times New Roman"/>
        </w:rPr>
        <w:t xml:space="preserve"> experienc</w:t>
      </w:r>
      <w:r w:rsidR="00511A31" w:rsidRPr="00862598">
        <w:rPr>
          <w:rFonts w:ascii="Times New Roman" w:hAnsi="Times New Roman" w:cs="Times New Roman"/>
        </w:rPr>
        <w:t>e</w:t>
      </w:r>
      <w:r w:rsidR="00512552" w:rsidRPr="00862598">
        <w:rPr>
          <w:rFonts w:ascii="Times New Roman" w:hAnsi="Times New Roman" w:cs="Times New Roman"/>
        </w:rPr>
        <w:t xml:space="preserve"> </w:t>
      </w:r>
      <w:r w:rsidR="00511A31" w:rsidRPr="00862598">
        <w:rPr>
          <w:rFonts w:ascii="Times New Roman" w:hAnsi="Times New Roman" w:cs="Times New Roman"/>
        </w:rPr>
        <w:t>considerably more</w:t>
      </w:r>
      <w:r w:rsidR="00512552" w:rsidRPr="00862598">
        <w:rPr>
          <w:rFonts w:ascii="Times New Roman" w:hAnsi="Times New Roman" w:cs="Times New Roman"/>
        </w:rPr>
        <w:t xml:space="preserve"> </w:t>
      </w:r>
      <w:r w:rsidR="004366C9" w:rsidRPr="00862598">
        <w:rPr>
          <w:rFonts w:ascii="Times New Roman" w:hAnsi="Times New Roman" w:cs="Times New Roman"/>
        </w:rPr>
        <w:t xml:space="preserve">upper limb </w:t>
      </w:r>
      <w:r w:rsidR="00512552" w:rsidRPr="00862598">
        <w:rPr>
          <w:rFonts w:ascii="Times New Roman" w:hAnsi="Times New Roman" w:cs="Times New Roman"/>
        </w:rPr>
        <w:t>fracture</w:t>
      </w:r>
      <w:r w:rsidR="00511A31" w:rsidRPr="00862598">
        <w:rPr>
          <w:rFonts w:ascii="Times New Roman" w:hAnsi="Times New Roman" w:cs="Times New Roman"/>
        </w:rPr>
        <w:t>s</w:t>
      </w:r>
      <w:r w:rsidR="00512552" w:rsidRPr="00862598">
        <w:rPr>
          <w:rFonts w:ascii="Times New Roman" w:hAnsi="Times New Roman" w:cs="Times New Roman"/>
        </w:rPr>
        <w:t xml:space="preserve"> than me</w:t>
      </w:r>
      <w:r w:rsidR="00196F42" w:rsidRPr="00862598">
        <w:rPr>
          <w:rFonts w:ascii="Times New Roman" w:hAnsi="Times New Roman" w:cs="Times New Roman"/>
        </w:rPr>
        <w:t xml:space="preserve">n </w:t>
      </w:r>
      <w:r w:rsidR="00196F42" w:rsidRPr="00862598">
        <w:rPr>
          <w:rFonts w:ascii="Times New Roman" w:hAnsi="Times New Roman" w:cs="Times New Roman"/>
        </w:rPr>
        <w:fldChar w:fldCharType="begin" w:fldLock="1"/>
      </w:r>
      <w:r w:rsidR="005B5832" w:rsidRPr="00862598">
        <w:rPr>
          <w:rFonts w:ascii="Times New Roman" w:hAnsi="Times New Roman" w:cs="Times New Roman"/>
        </w:rPr>
        <w:instrText>ADDIN CSL_CITATION {"citationItems":[{"id":"ITEM-1","itemData":{"ISBN":"0002-9262;","ISSN":"0002-9262","PMID":"2343855","abstract":"Falls are a leading cause of death from injury among older persons in the United States, and about one in three older persons falls each year. Yet, reliable estimates of the incidence of fall injury events in a population-based setting are not readily available. Therefore, the authors analyzed population-based surveillance data, between July 1985 and June 1987, from the Study to Assess Falls Among the Elderly, Miami Beach, Florida. The rate of fall injury events coming to acute medical attention increased exponentially with age for both elderly men and women (predominantly white), reaching a high for those aged 85 years or more of 138.5 per 1,000 for males and 158.8 per 1,000 for females. Compared with males, females had a higher incidence of fractures other than skull. Males were nearly twice as likely to die, however, following a fall injury event than were females. Of those fall injury events identified through the surveillance system, about 42% resulted in hospital admission. The mean length of hospital stay was 11.6 days overall and was 15.5 days for hip fracture, 9.8 days for skull fracture/intracranial injury, 11.2 days for all other fractures, and 9.1 days for all other injuries. About 50% of fall injury events that occurred at home and required hospital admission resulted in a person being discharged to a nursing home.","author":[{"dropping-particle":"","family":"Sattin","given":"R W","non-dropping-particle":"","parse-names":false,"suffix":""},{"dropping-particle":"","family":"Lambert Huber","given":"D A","non-dropping-particle":"","parse-names":false,"suffix":""},{"dropping-particle":"","family":"DeVito","given":"C A","non-dropping-particle":"","parse-names":false,"suffix":""},{"dropping-particle":"","family":"Rodriguez","given":"J G","non-dropping-particle":"","parse-names":false,"suffix":""},{"dropping-particle":"","family":"Ros","given":"A","non-dropping-particle":"","parse-names":false,"suffix":""},{"dropping-particle":"","family":"Bacchelli","given":"S","non-dropping-particle":"","parse-names":false,"suffix":""},{"dropping-particle":"","family":"Stevens","given":"J a","non-dropping-particle":"","parse-names":false,"suffix":""},{"dropping-particle":"","family":"Waxweiler","given":"R J","non-dropping-particle":"","parse-names":false,"suffix":""}],"container-title":"American journal of epidemiology","id":"ITEM-1","issue":"6","issued":{"date-parts":[["1990"]]},"page":"1028-37","title":"The incidence of fall injury events among the elderly in a defined population.","type":"article-journal","volume":"131"},"uris":["http://www.mendeley.com/documents/?uuid=148b072e-782d-4a8e-bcd8-ab876b2f386e"]}],"mendeley":{"formattedCitation":"(Sattin et al., 1990)","plainTextFormattedCitation":"(Sattin et al., 1990)","previouslyFormattedCitation":"(Sattin et al., 1990)"},"properties":{"noteIndex":0},"schema":"https://github.com/citation-style-language/schema/raw/master/csl-citation.json"}</w:instrText>
      </w:r>
      <w:r w:rsidR="00196F42" w:rsidRPr="00862598">
        <w:rPr>
          <w:rFonts w:ascii="Times New Roman" w:hAnsi="Times New Roman" w:cs="Times New Roman"/>
        </w:rPr>
        <w:fldChar w:fldCharType="separate"/>
      </w:r>
      <w:r w:rsidR="00BB5C78" w:rsidRPr="00862598">
        <w:rPr>
          <w:rFonts w:ascii="Times New Roman" w:hAnsi="Times New Roman" w:cs="Times New Roman"/>
          <w:noProof/>
        </w:rPr>
        <w:t>(Sattin et al., 1990)</w:t>
      </w:r>
      <w:r w:rsidR="00196F42" w:rsidRPr="00862598">
        <w:rPr>
          <w:rFonts w:ascii="Times New Roman" w:hAnsi="Times New Roman" w:cs="Times New Roman"/>
        </w:rPr>
        <w:fldChar w:fldCharType="end"/>
      </w:r>
      <w:r w:rsidR="00180B49" w:rsidRPr="00862598">
        <w:rPr>
          <w:rFonts w:ascii="Times New Roman" w:hAnsi="Times New Roman" w:cs="Times New Roman"/>
        </w:rPr>
        <w:t>.</w:t>
      </w:r>
      <w:r w:rsidR="005953DD" w:rsidRPr="00862598">
        <w:rPr>
          <w:rFonts w:ascii="Times New Roman" w:hAnsi="Times New Roman" w:cs="Times New Roman"/>
        </w:rPr>
        <w:t xml:space="preserve"> A woman is </w:t>
      </w:r>
      <w:r w:rsidR="00583AD9" w:rsidRPr="00862598">
        <w:rPr>
          <w:rFonts w:ascii="Times New Roman" w:hAnsi="Times New Roman" w:cs="Times New Roman"/>
        </w:rPr>
        <w:t>almost five</w:t>
      </w:r>
      <w:r w:rsidR="005953DD" w:rsidRPr="00862598">
        <w:rPr>
          <w:rFonts w:ascii="Times New Roman" w:hAnsi="Times New Roman" w:cs="Times New Roman"/>
        </w:rPr>
        <w:t xml:space="preserve"> times more likely to experience a distal radial fracture </w:t>
      </w:r>
      <w:r w:rsidR="00035D59" w:rsidRPr="00862598">
        <w:rPr>
          <w:rFonts w:ascii="Times New Roman" w:hAnsi="Times New Roman" w:cs="Times New Roman"/>
        </w:rPr>
        <w:t xml:space="preserve">in her lifetime compared to a man </w:t>
      </w:r>
      <w:r w:rsidR="00035D59" w:rsidRPr="00862598">
        <w:rPr>
          <w:rFonts w:ascii="Times New Roman" w:hAnsi="Times New Roman" w:cs="Times New Roman"/>
        </w:rPr>
        <w:fldChar w:fldCharType="begin" w:fldLock="1"/>
      </w:r>
      <w:r w:rsidR="005B2AD2" w:rsidRPr="00862598">
        <w:rPr>
          <w:rFonts w:ascii="Times New Roman" w:hAnsi="Times New Roman" w:cs="Times New Roman"/>
        </w:rPr>
        <w:instrText>ADDIN CSL_CITATION {"citationItems":[{"id":"ITEM-1","itemData":{"DOI":"10.1177/1753193411409317","ISSN":"17531934","PMID":"21593069","abstract":"Fractures of the distal radius in postmenopausal women may cause prolonged pain and disability, but little is known about their natural course beyond the first year. In this study, women of 50-75 years of age, initially treated with cast or external fixation, were examined 1 year after distal radial fracture and then re-evaluated after a mean of 3 (range, 2-4) years. The evaluation included pain, disability (DASH) scores, grip strength and range of motion. In the 49 participating women pain scores, grip strength and range of motion improved significantly, although the mean improvement was moderate or small. In a subgroup of 13 patients with moderate or severe malunion, the 1 year DASH score was significantly worse than in the remaining patients but improved significantly together with grip strength and range of motion. After fractures of the distal radius, pain, grip strength and range of motion continued to improve beyond 1 year, up to 2-4 years. Patients with malunion had more disability at 1 year but showed significant improvement at 2-4 years. © 2011 The Author(s).","author":[{"dropping-particle":"","family":"Brogren","given":"E.","non-dropping-particle":"","parse-names":false,"suffix":""},{"dropping-particle":"","family":"Hofer","given":"M.","non-dropping-particle":"","parse-names":false,"suffix":""},{"dropping-particle":"","family":"Petranek","given":"M.","non-dropping-particle":"","parse-names":false,"suffix":""},{"dropping-particle":"","family":"Dahlin","given":"L. B.","non-dropping-particle":"","parse-names":false,"suffix":""},{"dropping-particle":"","family":"Atroshi","given":"I.","non-dropping-particle":"","parse-names":false,"suffix":""}],"container-title":"Journal of Hand Surgery: European Volume","id":"ITEM-1","issue":"7","issued":{"date-parts":[["2011"]]},"page":"568-576","title":"Fractures of the distal radius in women aged 50 to 75 years: Natural course of patient-reported outcome, wrist motion and grip strength between 1 year and 2-4 years after fracture","type":"article-journal","volume":"36"},"uris":["http://www.mendeley.com/documents/?uuid=68d059fa-3b72-434b-b5e4-27f7a975db12"]}],"mendeley":{"formattedCitation":"(Brogren, Hofer, Petranek, Dahlin, &amp; Atroshi, 2011)","plainTextFormattedCitation":"(Brogren, Hofer, Petranek, Dahlin, &amp; Atroshi, 2011)","previouslyFormattedCitation":"(Brogren, Hofer, Petranek, Dahlin, &amp; Atroshi, 2011)"},"properties":{"noteIndex":0},"schema":"https://github.com/citation-style-language/schema/raw/master/csl-citation.json"}</w:instrText>
      </w:r>
      <w:r w:rsidR="00035D59" w:rsidRPr="00862598">
        <w:rPr>
          <w:rFonts w:ascii="Times New Roman" w:hAnsi="Times New Roman" w:cs="Times New Roman"/>
        </w:rPr>
        <w:fldChar w:fldCharType="separate"/>
      </w:r>
      <w:r w:rsidR="00035D59" w:rsidRPr="00862598">
        <w:rPr>
          <w:rFonts w:ascii="Times New Roman" w:hAnsi="Times New Roman" w:cs="Times New Roman"/>
          <w:noProof/>
        </w:rPr>
        <w:t>(Brogren, Hofer, Petranek, Dahlin, &amp; Atroshi, 2011)</w:t>
      </w:r>
      <w:r w:rsidR="00035D59" w:rsidRPr="00862598">
        <w:rPr>
          <w:rFonts w:ascii="Times New Roman" w:hAnsi="Times New Roman" w:cs="Times New Roman"/>
        </w:rPr>
        <w:fldChar w:fldCharType="end"/>
      </w:r>
      <w:r w:rsidR="00035D59" w:rsidRPr="00862598">
        <w:rPr>
          <w:rFonts w:ascii="Times New Roman" w:hAnsi="Times New Roman" w:cs="Times New Roman"/>
        </w:rPr>
        <w:t>.</w:t>
      </w:r>
      <w:r w:rsidR="00180B49" w:rsidRPr="00862598">
        <w:rPr>
          <w:rFonts w:ascii="Times New Roman" w:hAnsi="Times New Roman" w:cs="Times New Roman"/>
        </w:rPr>
        <w:t xml:space="preserve"> </w:t>
      </w:r>
      <w:r w:rsidR="00BA1F5A" w:rsidRPr="00862598">
        <w:rPr>
          <w:rFonts w:ascii="Times New Roman" w:eastAsia="Times New Roman" w:hAnsi="Times New Roman" w:cs="Times New Roman"/>
        </w:rPr>
        <w:t xml:space="preserve">This increased fracture rate may partly be explained by a combination of reduced forearm muscle density and strength and wrist bone strength in women compared to men </w:t>
      </w:r>
      <w:r w:rsidR="00BA1F5A" w:rsidRPr="00862598">
        <w:rPr>
          <w:rFonts w:ascii="Times New Roman" w:eastAsia="Times New Roman" w:hAnsi="Times New Roman" w:cs="Times New Roman"/>
        </w:rPr>
        <w:fldChar w:fldCharType="begin" w:fldLock="1"/>
      </w:r>
      <w:r w:rsidR="00B248A5" w:rsidRPr="00862598">
        <w:rPr>
          <w:rFonts w:ascii="Times New Roman" w:eastAsia="Times New Roman" w:hAnsi="Times New Roman" w:cs="Times New Roman"/>
        </w:rPr>
        <w:instrText xml:space="preserve">ADDIN CSL_CITATION {"citationItems":[{"id":"ITEM-1","itemData":{"DOI":"10.1359/JBMR.040916","ISSN":"08840431","PMID":"15537436","abstract":"In a population-based, cross-sectional study, we assessed age- and sex-specific changes in bone structure by QCT. Over life, the cross-sectional area of the vertebrae and proximal femur increased by </w:instrText>
      </w:r>
      <w:r w:rsidR="00B248A5" w:rsidRPr="00862598">
        <w:rPr>
          <w:rFonts w:ascii="Cambria Math" w:eastAsia="Times New Roman" w:hAnsi="Cambria Math" w:cs="Cambria Math"/>
        </w:rPr>
        <w:instrText>∼</w:instrText>
      </w:r>
      <w:r w:rsidR="00B248A5" w:rsidRPr="00862598">
        <w:rPr>
          <w:rFonts w:ascii="Times New Roman" w:eastAsia="Times New Roman" w:hAnsi="Times New Roman" w:cs="Times New Roman"/>
        </w:rPr>
        <w:instrText xml:space="preserve">15% in both sexes, whereas vBMD at these sites decreased by 39-55% and 34-46%, respectively, with greater decreases in women than in men. Introduction: The changes in bone structure and density with aging that lead to fragility fractures are still unclear. Materials and Methods: In an age- and sex-stratified population sample of 373 women and 323 men (age, 20-97 years), we assessed bone geometry and volumetric BMD (vBMD) by QCT at the lumbar spine, femoral neck, distal radius, and distal tibia. Results: In young adulthood, men had 35-42% larger bone areas than women (p &lt; 0.001), consistent with their larger body size. Bone area increased equally over life in both sexes by </w:instrText>
      </w:r>
      <w:r w:rsidR="00B248A5" w:rsidRPr="00862598">
        <w:rPr>
          <w:rFonts w:ascii="Cambria Math" w:eastAsia="Times New Roman" w:hAnsi="Cambria Math" w:cs="Cambria Math"/>
        </w:rPr>
        <w:instrText>∼</w:instrText>
      </w:r>
      <w:r w:rsidR="00B248A5" w:rsidRPr="00862598">
        <w:rPr>
          <w:rFonts w:ascii="Times New Roman" w:eastAsia="Times New Roman" w:hAnsi="Times New Roman" w:cs="Times New Roman"/>
        </w:rPr>
        <w:instrText xml:space="preserve">15% (p &lt; 0.001) at central sites and by </w:instrText>
      </w:r>
      <w:r w:rsidR="00B248A5" w:rsidRPr="00862598">
        <w:rPr>
          <w:rFonts w:ascii="Cambria Math" w:eastAsia="Times New Roman" w:hAnsi="Cambria Math" w:cs="Cambria Math"/>
        </w:rPr>
        <w:instrText>∼</w:instrText>
      </w:r>
      <w:r w:rsidR="00B248A5" w:rsidRPr="00862598">
        <w:rPr>
          <w:rFonts w:ascii="Times New Roman" w:eastAsia="Times New Roman" w:hAnsi="Times New Roman" w:cs="Times New Roman"/>
        </w:rPr>
        <w:instrText>16% and slightly more in men at peripheral sites. Decreases in trabecular vBMD began before midlife and continued throughout life (p &lt; 0.001), whereas cortical vBMD decreases began in midlife. Average decreases in trabecular vBMD were greater in women (-55%) than in men (-46%, p &lt; 0.001) at central sites, but were similar (-24% and -26%, respectively) at peripheral sites. With aging, cortical area decreased slightly, and the cortex was displaced outwardly by periosteal and endocortical bone remodeling. Cortical vBMD decreased over life more in women (</w:instrText>
      </w:r>
      <w:r w:rsidR="00B248A5" w:rsidRPr="00862598">
        <w:rPr>
          <w:rFonts w:ascii="Cambria Math" w:eastAsia="Times New Roman" w:hAnsi="Cambria Math" w:cs="Cambria Math"/>
        </w:rPr>
        <w:instrText>∼</w:instrText>
      </w:r>
      <w:r w:rsidR="00B248A5" w:rsidRPr="00862598">
        <w:rPr>
          <w:rFonts w:ascii="Times New Roman" w:eastAsia="Times New Roman" w:hAnsi="Times New Roman" w:cs="Times New Roman"/>
        </w:rPr>
        <w:instrText>25%) than in men (</w:instrText>
      </w:r>
      <w:r w:rsidR="00B248A5" w:rsidRPr="00862598">
        <w:rPr>
          <w:rFonts w:ascii="Cambria Math" w:eastAsia="Times New Roman" w:hAnsi="Cambria Math" w:cs="Cambria Math"/>
        </w:rPr>
        <w:instrText>∼</w:instrText>
      </w:r>
      <w:r w:rsidR="00B248A5" w:rsidRPr="00862598">
        <w:rPr>
          <w:rFonts w:ascii="Times New Roman" w:eastAsia="Times New Roman" w:hAnsi="Times New Roman" w:cs="Times New Roman"/>
        </w:rPr>
        <w:instrText>18%, p &lt; 0.001), consistent with menopausal-induced increases in bone turnover and bone porosity. Conclusions: Age-related changes in bone are complex. Some are beneficial to bone strength, such as periosteal apposition with outward cortical displacement. Others are deleterious, such as increased subendocortical resorption, increased cortical porosity, and, especially, large decreases in trabecular vBMD that may be the most important cause of increased skeletal fragility in the elderly. Our findings further suggest that the greater age-related decreases in trabecular and cortical vBMD and perhaps also their smaller bone size may explain, in large part, why fragility fractures 7re more common in elderly women than in elderly men. © 2004 American Society for Bone and Mineral Research.","author":[{"dropping-particle":"","family":"Riggs","given":"B. Lawrence","non-dropping-particle":"","parse-names":false,"suffix":""},{"dropping-particle":"","family":"Melton","given":"L. Joseph","non-dropping-particle":"","parse-names":false,"suffix":""},{"dropping-particle":"","family":"Robb","given":"Richard A.","non-dropping-particle":"","parse-names":false,"suffix":""},{"dropping-particle":"","family":"Camp","given":"Jon J.","non-dropping-particle":"","parse-names":false,"suffix":""},{"dropping-particle":"","family":"Atkinson","given":"Elizabeth J.","non-dropping-particle":"","parse-names":false,"suffix":""},{"dropping-particle":"","family":"Peterson","given":"James M.","non-dropping-particle":"","parse-names":false,"suffix":""},{"dropping-particle":"","family":"Rouleau","given":"Peggy A.","non-dropping-particle":"","parse-names":false,"suffix":""},{"dropping-particle":"","family":"McCollough","given":"Cynthia H.","non-dropping-particle":"","parse-names":false,"suffix":""},{"dropping-particle":"","family":"Bouxsein","given":"Mary L.","non-dropping-particle":"","parse-names":false,"suffix":""},{"dropping-particle":"","family":"Khosla","given":"Sundeep","non-dropping-particle":"","parse-names":false,"suffix":""}],"container-title":"Journal of Bone and Mineral Research","id":"ITEM-1","issue":"12","issued":{"date-parts":[["2004"]]},"page":"1945-1954","title":"Population-based study of age and sex differences in bone volumetric density, size, geometry, and structure at different skeletal sites","type":"article-journal","volume":"19"},"uris":["http://www.mendeley.com/documents/?uuid=1e95da79-f172-4092-8a7f-5e9e8f89a483"]}],"mendeley":{"formattedCitation":"(Riggs et al., 2004)","plainTextFormattedCitation":"(Riggs et al., 2004)","previouslyFormattedCitation":"(Riggs et al., 2004)"},"properties":{"noteIndex":0},"schema":"https://github.com/citation-style-language/schema/raw/master/csl-citation.json"}</w:instrText>
      </w:r>
      <w:r w:rsidR="00BA1F5A" w:rsidRPr="00862598">
        <w:rPr>
          <w:rFonts w:ascii="Times New Roman" w:eastAsia="Times New Roman" w:hAnsi="Times New Roman" w:cs="Times New Roman"/>
        </w:rPr>
        <w:fldChar w:fldCharType="separate"/>
      </w:r>
      <w:r w:rsidR="00BA1F5A" w:rsidRPr="00862598">
        <w:rPr>
          <w:rFonts w:ascii="Times New Roman" w:eastAsia="Times New Roman" w:hAnsi="Times New Roman" w:cs="Times New Roman"/>
          <w:noProof/>
        </w:rPr>
        <w:t>(Riggs et al., 2004)</w:t>
      </w:r>
      <w:r w:rsidR="00BA1F5A" w:rsidRPr="00862598">
        <w:rPr>
          <w:rFonts w:ascii="Times New Roman" w:eastAsia="Times New Roman" w:hAnsi="Times New Roman" w:cs="Times New Roman"/>
        </w:rPr>
        <w:fldChar w:fldCharType="end"/>
      </w:r>
      <w:r w:rsidR="00BA1F5A" w:rsidRPr="00862598">
        <w:rPr>
          <w:rFonts w:ascii="Times New Roman" w:eastAsia="Times New Roman" w:hAnsi="Times New Roman" w:cs="Times New Roman"/>
        </w:rPr>
        <w:t>.</w:t>
      </w:r>
      <w:r w:rsidR="00890E2A" w:rsidRPr="00862598">
        <w:rPr>
          <w:rFonts w:ascii="Times New Roman" w:eastAsia="Times New Roman" w:hAnsi="Times New Roman" w:cs="Times New Roman"/>
        </w:rPr>
        <w:t xml:space="preserve"> </w:t>
      </w:r>
      <w:r w:rsidR="004366C9" w:rsidRPr="00862598">
        <w:rPr>
          <w:rFonts w:ascii="Times New Roman" w:hAnsi="Times New Roman" w:cs="Times New Roman"/>
        </w:rPr>
        <w:t xml:space="preserve">Reaching forward with arms to break a fall </w:t>
      </w:r>
      <w:r w:rsidR="00180B49" w:rsidRPr="00862598">
        <w:rPr>
          <w:rFonts w:ascii="Times New Roman" w:hAnsi="Times New Roman" w:cs="Times New Roman"/>
        </w:rPr>
        <w:t xml:space="preserve">is </w:t>
      </w:r>
      <w:r w:rsidR="004366C9" w:rsidRPr="00862598">
        <w:rPr>
          <w:rFonts w:ascii="Times New Roman" w:hAnsi="Times New Roman" w:cs="Times New Roman"/>
        </w:rPr>
        <w:t>an automatic protective reaction to a forward balance perturbation, initiated in order to</w:t>
      </w:r>
      <w:r w:rsidR="005D5527" w:rsidRPr="00862598">
        <w:rPr>
          <w:rFonts w:ascii="Times New Roman" w:hAnsi="Times New Roman" w:cs="Times New Roman"/>
        </w:rPr>
        <w:t xml:space="preserve"> reduce the risk of injury to the</w:t>
      </w:r>
      <w:r w:rsidR="00512552" w:rsidRPr="00862598">
        <w:rPr>
          <w:rFonts w:ascii="Times New Roman" w:hAnsi="Times New Roman" w:cs="Times New Roman"/>
        </w:rPr>
        <w:t xml:space="preserve"> head and trunk </w:t>
      </w:r>
      <w:r w:rsidR="00196F42" w:rsidRPr="00862598">
        <w:rPr>
          <w:rFonts w:ascii="Times New Roman" w:hAnsi="Times New Roman" w:cs="Times New Roman"/>
        </w:rPr>
        <w:fldChar w:fldCharType="begin" w:fldLock="1"/>
      </w:r>
      <w:r w:rsidR="00B84FB4" w:rsidRPr="00862598">
        <w:rPr>
          <w:rFonts w:ascii="Times New Roman" w:hAnsi="Times New Roman" w:cs="Times New Roman"/>
        </w:rPr>
        <w:instrText>ADDIN CSL_CITATION {"citationItems":[{"id":"ITEM-1","itemData":{"DOI":"10.1016/S0021-9290(03)00034-4","ISBN":"0021-9290","ISSN":"00219290","PMID":"12757814","abstract":"Although the epidemiology of fall-related injuries is well established for the elderly population over 65 years of age, the biomechanics of how, when and why injuries do and do not occur when arresting a fall have received relatively little attention. This paper reviews the epidemiological literature in the MEDLINE data base pertinent to the biomechanics of fall-related injuries, including data on fall rates, fall-related injury rates, fall directions and types of injuries available. It also covers primary sources not listed on MEDLINE, along with the pertinent biomechanics literature. Many falls in older adults are in a forward direction, and as a result the upper extremities are one of the most commonly injured structures, presumably in protecting the head and torso. In this review emphasis is placed on what is, and what is not, known of the biomechanical factors that determine the impact forces and injury risk associated with upper extremity injuries in forward falls. While decreased bone mineral density may be contributory, it is not a reliable predictor of fracture risk. Evidence is presented that fall-related impact forces can be reduced by appropriate volitional arrest strategies. Further theoretical and experimental research is needed to identify appropriate fall-arrest strategies for the elderly, as well as the physical capacities and skills required to do so. Inexpensive interventions might then be developed to teach safe fall-arrest techniques to older individuals. © 2003 Elsevier Science Ltd. All rights reserved.","author":[{"dropping-particle":"","family":"DeGoede","given":"K. M.","non-dropping-particle":"","parse-names":false,"suffix":""},{"dropping-particle":"","family":"Ashton-Miller","given":"J. A.","non-dropping-particle":"","parse-names":false,"suffix":""},{"dropping-particle":"","family":"Schultz","given":"A. B.","non-dropping-particle":"","parse-names":false,"suffix":""}],"container-title":"Journal of Biomechanics","id":"ITEM-1","issue":"7","issued":{"date-parts":[["2003"]]},"page":"1043-1053","title":"Fall-related upper body injuries in the older adult: A review of the biomechanical issues","type":"article-journal","volume":"36"},"uris":["http://www.mendeley.com/documents/?uuid=e06d0119-b0bd-4a42-bc7f-571040611ee1"]},{"id":"ITEM-2","itemData":{"DOI":"https://doi.org/10.1016/S0021-9290(97)00114-0","abstract":"Simple energy considerations suggest that any fall from standing height has the potential to cause hip fracture. However, only 1—2% of falls among the elderly actually result in hip fracture, and less than 10% cause serious injury. This suggests that highly effective movement strategies exist for preventing injury during a fall. To determine the nature of these, we measured body segment movements as subjects (aged 22—35 yr) stood upon a gymnasium mattress and attempted to prevent themselves from falling after the mattress was made to translate abruptly. Subjects were more than twice as likely to fall after anterior translations of the feet, when compared to posterior or lateral translations. In falls which resulted in impact to the pelvis, a complex sequence of upper extremity movements allowed subjects to impact their wrist at nearly the same instant as the pelvis (average time interval between contacts\"38 ms), suggesting a sharing of contact energy between the two body parts. Finally, marked trunk rotation was exhibited in falls due to lateral (but not anterior or posterior) perturbations, resulting in the avoidance of impact to the lateral aspect of the hip. These results suggest that body segment movements during falls, rather than being random and unpredictable, involve a repeatable series of responses which facilitate safe landing.","author":[{"dropping-particle":"","family":"Hsiao","given":"E T","non-dropping-particle":"","parse-names":false,"suffix":""},{"dropping-particle":"","family":"Robinovitch","given":"S N","non-dropping-particle":"","parse-names":false,"suffix":""}],"container-title":"Journal of Biomechanics 31","id":"ITEM-2","issued":{"date-parts":[["1998"]]},"page":"1-9","title":"Common protective movements govern unexpected falls from standing height","type":"article-journal","volume":"31"},"uris":["http://www.mendeley.com/documents/?uuid=c0c08b58-bd4e-4543-be8c-2c681cef19c6"]},{"id":"ITEM-3","itemData":{"DOI":"10.1136/ard.53.11.773","ISBN":"0003-4967 (Print) 0003-4967 (Linking)","ISSN":"00034967","PMID":"7826141","abstract":"OBJECTIVE: To investigate age and sex influences on fall characteristics.\\n\\nMETHODS: A total of 1243 subjects (517 males and 726 females) aged 50 years and over and drawn from population based sampling frames were invited to complete an interviewer administered questionnaire concerning descriptive characteristics of falls experienced in the previous four months. Information collected included details about the part of the body to strike the ground, direction of the fall, level of trauma and whether or not injury or fracture was sustained.\\n\\nRESULTS: One hundred and seventy two subjects reported a fall in the previous four months. Restricting analysis to the 142 subjects who fell from a standing height or less, females aged 50-64 years were more than twice as likely to fall onto their hand compared with older females (odds ratio (OR) = 2.2; 95% confidence interval (CI) 0.8 to 6.2) and at all ages (50+) were more than three times as likely to fall on their hip compared with males (OR = 3.4; 95% CI 1.0 to 11.5). Compared with older males, males aged 50-64 were more likely to fall sideways (OR = 5.1; 95% CI 1.5 to 17.4) and less likely to fall forwards (OR = 0.4; 95% CI 0.1 to 1.1).\\n\\nCONCLUSION: There is a potentially clinically important variation in fall type by age and sex. In particular, this variation might explain patterns of occurrence of hip and Colles' fracture.","author":[{"dropping-particle":"","family":"O'Neill","given":"T. W.","non-dropping-particle":"","parse-names":false,"suffix":""},{"dropping-particle":"","family":"Varlow","given":"J.","non-dropping-particle":"","parse-names":false,"suffix":""},{"dropping-particle":"","family":"Silman","given":"A. J.","non-dropping-particle":"","parse-names":false,"suffix":""},{"dropping-particle":"","family":"Reeve","given":"J.","non-dropping-particle":"","parse-names":false,"suffix":""},{"dropping-particle":"","family":"Reid","given":"D. M.","non-dropping-particle":"","parse-names":false,"suffix":""},{"dropping-particle":"","family":"Todd","given":"C.","non-dropping-particle":"","parse-names":false,"suffix":""},{"dropping-particle":"","family":"Woolf","given":"A. D.","non-dropping-particle":"","parse-names":false,"suffix":""}],"container-title":"Annals of the Rheumatic Diseases","id":"ITEM-3","issue":"11","issued":{"date-parts":[["1994"]]},"page":"773-775","title":"Age and sex influences on fall characteristics","type":"article-journal","volume":"53"},"uris":["http://www.mendeley.com/documents/?uuid=ac2b6b39-1256-4327-8fb7-f0ab838dab11"]}],"mendeley":{"formattedCitation":"(K. M. DeGoede et al., 2003; Hsiao &amp; Robinovitch, 1998; O’Neill et al., 1994)","manualFormatting":"(DeGoede et al., 2003; Hsiao &amp; Robinovitch, 1998; O’Neill et al., 1994)","plainTextFormattedCitation":"(K. M. DeGoede et al., 2003; Hsiao &amp; Robinovitch, 1998; O’Neill et al., 1994)","previouslyFormattedCitation":"(K. M. DeGoede et al., 2003; Hsiao &amp; Robinovitch, 1998; O’Neill et al., 1994)"},"properties":{"noteIndex":0},"schema":"https://github.com/citation-style-language/schema/raw/master/csl-citation.json"}</w:instrText>
      </w:r>
      <w:r w:rsidR="00196F42" w:rsidRPr="00862598">
        <w:rPr>
          <w:rFonts w:ascii="Times New Roman" w:hAnsi="Times New Roman" w:cs="Times New Roman"/>
        </w:rPr>
        <w:fldChar w:fldCharType="separate"/>
      </w:r>
      <w:r w:rsidR="005B5832" w:rsidRPr="00862598">
        <w:rPr>
          <w:rFonts w:ascii="Times New Roman" w:hAnsi="Times New Roman" w:cs="Times New Roman"/>
          <w:noProof/>
        </w:rPr>
        <w:t>(DeGoede et al., 2003; Hsiao &amp; Robinovitch, 1998; O’Neill et al., 1994)</w:t>
      </w:r>
      <w:r w:rsidR="00196F42" w:rsidRPr="00862598">
        <w:rPr>
          <w:rFonts w:ascii="Times New Roman" w:hAnsi="Times New Roman" w:cs="Times New Roman"/>
        </w:rPr>
        <w:fldChar w:fldCharType="end"/>
      </w:r>
      <w:r w:rsidR="005D5527" w:rsidRPr="00862598">
        <w:rPr>
          <w:rFonts w:ascii="Times New Roman" w:hAnsi="Times New Roman" w:cs="Times New Roman"/>
        </w:rPr>
        <w:t>. With nearly 60% of fall injuries occurring to the upper limb, head or trunk</w:t>
      </w:r>
      <w:r w:rsidR="008819E5" w:rsidRPr="00862598">
        <w:rPr>
          <w:rFonts w:ascii="Times New Roman" w:hAnsi="Times New Roman" w:cs="Times New Roman"/>
        </w:rPr>
        <w:t xml:space="preserve"> </w:t>
      </w:r>
      <w:r w:rsidR="008819E5" w:rsidRPr="00862598">
        <w:rPr>
          <w:rFonts w:ascii="Times New Roman" w:hAnsi="Times New Roman" w:cs="Times New Roman"/>
        </w:rPr>
        <w:fldChar w:fldCharType="begin" w:fldLock="1"/>
      </w:r>
      <w:r w:rsidR="005B5832" w:rsidRPr="00862598">
        <w:rPr>
          <w:rFonts w:ascii="Times New Roman" w:hAnsi="Times New Roman" w:cs="Times New Roman"/>
        </w:rPr>
        <w:instrText>ADDIN CSL_CITATION {"citationItems":[{"id":"ITEM-1","itemData":{"abstract":"This report provides policy makers, researchers, community programmers and practitioners with current national information to prevent falls among seniors.","author":[{"dropping-particle":"","family":"Public Health Agency of Canada","given":"","non-dropping-particle":"","parse-names":false,"suffix":""}],"id":"ITEM-1","issued":{"date-parts":[["2014"]]},"publisher-place":"Ottawa, ON","title":"Seniors' Falls in Canada: Second Report - Public Health Agency of Canada","type":"report"},"uris":["http://www.mendeley.com/documents/?uuid=aab752e0-491f-31e7-95a0-7614fbbad566"]}],"mendeley":{"formattedCitation":"(Public Health Agency of Canada, 2014)","plainTextFormattedCitation":"(Public Health Agency of Canada, 2014)","previouslyFormattedCitation":"(Public Health Agency of Canada, 2014)"},"properties":{"noteIndex":0},"schema":"https://github.com/citation-style-language/schema/raw/master/csl-citation.json"}</w:instrText>
      </w:r>
      <w:r w:rsidR="008819E5" w:rsidRPr="00862598">
        <w:rPr>
          <w:rFonts w:ascii="Times New Roman" w:hAnsi="Times New Roman" w:cs="Times New Roman"/>
        </w:rPr>
        <w:fldChar w:fldCharType="separate"/>
      </w:r>
      <w:r w:rsidR="00BB5C78" w:rsidRPr="00862598">
        <w:rPr>
          <w:rFonts w:ascii="Times New Roman" w:hAnsi="Times New Roman" w:cs="Times New Roman"/>
          <w:noProof/>
        </w:rPr>
        <w:t>(Public Health Agency of Canada, 2014)</w:t>
      </w:r>
      <w:r w:rsidR="008819E5" w:rsidRPr="00862598">
        <w:rPr>
          <w:rFonts w:ascii="Times New Roman" w:hAnsi="Times New Roman" w:cs="Times New Roman"/>
        </w:rPr>
        <w:fldChar w:fldCharType="end"/>
      </w:r>
      <w:r w:rsidR="005D5527" w:rsidRPr="00862598">
        <w:rPr>
          <w:rFonts w:ascii="Times New Roman" w:hAnsi="Times New Roman" w:cs="Times New Roman"/>
        </w:rPr>
        <w:t xml:space="preserve">, </w:t>
      </w:r>
      <w:r w:rsidR="00092ABC" w:rsidRPr="00862598">
        <w:rPr>
          <w:rFonts w:ascii="Times New Roman" w:hAnsi="Times New Roman" w:cs="Times New Roman"/>
        </w:rPr>
        <w:t xml:space="preserve">and falls responsible for </w:t>
      </w:r>
      <w:r w:rsidR="009F4281" w:rsidRPr="00862598">
        <w:rPr>
          <w:rFonts w:ascii="Times New Roman" w:hAnsi="Times New Roman" w:cs="Times New Roman"/>
        </w:rPr>
        <w:t>8</w:t>
      </w:r>
      <w:r w:rsidR="00092ABC" w:rsidRPr="00862598">
        <w:rPr>
          <w:rFonts w:ascii="Times New Roman" w:hAnsi="Times New Roman" w:cs="Times New Roman"/>
        </w:rPr>
        <w:t>0 % of hospital admissions for traumatic brain injury</w:t>
      </w:r>
      <w:r w:rsidR="009F4281" w:rsidRPr="00862598">
        <w:rPr>
          <w:rFonts w:ascii="Times New Roman" w:hAnsi="Times New Roman" w:cs="Times New Roman"/>
        </w:rPr>
        <w:t xml:space="preserve"> </w:t>
      </w:r>
      <w:r w:rsidR="009F4281" w:rsidRPr="00862598">
        <w:rPr>
          <w:rFonts w:ascii="Times New Roman" w:hAnsi="Times New Roman" w:cs="Times New Roman"/>
        </w:rPr>
        <w:fldChar w:fldCharType="begin" w:fldLock="1"/>
      </w:r>
      <w:r w:rsidR="005B5832" w:rsidRPr="00862598">
        <w:rPr>
          <w:rFonts w:ascii="Times New Roman" w:hAnsi="Times New Roman" w:cs="Times New Roman"/>
        </w:rPr>
        <w:instrText>ADDIN CSL_CITATION {"citationItems":[{"id":"ITEM-1","itemData":{"DOI":"10.1016/j.injury.2012.07.188","ISBN":"1879-0267 (Electronic)\\r0020-1383 (Linking)","ISSN":"00201383","PMID":"22884759","abstract":"Introduction: Traumatic brain injury is of particular concern in the older population. We aimed to examine the trends in hospitalisations, causes and consequences of TBI in older adults in New South Wales, Australia. Methods: TBI cases from 1 July 1998 to 30 June 2011 were identified from hospitalisation data for all public and private hospitals in NSW. Direct aged standardised admission rates were calculated. Negative binomial regression modelling was used to examine the statistical significance of changes in trend over time. Results: There were 12,564 hospitalisations for TBI over the 13 year study period. Hospitalisation rates for TBI among the older population increased by 7.2% (95% CI 6.4-8.0, p &lt;.0001) per year from 19.3/100,000 to 72.2/100,000. Males had a consistently higher hospitalisation rate. Just under one third of all hospitalisations were for adults aged 85 years and over. Traumatic subdural haemorrhage (42.9%), concussive injury (24.1%) and traumatic subarachnoid haemorrhage (12.7%) were the most common type of injury. Falls were the most common cause of TBI (82.9%). Rates of fall-related TBI increased by 8.4% (95% CI 7.5-9.3, p &lt;.001) per year, whilst non-fall related head injury increased by 2.1% (95% CI 0.9-3.3, p &lt;.0001) per year. The majority of falls were as a result of a fall on the same level and occurred at home. 13% of hospitalisations resulted in death, and the majority occurred in those who sustained a traumatic subdural haemorrhage. Conclusions: The rapid increase in hospitalised TBI is being predominantly driven by falls in the oldest old and the greatest increase predominantly in intracranial haemorrhages, highlighting the need for future research to quantify the risk versus benefit of anticoagulant therapies. ?? 2012 Elsevier Ltd. All rights reserved.","author":[{"dropping-particle":"","family":"Harvey","given":"Lara A.","non-dropping-particle":"","parse-names":false,"suffix":""},{"dropping-particle":"","family":"Close","given":"Jacqueline C T","non-dropping-particle":"","parse-names":false,"suffix":""}],"container-title":"Injury","id":"ITEM-1","issue":"11","issued":{"date-parts":[["2012"]]},"page":"1821-1826","publisher":"Elsevier Ltd","title":"Traumatic brain injury in older adults: Characteristics, causes and consequences","type":"article-journal","volume":"43"},"uris":["http://www.mendeley.com/documents/?uuid=96c88acd-c413-4571-b348-e73c33787414"]}],"mendeley":{"formattedCitation":"(Harvey &amp; Close, 2012)","plainTextFormattedCitation":"(Harvey &amp; Close, 2012)","previouslyFormattedCitation":"(Harvey &amp; Close, 2012)"},"properties":{"noteIndex":0},"schema":"https://github.com/citation-style-language/schema/raw/master/csl-citation.json"}</w:instrText>
      </w:r>
      <w:r w:rsidR="009F4281" w:rsidRPr="00862598">
        <w:rPr>
          <w:rFonts w:ascii="Times New Roman" w:hAnsi="Times New Roman" w:cs="Times New Roman"/>
        </w:rPr>
        <w:fldChar w:fldCharType="separate"/>
      </w:r>
      <w:r w:rsidR="005B5832" w:rsidRPr="00862598">
        <w:rPr>
          <w:rFonts w:ascii="Times New Roman" w:hAnsi="Times New Roman" w:cs="Times New Roman"/>
          <w:noProof/>
        </w:rPr>
        <w:t>(Harvey &amp; Close, 2012)</w:t>
      </w:r>
      <w:r w:rsidR="009F4281" w:rsidRPr="00862598">
        <w:rPr>
          <w:rFonts w:ascii="Times New Roman" w:hAnsi="Times New Roman" w:cs="Times New Roman"/>
        </w:rPr>
        <w:fldChar w:fldCharType="end"/>
      </w:r>
      <w:r w:rsidR="00092ABC" w:rsidRPr="00862598">
        <w:rPr>
          <w:rFonts w:ascii="Times New Roman" w:hAnsi="Times New Roman" w:cs="Times New Roman"/>
        </w:rPr>
        <w:t xml:space="preserve">, forward fall-related </w:t>
      </w:r>
      <w:r w:rsidR="005D5527" w:rsidRPr="00862598">
        <w:rPr>
          <w:rFonts w:ascii="Times New Roman" w:hAnsi="Times New Roman" w:cs="Times New Roman"/>
        </w:rPr>
        <w:t xml:space="preserve">injuries </w:t>
      </w:r>
      <w:r w:rsidR="00092ABC" w:rsidRPr="00862598">
        <w:rPr>
          <w:rFonts w:ascii="Times New Roman" w:hAnsi="Times New Roman" w:cs="Times New Roman"/>
        </w:rPr>
        <w:t xml:space="preserve">can have a substantial impact on an </w:t>
      </w:r>
      <w:r w:rsidR="005D5527" w:rsidRPr="00862598">
        <w:rPr>
          <w:rFonts w:ascii="Times New Roman" w:hAnsi="Times New Roman" w:cs="Times New Roman"/>
        </w:rPr>
        <w:t xml:space="preserve">individual’s independence and generate a strain on the health care system </w:t>
      </w:r>
      <w:r w:rsidR="005D5527" w:rsidRPr="00862598">
        <w:rPr>
          <w:rFonts w:ascii="Times New Roman" w:hAnsi="Times New Roman" w:cs="Times New Roman"/>
        </w:rPr>
        <w:fldChar w:fldCharType="begin" w:fldLock="1"/>
      </w:r>
      <w:r w:rsidR="005B5832" w:rsidRPr="00862598">
        <w:rPr>
          <w:rFonts w:ascii="Times New Roman" w:hAnsi="Times New Roman" w:cs="Times New Roman"/>
        </w:rPr>
        <w:instrText>ADDIN CSL_CITATION {"citationItems":[{"id":"ITEM-1","itemData":{"abstract":"This report provides policy makers, researchers, community programmers and practitioners with current national information to prevent falls among seniors.","author":[{"dropping-particle":"","family":"Public Health Agency of Canada","given":"","non-dropping-particle":"","parse-names":false,"suffix":""}],"id":"ITEM-1","issued":{"date-parts":[["2014"]]},"publisher-place":"Ottawa, ON","title":"Seniors' Falls in Canada: Second Report - Public Health Agency of Canada","type":"report"},"uris":["http://www.mendeley.com/documents/?uuid=aab752e0-491f-31e7-95a0-7614fbbad566"]}],"mendeley":{"formattedCitation":"(Public Health Agency of Canada, 2014)","plainTextFormattedCitation":"(Public Health Agency of Canada, 2014)","previouslyFormattedCitation":"(Public Health Agency of Canada, 2014)"},"properties":{"noteIndex":0},"schema":"https://github.com/citation-style-language/schema/raw/master/csl-citation.json"}</w:instrText>
      </w:r>
      <w:r w:rsidR="005D5527" w:rsidRPr="00862598">
        <w:rPr>
          <w:rFonts w:ascii="Times New Roman" w:hAnsi="Times New Roman" w:cs="Times New Roman"/>
        </w:rPr>
        <w:fldChar w:fldCharType="separate"/>
      </w:r>
      <w:r w:rsidR="00BB5C78" w:rsidRPr="00862598">
        <w:rPr>
          <w:rFonts w:ascii="Times New Roman" w:hAnsi="Times New Roman" w:cs="Times New Roman"/>
          <w:noProof/>
        </w:rPr>
        <w:t>(Public Health Agency of Canada, 2014)</w:t>
      </w:r>
      <w:r w:rsidR="005D5527" w:rsidRPr="00862598">
        <w:rPr>
          <w:rFonts w:ascii="Times New Roman" w:hAnsi="Times New Roman" w:cs="Times New Roman"/>
        </w:rPr>
        <w:fldChar w:fldCharType="end"/>
      </w:r>
      <w:r w:rsidR="005D5527" w:rsidRPr="00862598">
        <w:rPr>
          <w:rFonts w:ascii="Times New Roman" w:hAnsi="Times New Roman" w:cs="Times New Roman"/>
        </w:rPr>
        <w:t xml:space="preserve">. </w:t>
      </w:r>
    </w:p>
    <w:p w14:paraId="1728AA60" w14:textId="09E33FBA" w:rsidR="00AB2EFA" w:rsidRPr="0056734C" w:rsidRDefault="00092ABC" w:rsidP="002C3226">
      <w:pPr>
        <w:spacing w:line="480" w:lineRule="auto"/>
        <w:ind w:firstLine="720"/>
        <w:textAlignment w:val="baseline"/>
        <w:rPr>
          <w:rFonts w:ascii="Calibri" w:eastAsia="Times New Roman" w:hAnsi="Calibri" w:cs="Calibri"/>
          <w:color w:val="4472C4" w:themeColor="accent1"/>
          <w:bdr w:val="none" w:sz="0" w:space="0" w:color="auto" w:frame="1"/>
        </w:rPr>
      </w:pPr>
      <w:r w:rsidRPr="009B2CDA">
        <w:rPr>
          <w:rFonts w:ascii="Times New Roman" w:hAnsi="Times New Roman" w:cs="Times New Roman"/>
        </w:rPr>
        <w:t>The pre-impact responses of initiating arm motion towards a sturdy surface and then</w:t>
      </w:r>
      <w:r w:rsidR="009C1719" w:rsidRPr="009B2CDA">
        <w:rPr>
          <w:rFonts w:ascii="Times New Roman" w:hAnsi="Times New Roman" w:cs="Times New Roman"/>
        </w:rPr>
        <w:t xml:space="preserve"> placing the hands and arms in</w:t>
      </w:r>
      <w:r w:rsidRPr="009B2CDA">
        <w:rPr>
          <w:rFonts w:ascii="Times New Roman" w:hAnsi="Times New Roman" w:cs="Times New Roman"/>
        </w:rPr>
        <w:t xml:space="preserve"> a landing position </w:t>
      </w:r>
      <w:r w:rsidR="009C1719" w:rsidRPr="009B2CDA">
        <w:rPr>
          <w:rFonts w:ascii="Times New Roman" w:hAnsi="Times New Roman" w:cs="Times New Roman"/>
        </w:rPr>
        <w:t xml:space="preserve">helps to determine </w:t>
      </w:r>
      <w:r w:rsidR="009C1719" w:rsidRPr="00AF7D67">
        <w:rPr>
          <w:rFonts w:ascii="Times New Roman" w:hAnsi="Times New Roman" w:cs="Times New Roman"/>
        </w:rPr>
        <w:t>the effective neuromuscular management of the impact forces</w:t>
      </w:r>
      <w:r w:rsidRPr="00AF7D67">
        <w:rPr>
          <w:rFonts w:ascii="Times New Roman" w:hAnsi="Times New Roman" w:cs="Times New Roman"/>
        </w:rPr>
        <w:t xml:space="preserve"> </w:t>
      </w:r>
      <w:r w:rsidRPr="00AF7D67">
        <w:rPr>
          <w:rFonts w:ascii="Times New Roman" w:hAnsi="Times New Roman" w:cs="Times New Roman"/>
        </w:rPr>
        <w:fldChar w:fldCharType="begin" w:fldLock="1"/>
      </w:r>
      <w:r w:rsidR="00B84FB4" w:rsidRPr="00AF7D67">
        <w:rPr>
          <w:rFonts w:ascii="Times New Roman" w:hAnsi="Times New Roman" w:cs="Times New Roman"/>
        </w:rPr>
        <w:instrText>ADDIN CSL_CITATION {"citationItems":[{"id":"ITEM-1","itemData":{"DOI":"10.1016/S0021-9290(03)00034-4","ISBN":"0021-9290","ISSN":"00219290","PMID":"12757814","abstract":"Although the epidemiology of fall-related injuries is well established for the elderly population over 65 years of age, the biomechanics of how, when and why injuries do and do not occur when arresting a fall have received relatively little attention. This paper reviews the epidemiological literature in the MEDLINE data base pertinent to the biomechanics of fall-related injuries, including data on fall rates, fall-related injury rates, fall directions and types of injuries available. It also covers primary sources not listed on MEDLINE, along with the pertinent biomechanics literature. Many falls in older adults are in a forward direction, and as a result the upper extremities are one of the most commonly injured structures, presumably in protecting the head and torso. In this review emphasis is placed on what is, and what is not, known of the biomechanical factors that determine the impact forces and injury risk associated with upper extremity injuries in forward falls. While decreased bone mineral density may be contributory, it is not a reliable predictor of fracture risk. Evidence is presented that fall-related impact forces can be reduced by appropriate volitional arrest strategies. Further theoretical and experimental research is needed to identify appropriate fall-arrest strategies for the elderly, as well as the physical capacities and skills required to do so. Inexpensive interventions might then be developed to teach safe fall-arrest techniques to older individuals. © 2003 Elsevier Science Ltd. All rights reserved.","author":[{"dropping-particle":"","family":"DeGoede","given":"K. M.","non-dropping-particle":"","parse-names":false,"suffix":""},{"dropping-particle":"","family":"Ashton-Miller","given":"J. A.","non-dropping-particle":"","parse-names":false,"suffix":""},{"dropping-particle":"","family":"Schultz","given":"A. B.","non-dropping-particle":"","parse-names":false,"suffix":""}],"container-title":"Journal of Biomechanics","id":"ITEM-1","issue":"7","issued":{"date-parts":[["2003"]]},"page":"1043-1053","title":"Fall-related upper body injuries in the older adult: A review of the biomechanical issues","type":"article-journal","volume":"36"},"uris":["http://www.mendeley.com/documents/?uuid=e06d0119-b0bd-4a42-bc7f-571040611ee1"]}],"mendeley":{"formattedCitation":"(K. M. DeGoede et al., 2003)","manualFormatting":"(DeGoede et al., 2003)","plainTextFormattedCitation":"(K. M. DeGoede et al., 2003)","previouslyFormattedCitation":"(K. M. DeGoede et al., 2003)"},"properties":{"noteIndex":0},"schema":"https://github.com/citation-style-language/schema/raw/master/csl-citation.json"}</w:instrText>
      </w:r>
      <w:r w:rsidRPr="00AF7D67">
        <w:rPr>
          <w:rFonts w:ascii="Times New Roman" w:hAnsi="Times New Roman" w:cs="Times New Roman"/>
        </w:rPr>
        <w:fldChar w:fldCharType="separate"/>
      </w:r>
      <w:r w:rsidR="005B5832" w:rsidRPr="00AF7D67">
        <w:rPr>
          <w:rFonts w:ascii="Times New Roman" w:hAnsi="Times New Roman" w:cs="Times New Roman"/>
          <w:noProof/>
        </w:rPr>
        <w:t>(DeGoede et al., 2003)</w:t>
      </w:r>
      <w:r w:rsidRPr="00AF7D67">
        <w:rPr>
          <w:rFonts w:ascii="Times New Roman" w:hAnsi="Times New Roman" w:cs="Times New Roman"/>
        </w:rPr>
        <w:fldChar w:fldCharType="end"/>
      </w:r>
      <w:r w:rsidRPr="00AF7D67">
        <w:rPr>
          <w:rFonts w:ascii="Times New Roman" w:hAnsi="Times New Roman" w:cs="Times New Roman"/>
        </w:rPr>
        <w:t>.</w:t>
      </w:r>
      <w:r w:rsidR="00A0247E" w:rsidRPr="00AF7D67">
        <w:rPr>
          <w:rFonts w:ascii="Times New Roman" w:hAnsi="Times New Roman" w:cs="Times New Roman"/>
        </w:rPr>
        <w:t xml:space="preserve"> </w:t>
      </w:r>
      <w:r w:rsidR="00AF7D67" w:rsidRPr="00862598">
        <w:rPr>
          <w:rFonts w:ascii="Times New Roman" w:hAnsi="Times New Roman" w:cs="Times New Roman"/>
        </w:rPr>
        <w:t>During forward fall landing on outstretched hands,</w:t>
      </w:r>
      <w:r w:rsidR="00A0247E" w:rsidRPr="00862598">
        <w:rPr>
          <w:rFonts w:ascii="Times New Roman" w:hAnsi="Times New Roman" w:cs="Times New Roman"/>
        </w:rPr>
        <w:t xml:space="preserve"> there is a requirement on the upper extremity to absorb the forces generated and to reduce the body’s momentum </w:t>
      </w:r>
      <w:r w:rsidR="00A0247E" w:rsidRPr="00862598">
        <w:rPr>
          <w:rFonts w:ascii="Times New Roman" w:hAnsi="Times New Roman" w:cs="Times New Roman"/>
        </w:rPr>
        <w:fldChar w:fldCharType="begin" w:fldLock="1"/>
      </w:r>
      <w:r w:rsidR="00B248A5" w:rsidRPr="00862598">
        <w:rPr>
          <w:rFonts w:ascii="Times New Roman" w:hAnsi="Times New Roman" w:cs="Times New Roman"/>
        </w:rPr>
        <w:instrText>ADDIN CSL_CITATION {"citationItems":[{"id":"ITEM-1","itemData":{"DOI":"10.1111/j.1532-5415.1993.tb07307.x","ISSN":"00028614","author":[{"dropping-particle":"","family":"Nevitt","given":"Michael C.","non-dropping-particle":"","parse-names":false,"suffix":""},{"dropping-particle":"","family":"Cummings","given":"Steven R.","non-dropping-particle":"","parse-names":false,"suffix":""}],"container-title":"Journal of the American Geriatrics Society","id":"ITEM-1","issue":"11","issued":{"date-parts":[["1993","11","1"]]},"page":"1226-1234","publisher":"Blackwell Publishing Ltd","title":"Type of fall and risk of hip and wrist fractures: The study of osteoporotic fractures","type":"article-journal","volume":"41"},"uris":["http://www.mendeley.com/documents/?uuid=d1c8cf93-9c19-3ccf-b5e2-342f32d6e290"]}],"mendeley":{"formattedCitation":"(Nevitt &amp; Cummings, 1993)","plainTextFormattedCitation":"(Nevitt &amp; Cummings, 1993)","previouslyFormattedCitation":"(Nevitt &amp; Cummings, 1993)"},"properties":{"noteIndex":0},"schema":"https://github.com/citation-style-language/schema/raw/master/csl-citation.json"}</w:instrText>
      </w:r>
      <w:r w:rsidR="00A0247E" w:rsidRPr="00862598">
        <w:rPr>
          <w:rFonts w:ascii="Times New Roman" w:hAnsi="Times New Roman" w:cs="Times New Roman"/>
        </w:rPr>
        <w:fldChar w:fldCharType="separate"/>
      </w:r>
      <w:r w:rsidR="00C52BB6" w:rsidRPr="00862598">
        <w:rPr>
          <w:rFonts w:ascii="Times New Roman" w:hAnsi="Times New Roman" w:cs="Times New Roman"/>
          <w:noProof/>
        </w:rPr>
        <w:t>(Nevitt &amp; Cummings, 1993)</w:t>
      </w:r>
      <w:r w:rsidR="00A0247E" w:rsidRPr="00862598">
        <w:rPr>
          <w:rFonts w:ascii="Times New Roman" w:hAnsi="Times New Roman" w:cs="Times New Roman"/>
        </w:rPr>
        <w:fldChar w:fldCharType="end"/>
      </w:r>
      <w:r w:rsidR="00A0247E" w:rsidRPr="00862598">
        <w:rPr>
          <w:rFonts w:ascii="Times New Roman" w:hAnsi="Times New Roman" w:cs="Times New Roman"/>
        </w:rPr>
        <w:t>.</w:t>
      </w:r>
      <w:r w:rsidRPr="00862598">
        <w:rPr>
          <w:rFonts w:ascii="Times New Roman" w:hAnsi="Times New Roman" w:cs="Times New Roman"/>
        </w:rPr>
        <w:t xml:space="preserve"> </w:t>
      </w:r>
      <w:r w:rsidR="002C3226" w:rsidRPr="00862598">
        <w:rPr>
          <w:rFonts w:ascii="Times New Roman" w:eastAsia="Times New Roman" w:hAnsi="Times New Roman" w:cs="Times New Roman"/>
          <w:bdr w:val="none" w:sz="0" w:space="0" w:color="auto" w:frame="1"/>
        </w:rPr>
        <w:t xml:space="preserve">Video footage of falls in a </w:t>
      </w:r>
      <w:r w:rsidR="002C3226" w:rsidRPr="00862598">
        <w:rPr>
          <w:rFonts w:ascii="Times New Roman" w:eastAsia="Times New Roman" w:hAnsi="Times New Roman" w:cs="Times New Roman"/>
          <w:bdr w:val="none" w:sz="0" w:space="0" w:color="auto" w:frame="1"/>
        </w:rPr>
        <w:lastRenderedPageBreak/>
        <w:t xml:space="preserve">long-term care setting found that the odds of head impact was almost three times greater in forward falls compared to backwards or sideways falls with hand impact. In 97% of falls initiated in a forward direction, there was head impact suggesting that older adults in long-term care may be utilizing an UE protective response that is ineffective in reducing head impact </w:t>
      </w:r>
      <w:r w:rsidR="002C3226" w:rsidRPr="00862598">
        <w:rPr>
          <w:rFonts w:ascii="Times New Roman" w:eastAsia="Times New Roman" w:hAnsi="Times New Roman" w:cs="Times New Roman"/>
          <w:bdr w:val="none" w:sz="0" w:space="0" w:color="auto" w:frame="1"/>
        </w:rPr>
        <w:fldChar w:fldCharType="begin" w:fldLock="1"/>
      </w:r>
      <w:r w:rsidR="002C3226" w:rsidRPr="00862598">
        <w:rPr>
          <w:rFonts w:ascii="Times New Roman" w:eastAsia="Times New Roman" w:hAnsi="Times New Roman" w:cs="Times New Roman"/>
          <w:bdr w:val="none" w:sz="0" w:space="0" w:color="auto" w:frame="1"/>
        </w:rPr>
        <w:instrText>ADDIN CSL_CITATION {"citationItems":[{"id":"ITEM-1","itemData":{"DOI":"10.1503/cmaj.130498","ISSN":"0820-3946","abstract":"Background: Falls cause more than 60% of head injuries in older adults. Lack of objective evidence on the circumstances of these events is a barrier to prevention. We analyzed video footage to determine the frequency of and risk factors for head impact during falls in older adults in 2 long-term care facilities. Methods: Over 39 months, we captured on video 227 falls involving 133 residents. We used a validated questionnaire to analyze the mechanisms of each fall. We then examined whether the probability for head impact was associated with upper-limb protective re - sponses (hand impact) and fall direction. Results: Head impact occurred in 37% of falls, usually onto a vinyl or linoleum floor. Hand impact occurred in 74% of falls but had no sig- nificant effect on the probability of head impact (p = 0.3). An increased probability of head impact was associated with a forward initial fall direction, compared with backward falls (odds ratio [OR] 2.7, 95% confidence interval [CI] 1.3– 5.9) or sideways falls (OR 2.8, 95% CI 1.2–6.3). In 36% of sideways falls, residents rotated to land backwards, which reduced the probability of head impact (OR 0.2, 95% CI 0.04–0.8). Interpretation: Head impact was common in observed falls in older adults living in long- term care facilities, particularly in forward falls. Backward rotation during descent ap - peared to be protective, but hand impact was not. Attention to upper-limb strength and teaching rotational falling techniques (as in martial arts training) may reduce fall-related head injuries in older adults","author":[{"dropping-particle":"","family":"Schonnop","given":"Rebecca","non-dropping-particle":"","parse-names":false,"suffix":""},{"dropping-particle":"","family":"Yang","given":"Yijian","non-dropping-particle":"","parse-names":false,"suffix":""},{"dropping-particle":"","family":"Feldman","given":"Fabio","non-dropping-particle":"","parse-names":false,"suffix":""},{"dropping-particle":"","family":"Robinson","given":"Erin","non-dropping-particle":"","parse-names":false,"suffix":""},{"dropping-particle":"","family":"Loughin","given":"M.","non-dropping-particle":"","parse-names":false,"suffix":""},{"dropping-particle":"","family":"Robinovitch","given":"Stephen N","non-dropping-particle":"","parse-names":false,"suffix":""}],"container-title":"Canadian Medical Association Journal","id":"ITEM-1","issue":"17","issued":{"date-parts":[["2013","11","19"]]},"page":"E803-E810","title":"Prevalence of and factors associated with head impact during falls in older adults in long-term care","type":"article-journal","volume":"185"},"uris":["http://www.mendeley.com/documents/?uuid=4386b2ef-abc4-4085-bf32-2aa36df2836b"]}],"mendeley":{"formattedCitation":"(Schonnop et al., 2013)","plainTextFormattedCitation":"(Schonnop et al., 2013)","previouslyFormattedCitation":"(Schonnop et al., 2013)"},"properties":{"noteIndex":0},"schema":"https://github.com/citation-style-language/schema/raw/master/csl-citation.json"}</w:instrText>
      </w:r>
      <w:r w:rsidR="002C3226" w:rsidRPr="00862598">
        <w:rPr>
          <w:rFonts w:ascii="Times New Roman" w:eastAsia="Times New Roman" w:hAnsi="Times New Roman" w:cs="Times New Roman"/>
          <w:bdr w:val="none" w:sz="0" w:space="0" w:color="auto" w:frame="1"/>
        </w:rPr>
        <w:fldChar w:fldCharType="separate"/>
      </w:r>
      <w:r w:rsidR="002C3226" w:rsidRPr="00862598">
        <w:rPr>
          <w:rFonts w:ascii="Times New Roman" w:eastAsia="Times New Roman" w:hAnsi="Times New Roman" w:cs="Times New Roman"/>
          <w:noProof/>
          <w:bdr w:val="none" w:sz="0" w:space="0" w:color="auto" w:frame="1"/>
        </w:rPr>
        <w:t>(Schonnop et al., 2013)</w:t>
      </w:r>
      <w:r w:rsidR="002C3226" w:rsidRPr="00862598">
        <w:rPr>
          <w:rFonts w:ascii="Times New Roman" w:eastAsia="Times New Roman" w:hAnsi="Times New Roman" w:cs="Times New Roman"/>
          <w:bdr w:val="none" w:sz="0" w:space="0" w:color="auto" w:frame="1"/>
        </w:rPr>
        <w:fldChar w:fldCharType="end"/>
      </w:r>
      <w:r w:rsidR="002C3226" w:rsidRPr="00862598">
        <w:rPr>
          <w:rFonts w:ascii="Times New Roman" w:eastAsia="Times New Roman" w:hAnsi="Times New Roman" w:cs="Times New Roman"/>
          <w:bdr w:val="none" w:sz="0" w:space="0" w:color="auto" w:frame="1"/>
        </w:rPr>
        <w:t xml:space="preserve">. </w:t>
      </w:r>
      <w:r w:rsidR="0037052F" w:rsidRPr="00862598">
        <w:rPr>
          <w:rFonts w:ascii="Times New Roman" w:hAnsi="Times New Roman" w:cs="Times New Roman"/>
        </w:rPr>
        <w:t>Older adults may avoid serious fall-related injuries</w:t>
      </w:r>
      <w:r w:rsidR="00A0247E" w:rsidRPr="00862598">
        <w:rPr>
          <w:rFonts w:ascii="Times New Roman" w:hAnsi="Times New Roman" w:cs="Times New Roman"/>
        </w:rPr>
        <w:t>, such as those to the head and trunk,</w:t>
      </w:r>
      <w:r w:rsidR="0037052F" w:rsidRPr="0056734C">
        <w:rPr>
          <w:rFonts w:ascii="Times New Roman" w:hAnsi="Times New Roman" w:cs="Times New Roman"/>
        </w:rPr>
        <w:t xml:space="preserve"> by initiating </w:t>
      </w:r>
      <w:r w:rsidR="009C1719" w:rsidRPr="0056734C">
        <w:rPr>
          <w:rFonts w:ascii="Times New Roman" w:hAnsi="Times New Roman" w:cs="Times New Roman"/>
        </w:rPr>
        <w:t>these pre-impact strategies</w:t>
      </w:r>
      <w:r w:rsidR="002A45C7" w:rsidRPr="0056734C">
        <w:rPr>
          <w:rFonts w:ascii="Times New Roman" w:hAnsi="Times New Roman" w:cs="Times New Roman"/>
        </w:rPr>
        <w:t xml:space="preserve"> </w:t>
      </w:r>
      <w:r w:rsidR="009C1719" w:rsidRPr="0056734C">
        <w:rPr>
          <w:rFonts w:ascii="Times New Roman" w:hAnsi="Times New Roman" w:cs="Times New Roman"/>
        </w:rPr>
        <w:t xml:space="preserve">and thus, </w:t>
      </w:r>
      <w:r w:rsidR="002A45C7" w:rsidRPr="0056734C">
        <w:rPr>
          <w:rFonts w:ascii="Times New Roman" w:hAnsi="Times New Roman" w:cs="Times New Roman"/>
        </w:rPr>
        <w:t>mitigat</w:t>
      </w:r>
      <w:r w:rsidR="009D7317" w:rsidRPr="0056734C">
        <w:rPr>
          <w:rFonts w:ascii="Times New Roman" w:hAnsi="Times New Roman" w:cs="Times New Roman"/>
        </w:rPr>
        <w:t>ing</w:t>
      </w:r>
      <w:r w:rsidR="002A45C7" w:rsidRPr="0056734C">
        <w:rPr>
          <w:rFonts w:ascii="Times New Roman" w:hAnsi="Times New Roman" w:cs="Times New Roman"/>
        </w:rPr>
        <w:t xml:space="preserve"> the bod</w:t>
      </w:r>
      <w:r w:rsidR="004832E6" w:rsidRPr="0056734C">
        <w:rPr>
          <w:rFonts w:ascii="Times New Roman" w:hAnsi="Times New Roman" w:cs="Times New Roman"/>
        </w:rPr>
        <w:t>y’s</w:t>
      </w:r>
      <w:r w:rsidR="002A45C7" w:rsidRPr="0056734C">
        <w:rPr>
          <w:rFonts w:ascii="Times New Roman" w:hAnsi="Times New Roman" w:cs="Times New Roman"/>
        </w:rPr>
        <w:t xml:space="preserve"> response to the impact force</w:t>
      </w:r>
      <w:r w:rsidR="00105D7B" w:rsidRPr="0056734C">
        <w:rPr>
          <w:rFonts w:ascii="Times New Roman" w:hAnsi="Times New Roman" w:cs="Times New Roman"/>
        </w:rPr>
        <w:t xml:space="preserve">s </w:t>
      </w:r>
      <w:r w:rsidR="00105D7B" w:rsidRPr="0056734C">
        <w:rPr>
          <w:rFonts w:ascii="Times New Roman" w:hAnsi="Times New Roman" w:cs="Times New Roman"/>
        </w:rPr>
        <w:fldChar w:fldCharType="begin" w:fldLock="1"/>
      </w:r>
      <w:r w:rsidR="00035D59" w:rsidRPr="0056734C">
        <w:rPr>
          <w:rFonts w:ascii="Times New Roman" w:hAnsi="Times New Roman" w:cs="Times New Roman"/>
        </w:rPr>
        <w:instrText>ADDIN CSL_CITATION {"citationItems":[{"id":"ITEM-1","itemData":{"DOI":"10.1016/S0021-9290(03)00034-4","ISBN":"0021-9290","ISSN":"00219290","PMID":"12757814","abstract":"Although the epidemiology of fall-related injuries is well established for the elderly population over 65 years of age, the biomechanics of how, when and why injuries do and do not occur when arresting a fall have received relatively little attention. This paper reviews the epidemiological literature in the MEDLINE data base pertinent to the biomechanics of fall-related injuries, including data on fall rates, fall-related injury rates, fall directions and types of injuries available. It also covers primary sources not listed on MEDLINE, along with the pertinent biomechanics literature. Many falls in older adults are in a forward direction, and as a result the upper extremities are one of the most commonly injured structures, presumably in protecting the head and torso. In this review emphasis is placed on what is, and what is not, known of the biomechanical factors that determine the impact forces and injury risk associated with upper extremity injuries in forward falls. While decreased bone mineral density may be contributory, it is not a reliable predictor of fracture risk. Evidence is presented that fall-related impact forces can be reduced by appropriate volitional arrest strategies. Further theoretical and experimental research is needed to identify appropriate fall-arrest strategies for the elderly, as well as the physical capacities and skills required to do so. Inexpensive interventions might then be developed to teach safe fall-arrest techniques to older individuals. © 2003 Elsevier Science Ltd. All rights reserved.","author":[{"dropping-particle":"","family":"DeGoede","given":"K. M.","non-dropping-particle":"","parse-names":false,"suffix":""},{"dropping-particle":"","family":"Ashton-Miller","given":"J. A.","non-dropping-particle":"","parse-names":false,"suffix":""},{"dropping-particle":"","family":"Schultz","given":"A. B.","non-dropping-particle":"","parse-names":false,"suffix":""}],"container-title":"Journal of Biomechanics","id":"ITEM-1","issue":"7","issued":{"date-parts":[["2003"]]},"page":"1043-1053","title":"Fall-related upper body injuries in the older adult: A review of the biomechanical issues","type":"article-journal","volume":"36"},"uris":["http://www.mendeley.com/documents/?uuid=e06d0119-b0bd-4a42-bc7f-571040611ee1"]},{"id":"ITEM-2","itemData":{"DOI":"10.1016/S0268-0033(03)00005-6","ISBN":"0268-0033","ISSN":"02680033","PMID":"12689781","abstract":"Objective. This study tried to isolate critical biomechanical factors in fall arrests using the upper extremity during simulated forward falls. This study also attempted to find the differences in those factors between young and old age groups. Background. The role of the upper extremity is not well defined despite its primary usage as a local shock absorber during fall impact. Design. Comparative study in which two age groups underwent motion analysis. Methods. Ten healthy older males (mean age, 66.4 years) and 10 young males (mean age, 24.1 years) volunteered to perform self-initiated and cable-released falls at selected falling distances, while the joint motion and impact forces at the hand were recorded. Results. Significant age differences were demonstrated in joint kinematics and impact force parameters at close distances. Excessive reflexive responses of the upper extremity in cable-released falls for the older adults resulted in 10-15 times higher peak impact forces and 2-3 times shorter body braking time than in self-initiated falls. Conclusions. Pre-impact activities of the upper extremity predispose the post-impact response during fall arrests. Suppressing excessive pre-impact reflexive activation of the arms could efficiently decrease the risk of fall-related injuries, which calls for securing sufficient arm movement time. Any fall prevention strategy that can increase arm movement time would be effective against injuries of the upper extremity during falling in the older adults.Relevance The findings will help to understand underlying mechanisms of fall arrest using the upper extremity for prevention of fall-related fractures. ?? 2003 Elsevier Science Ltd. All rights reserved.","author":[{"dropping-particle":"","family":"Kim","given":"Kyu Jung","non-dropping-particle":"","parse-names":false,"suffix":""},{"dropping-particle":"","family":"Ashton-Miller","given":"James A.","non-dropping-particle":"","parse-names":false,"suffix":""}],"container-title":"Clinical Biomechanics","id":"ITEM-2","issue":"4","issued":{"date-parts":[["2003"]]},"page":"311-318","title":"Biomechanics of fall arrest using the upper extremity: Age differences","type":"article-journal","volume":"18"},"uris":["http://www.mendeley.com/documents/?uuid=6abd56db-e6bd-43ec-af5d-7fc998b5d941"]}],"mendeley":{"formattedCitation":"(K. M. DeGoede et al., 2003; Kim &amp; Ashton-Miller, 2003)","manualFormatting":"(DeGoede et al., 2003; Kim &amp; Ashton-Miller, 2003)","plainTextFormattedCitation":"(K. M. DeGoede et al., 2003; Kim &amp; Ashton-Miller, 2003)","previouslyFormattedCitation":"(K. M. DeGoede et al., 2003; Kim &amp; Ashton-Miller, 2003)"},"properties":{"noteIndex":0},"schema":"https://github.com/citation-style-language/schema/raw/master/csl-citation.json"}</w:instrText>
      </w:r>
      <w:r w:rsidR="00105D7B" w:rsidRPr="0056734C">
        <w:rPr>
          <w:rFonts w:ascii="Times New Roman" w:hAnsi="Times New Roman" w:cs="Times New Roman"/>
        </w:rPr>
        <w:fldChar w:fldCharType="separate"/>
      </w:r>
      <w:r w:rsidR="005B5832" w:rsidRPr="0056734C">
        <w:rPr>
          <w:rFonts w:ascii="Times New Roman" w:hAnsi="Times New Roman" w:cs="Times New Roman"/>
          <w:noProof/>
        </w:rPr>
        <w:t>(DeGoede et al., 2003; Kim &amp; Ashton-Miller, 2003)</w:t>
      </w:r>
      <w:r w:rsidR="00105D7B" w:rsidRPr="0056734C">
        <w:rPr>
          <w:rFonts w:ascii="Times New Roman" w:hAnsi="Times New Roman" w:cs="Times New Roman"/>
        </w:rPr>
        <w:fldChar w:fldCharType="end"/>
      </w:r>
      <w:r w:rsidR="002A45C7" w:rsidRPr="0056734C">
        <w:rPr>
          <w:rFonts w:ascii="Times New Roman" w:hAnsi="Times New Roman" w:cs="Times New Roman"/>
        </w:rPr>
        <w:t>.</w:t>
      </w:r>
      <w:r w:rsidR="00AB2EFA" w:rsidRPr="0056734C">
        <w:rPr>
          <w:rFonts w:ascii="Times New Roman" w:hAnsi="Times New Roman" w:cs="Times New Roman"/>
        </w:rPr>
        <w:t xml:space="preserve"> </w:t>
      </w:r>
      <w:r w:rsidR="00FC368E" w:rsidRPr="0056734C">
        <w:rPr>
          <w:rFonts w:ascii="Times New Roman" w:hAnsi="Times New Roman" w:cs="Times New Roman"/>
        </w:rPr>
        <w:t xml:space="preserve">Early onset arm responses are </w:t>
      </w:r>
      <w:r w:rsidR="00556869" w:rsidRPr="0056734C">
        <w:rPr>
          <w:rFonts w:ascii="Times New Roman" w:hAnsi="Times New Roman" w:cs="Times New Roman"/>
        </w:rPr>
        <w:t xml:space="preserve">necessary to achieve </w:t>
      </w:r>
      <w:r w:rsidR="001B3731" w:rsidRPr="0056734C">
        <w:rPr>
          <w:rFonts w:ascii="Times New Roman" w:hAnsi="Times New Roman" w:cs="Times New Roman"/>
        </w:rPr>
        <w:t>this</w:t>
      </w:r>
      <w:r w:rsidR="00556869" w:rsidRPr="0056734C">
        <w:rPr>
          <w:rFonts w:ascii="Times New Roman" w:hAnsi="Times New Roman" w:cs="Times New Roman"/>
        </w:rPr>
        <w:t xml:space="preserve"> </w:t>
      </w:r>
      <w:r w:rsidR="001B3731" w:rsidRPr="0056734C">
        <w:rPr>
          <w:rFonts w:ascii="Times New Roman" w:hAnsi="Times New Roman" w:cs="Times New Roman"/>
        </w:rPr>
        <w:t>timely</w:t>
      </w:r>
      <w:r w:rsidR="00556869" w:rsidRPr="0056734C">
        <w:rPr>
          <w:rFonts w:ascii="Times New Roman" w:hAnsi="Times New Roman" w:cs="Times New Roman"/>
        </w:rPr>
        <w:t xml:space="preserve"> </w:t>
      </w:r>
      <w:r w:rsidR="002A45C7" w:rsidRPr="0056734C">
        <w:rPr>
          <w:rFonts w:ascii="Times New Roman" w:hAnsi="Times New Roman" w:cs="Times New Roman"/>
        </w:rPr>
        <w:t xml:space="preserve">pre-impact </w:t>
      </w:r>
      <w:r w:rsidR="00556869" w:rsidRPr="0056734C">
        <w:rPr>
          <w:rFonts w:ascii="Times New Roman" w:hAnsi="Times New Roman" w:cs="Times New Roman"/>
        </w:rPr>
        <w:t>response</w:t>
      </w:r>
      <w:r w:rsidR="00FC368E" w:rsidRPr="0056734C">
        <w:rPr>
          <w:rFonts w:ascii="Times New Roman" w:hAnsi="Times New Roman" w:cs="Times New Roman"/>
        </w:rPr>
        <w:t xml:space="preserve"> </w:t>
      </w:r>
      <w:r w:rsidR="001B3731" w:rsidRPr="0056734C">
        <w:rPr>
          <w:rFonts w:ascii="Times New Roman" w:hAnsi="Times New Roman" w:cs="Times New Roman"/>
        </w:rPr>
        <w:t>to avoid or mitigate a fall by</w:t>
      </w:r>
      <w:r w:rsidR="00FC368E" w:rsidRPr="0056734C">
        <w:rPr>
          <w:rFonts w:ascii="Times New Roman" w:hAnsi="Times New Roman" w:cs="Times New Roman"/>
        </w:rPr>
        <w:t xml:space="preserve"> counterbalanc</w:t>
      </w:r>
      <w:r w:rsidR="001B3731" w:rsidRPr="0056734C">
        <w:rPr>
          <w:rFonts w:ascii="Times New Roman" w:hAnsi="Times New Roman" w:cs="Times New Roman"/>
        </w:rPr>
        <w:t>ing</w:t>
      </w:r>
      <w:r w:rsidR="00FC368E" w:rsidRPr="0056734C">
        <w:rPr>
          <w:rFonts w:ascii="Times New Roman" w:hAnsi="Times New Roman" w:cs="Times New Roman"/>
        </w:rPr>
        <w:t xml:space="preserve"> or reach</w:t>
      </w:r>
      <w:r w:rsidR="001B3731" w:rsidRPr="0056734C">
        <w:rPr>
          <w:rFonts w:ascii="Times New Roman" w:hAnsi="Times New Roman" w:cs="Times New Roman"/>
        </w:rPr>
        <w:t>ing</w:t>
      </w:r>
      <w:r w:rsidR="00FC368E" w:rsidRPr="0056734C">
        <w:rPr>
          <w:rFonts w:ascii="Times New Roman" w:hAnsi="Times New Roman" w:cs="Times New Roman"/>
        </w:rPr>
        <w:t xml:space="preserve"> in a protective manner </w:t>
      </w:r>
      <w:r w:rsidR="00501CA0" w:rsidRPr="0056734C">
        <w:rPr>
          <w:rFonts w:ascii="Times New Roman" w:hAnsi="Times New Roman" w:cs="Times New Roman"/>
        </w:rPr>
        <w:fldChar w:fldCharType="begin" w:fldLock="1"/>
      </w:r>
      <w:r w:rsidR="005B5832" w:rsidRPr="0056734C">
        <w:rPr>
          <w:rFonts w:ascii="Times New Roman" w:hAnsi="Times New Roman" w:cs="Times New Roman"/>
        </w:rPr>
        <w:instrText>ADDIN CSL_CITATION {"citationItems":[{"id":"ITEM-1","itemData":{"DOI":"10.1016/J.EXGER.2019.110676","ISSN":"0531-5565","abstract":"Falling is a leading cause of serious injury, loss of independence and nursing home admission in seniors. Arm reactions induced by a sudden loss of balance can play an important role in preventing falls and protecting against injury. The aim of this study was to investigate the effect of unpredictable perturbation characteristics on perturbation-triggered early-onset balance-recovery and impact-protection arm reactions. Twelve healthy young adults (20–28 yrs.; 5 women) and twelve healthy older adults (65–74 yrs.; 8 women) were tested and compared. Participants were exposed to forward/backward platform translations with/without a handrail available, while perturbation magnitudes were varied over a wide range that either allowed balance recovery or resulted in a “fall” (into a safety harness). Barriers were used to deter stepping reactions, so as to simplify interpretation of the arm reactions. Early-onset arm reactions (deltoid/biceps latency &lt;200 ms) occurred in 91% of trials. When a handrail was present, the majority of responses (71%) involved a reach-to-grasp reaction. In the absence of a handrail, the induced arm movement was consistent with efforts to either counterbalance the falling motion (27% of trials) or to protect against impact (13% of trials). In contrast to suggestions that early-onset arm reactions may be generic startle-like responses, the present results supported our hypothesis that early-onset arm reactions would be dependent on task conditions. The results also supported our hypothesis that early-onset impact-protection reactions would occur in some trials; however, these reactions were relatively infrequent and the frequency did not increase even in trials where large perturbation magnitude precluded any possibility of recovering balance. Age-related differences were limited to an increase in fall frequency among older adults (59%) compared to younger adults (44%) and a small (12 ms) delay in EMG onset latency of the right medial deltoid. Further work is needed to fully understand the complex interaction (and possible sequencing) of upper- and lower-limb balance-recovery and impact-protection reactions, and the effects of co-morbidities and other factors.","author":[{"dropping-particle":"","family":"Borrelli","given":"James R.","non-dropping-particle":"","parse-names":false,"suffix":""},{"dropping-particle":"","family":"Zabukovec","given":"Jeanie","non-dropping-particle":"","parse-names":false,"suffix":""},{"dropping-particle":"","family":"Jones","given":"Simon","non-dropping-particle":"","parse-names":false,"suffix":""},{"dropping-particle":"","family":"Junod","given":"Christiane A.","non-dropping-particle":"","parse-names":false,"suffix":""},{"dropping-particle":"","family":"Maki","given":"Brian E.","non-dropping-particle":"","parse-names":false,"suffix":""}],"container-title":"Experimental Gerontology","id":"ITEM-1","issued":{"date-parts":[["2019","10","1"]]},"page":"110676","publisher":"Pergamon","title":"Age-related changes in the capacity to select early-onset upper-limb reactions to either recover balance or protect against impact","type":"article-journal","volume":"125"},"uris":["http://www.mendeley.com/documents/?uuid=d0af71ad-d167-38d2-8781-dd52f6ba9f2c"]},{"id":"ITEM-2","itemData":{"DOI":"10.1016/j.jbiomech.2008.03.022","ISSN":"00219290","abstract":"Approximately 90% of hip fractures in older adults result from falls, mostly from landing on or near the hip. A three-dimensional, 11-segment, forward dynamic biomechanical model was developed to investigate whether segment movement strategies prior to impact can affect the impact forces resulting from a lateral fall. Four different pre-impact movement strategies, with and without using the ipsilateral arm to break the fall, were implemented using paired actuators representing the agonist and antagonist muscles acting about each joint. Proportional-derivative feedback controller controlled joint angles and velocities so as to minimize risk of fracture at any of the impact sites. It was hypothesized that (a) the use of active knee, hip and arm joint torques during the pre-contact phase affects neither the whole body kinetic energy at impact nor the peak impact forces on the knee, hip or shoulder and (b) muscle strength and reaction time do not substantially affect peak impact forces. The results demonstrate that, compared with falling laterally as a rigid body, an arrest strategy that combines flexion of the lower extremities, ground contact with the side of the lower leg along with an axial rotation to progressively present the posterolateral aspects of the thigh, pelvis and then torso, can reduce the peak hip impact force by up to 56%. A 30% decline in muscle strength did not markedly affect the effectiveness of that fall strategy. However, a 300-ms delay in implementing the movement strategy inevitably caused hip impact forces consistent with fracture unless the arm was used to break the fall prior to the hip impact. © 2008 Elsevier Ltd. All rights reserved.","author":[{"dropping-particle":"","family":"Lo","given":"J.","non-dropping-particle":"","parse-names":false,"suffix":""},{"dropping-particle":"","family":"Ashton-Miller","given":"J. A.","non-dropping-particle":"","parse-names":false,"suffix":""}],"container-title":"Journal of Biomechanics","id":"ITEM-2","issue":"9","issued":{"date-parts":[["2008"]]},"page":"1969-1977","title":"Effect of pre-impact movement strategies on the impact forces resulting from a lateral fall","type":"article-journal","volume":"41"},"uris":["http://www.mendeley.com/documents/?uuid=df0ea438-0544-4e70-b282-d0fcbebac4d0"]}],"mendeley":{"formattedCitation":"(Borrelli, Zabukovec, Jones, Junod, &amp; Maki, 2019; Lo &amp; Ashton-Miller, 2008)","plainTextFormattedCitation":"(Borrelli, Zabukovec, Jones, Junod, &amp; Maki, 2019; Lo &amp; Ashton-Miller, 2008)","previouslyFormattedCitation":"(Borrelli, Zabukovec, Jones, Junod, &amp; Maki, 2019; Lo &amp; Ashton-Miller, 2008)"},"properties":{"noteIndex":0},"schema":"https://github.com/citation-style-language/schema/raw/master/csl-citation.json"}</w:instrText>
      </w:r>
      <w:r w:rsidR="00501CA0" w:rsidRPr="0056734C">
        <w:rPr>
          <w:rFonts w:ascii="Times New Roman" w:hAnsi="Times New Roman" w:cs="Times New Roman"/>
        </w:rPr>
        <w:fldChar w:fldCharType="separate"/>
      </w:r>
      <w:r w:rsidR="005B5832" w:rsidRPr="0056734C">
        <w:rPr>
          <w:rFonts w:ascii="Times New Roman" w:hAnsi="Times New Roman" w:cs="Times New Roman"/>
          <w:noProof/>
        </w:rPr>
        <w:t>(Borrelli, Zabukovec, Jones, Junod, &amp; Maki, 2019; Lo &amp; Ashton-Miller, 2008)</w:t>
      </w:r>
      <w:r w:rsidR="00501CA0" w:rsidRPr="0056734C">
        <w:rPr>
          <w:rFonts w:ascii="Times New Roman" w:hAnsi="Times New Roman" w:cs="Times New Roman"/>
        </w:rPr>
        <w:fldChar w:fldCharType="end"/>
      </w:r>
      <w:r w:rsidR="00FC368E" w:rsidRPr="0056734C">
        <w:rPr>
          <w:rFonts w:ascii="Times New Roman" w:hAnsi="Times New Roman" w:cs="Times New Roman"/>
        </w:rPr>
        <w:t>. In order to achieve this, u</w:t>
      </w:r>
      <w:r w:rsidR="0037052F" w:rsidRPr="0056734C">
        <w:rPr>
          <w:rFonts w:ascii="Times New Roman" w:hAnsi="Times New Roman" w:cs="Times New Roman"/>
        </w:rPr>
        <w:t>pper limb reaction time (RT</w:t>
      </w:r>
      <w:r w:rsidR="009F5589" w:rsidRPr="0056734C">
        <w:rPr>
          <w:rFonts w:ascii="Times New Roman" w:hAnsi="Times New Roman" w:cs="Times New Roman"/>
        </w:rPr>
        <w:t xml:space="preserve">, </w:t>
      </w:r>
      <w:r w:rsidR="00A21BC2" w:rsidRPr="009B2CDA">
        <w:rPr>
          <w:rFonts w:ascii="Times New Roman" w:hAnsi="Times New Roman" w:cs="Times New Roman"/>
        </w:rPr>
        <w:t>initiating a</w:t>
      </w:r>
      <w:r w:rsidR="008841BD">
        <w:rPr>
          <w:rFonts w:ascii="Times New Roman" w:hAnsi="Times New Roman" w:cs="Times New Roman"/>
        </w:rPr>
        <w:t>n arm</w:t>
      </w:r>
      <w:r w:rsidR="00A21BC2" w:rsidRPr="009B2CDA">
        <w:rPr>
          <w:rFonts w:ascii="Times New Roman" w:hAnsi="Times New Roman" w:cs="Times New Roman"/>
        </w:rPr>
        <w:t xml:space="preserve"> response</w:t>
      </w:r>
      <w:r w:rsidR="009F5589" w:rsidRPr="009B2CDA">
        <w:rPr>
          <w:rFonts w:ascii="Times New Roman" w:hAnsi="Times New Roman" w:cs="Times New Roman"/>
        </w:rPr>
        <w:t xml:space="preserve"> to a balance pertu</w:t>
      </w:r>
      <w:r w:rsidR="000A2152" w:rsidRPr="009B2CDA">
        <w:rPr>
          <w:rFonts w:ascii="Times New Roman" w:hAnsi="Times New Roman" w:cs="Times New Roman"/>
        </w:rPr>
        <w:t>r</w:t>
      </w:r>
      <w:r w:rsidR="009F5589" w:rsidRPr="009B2CDA">
        <w:rPr>
          <w:rFonts w:ascii="Times New Roman" w:hAnsi="Times New Roman" w:cs="Times New Roman"/>
        </w:rPr>
        <w:t>bation</w:t>
      </w:r>
      <w:r w:rsidR="0037052F" w:rsidRPr="009B2CDA">
        <w:rPr>
          <w:rFonts w:ascii="Times New Roman" w:hAnsi="Times New Roman" w:cs="Times New Roman"/>
        </w:rPr>
        <w:t>) and movement time (MT</w:t>
      </w:r>
      <w:r w:rsidR="009F5589" w:rsidRPr="009B2CDA">
        <w:rPr>
          <w:rFonts w:ascii="Times New Roman" w:hAnsi="Times New Roman" w:cs="Times New Roman"/>
        </w:rPr>
        <w:t>, adjusting the arms to a protective position</w:t>
      </w:r>
      <w:r w:rsidR="0037052F" w:rsidRPr="009B2CDA">
        <w:rPr>
          <w:rFonts w:ascii="Times New Roman" w:hAnsi="Times New Roman" w:cs="Times New Roman"/>
        </w:rPr>
        <w:t xml:space="preserve">) </w:t>
      </w:r>
      <w:r w:rsidR="00A86322" w:rsidRPr="009B2CDA">
        <w:rPr>
          <w:rFonts w:ascii="Times New Roman" w:hAnsi="Times New Roman" w:cs="Times New Roman"/>
        </w:rPr>
        <w:t>are</w:t>
      </w:r>
      <w:r w:rsidR="0037052F" w:rsidRPr="009B2CDA">
        <w:rPr>
          <w:rFonts w:ascii="Times New Roman" w:hAnsi="Times New Roman" w:cs="Times New Roman"/>
        </w:rPr>
        <w:t xml:space="preserve"> important </w:t>
      </w:r>
      <w:r w:rsidR="00A54855" w:rsidRPr="009B2CDA">
        <w:rPr>
          <w:rFonts w:ascii="Times New Roman" w:hAnsi="Times New Roman" w:cs="Times New Roman"/>
        </w:rPr>
        <w:t xml:space="preserve">pre-impact response </w:t>
      </w:r>
      <w:r w:rsidR="0037052F" w:rsidRPr="009B2CDA">
        <w:rPr>
          <w:rFonts w:ascii="Times New Roman" w:hAnsi="Times New Roman" w:cs="Times New Roman"/>
        </w:rPr>
        <w:t xml:space="preserve">factors contributing to an older adult’s </w:t>
      </w:r>
      <w:r w:rsidR="00A54855" w:rsidRPr="009B2CDA">
        <w:rPr>
          <w:rFonts w:ascii="Times New Roman" w:hAnsi="Times New Roman" w:cs="Times New Roman"/>
        </w:rPr>
        <w:t>upper limb</w:t>
      </w:r>
      <w:r w:rsidR="00FC368E" w:rsidRPr="009B2CDA">
        <w:rPr>
          <w:rFonts w:ascii="Times New Roman" w:hAnsi="Times New Roman" w:cs="Times New Roman"/>
        </w:rPr>
        <w:t xml:space="preserve"> </w:t>
      </w:r>
      <w:r w:rsidR="006F45F5" w:rsidRPr="009B2CDA">
        <w:rPr>
          <w:rFonts w:ascii="Times New Roman" w:hAnsi="Times New Roman" w:cs="Times New Roman"/>
        </w:rPr>
        <w:t>protective arm response</w:t>
      </w:r>
      <w:r w:rsidR="00826512" w:rsidRPr="009B2CDA">
        <w:rPr>
          <w:rFonts w:ascii="Times New Roman" w:hAnsi="Times New Roman" w:cs="Times New Roman"/>
        </w:rPr>
        <w:t xml:space="preserve"> </w:t>
      </w:r>
      <w:r w:rsidR="00FC368E" w:rsidRPr="009B2CDA">
        <w:rPr>
          <w:rFonts w:ascii="Times New Roman" w:hAnsi="Times New Roman" w:cs="Times New Roman"/>
        </w:rPr>
        <w:t>capacity</w:t>
      </w:r>
      <w:r w:rsidR="00E91143" w:rsidRPr="009B2CDA">
        <w:rPr>
          <w:rFonts w:ascii="Times New Roman" w:hAnsi="Times New Roman" w:cs="Times New Roman"/>
        </w:rPr>
        <w:t xml:space="preserve"> </w:t>
      </w:r>
      <w:r w:rsidR="00E91143" w:rsidRPr="009B2CDA">
        <w:rPr>
          <w:rFonts w:ascii="Times New Roman" w:hAnsi="Times New Roman" w:cs="Times New Roman"/>
        </w:rPr>
        <w:fldChar w:fldCharType="begin" w:fldLock="1"/>
      </w:r>
      <w:r w:rsidR="00035D59" w:rsidRPr="009B2CDA">
        <w:rPr>
          <w:rFonts w:ascii="Times New Roman" w:hAnsi="Times New Roman" w:cs="Times New Roman"/>
        </w:rPr>
        <w:instrText>ADDIN CSL_CITATION {"citationItems":[{"id":"ITEM-1","itemData":{"DOI":"10.1016/S0268-0033(03)00005-6","ISBN":"0268-0033","ISSN":"02680033","PMID":"12689781","abstract":"Objective. This study tried to isolate critical biomechanical factors in fall arrests using the upper extremity during simulated forward falls. This study also attempted to find the differences in those factors between young and old age groups. Background. The role of the upper extremity is not well defined despite its primary usage as a local shock absorber during fall impact. Design. Comparative study in which two age groups underwent motion analysis. Methods. Ten healthy older males (mean age, 66.4 years) and 10 young males (mean age, 24.1 years) volunteered to perform self-initiated and cable-released falls at selected falling distances, while the joint motion and impact forces at the hand were recorded. Results. Significant age differences were demonstrated in joint kinematics and impact force parameters at close distances. Excessive reflexive responses of the upper extremity in cable-released falls for the older adults resulted in 10-15 times higher peak impact forces and 2-3 times shorter body braking time than in self-initiated falls. Conclusions. Pre-impact activities of the upper extremity predispose the post-impact response during fall arrests. Suppressing excessive pre-impact reflexive activation of the arms could efficiently decrease the risk of fall-related injuries, which calls for securing sufficient arm movement time. Any fall prevention strategy that can increase arm movement time would be effective against injuries of the upper extremity during falling in the older adults.Relevance The findings will help to understand underlying mechanisms of fall arrest using the upper extremity for prevention of fall-related fractures. ?? 2003 Elsevier Science Ltd. All rights reserved.","author":[{"dropping-particle":"","family":"Kim","given":"Kyu Jung","non-dropping-particle":"","parse-names":false,"suffix":""},{"dropping-particle":"","family":"Ashton-Miller","given":"James A.","non-dropping-particle":"","parse-names":false,"suffix":""}],"container-title":"Clinical Biomechanics","id":"ITEM-1","issue":"4","issued":{"date-parts":[["2003"]]},"page":"311-318","title":"Biomechanics of fall arrest using the upper extremity: Age differences","type":"article-journal","volume":"18"},"uris":["http://www.mendeley.com/documents/?uuid=6abd56db-e6bd-43ec-af5d-7fc998b5d941"]},{"id":"ITEM-2","itemData":{"DOI":"10.1016/S0021-9290(03)00034-4","ISBN":"0021-9290","ISSN":"00219290","PMID":"12757814","abstract":"Although the epidemiology of fall-related injuries is well established for the elderly population over 65 years of age, the biomechanics of how, when and why injuries do and do not occur when arresting a fall have received relatively little attention. This paper reviews the epidemiological literature in the MEDLINE data base pertinent to the biomechanics of fall-related injuries, including data on fall rates, fall-related injury rates, fall directions and types of injuries available. It also covers primary sources not listed on MEDLINE, along with the pertinent biomechanics literature. Many falls in older adults are in a forward direction, and as a result the upper extremities are one of the most commonly injured structures, presumably in protecting the head and torso. In this review emphasis is placed on what is, and what is not, known of the biomechanical factors that determine the impact forces and injury risk associated with upper extremity injuries in forward falls. While decreased bone mineral density may be contributory, it is not a reliable predictor of fracture risk. Evidence is presented that fall-related impact forces can be reduced by appropriate volitional arrest strategies. Further theoretical and experimental research is needed to identify appropriate fall-arrest strategies for the elderly, as well as the physical capacities and skills required to do so. Inexpensive interventions might then be developed to teach safe fall-arrest techniques to older individuals. © 2003 Elsevier Science Ltd. All rights reserved.","author":[{"dropping-particle":"","family":"DeGoede","given":"K. M.","non-dropping-particle":"","parse-names":false,"suffix":""},{"dropping-particle":"","family":"Ashton-Miller","given":"J. A.","non-dropping-particle":"","parse-names":false,"suffix":""},{"dropping-particle":"","family":"Schultz","given":"A. B.","non-dropping-particle":"","parse-names":false,"suffix":""}],"container-title":"Journal of Biomechanics","id":"ITEM-2","issue":"7","issued":{"date-parts":[["2003"]]},"page":"1043-1053","title":"Fall-related upper body injuries in the older adult: A review of the biomechanical issues","type":"article-journal","volume":"36"},"uris":["http://www.mendeley.com/documents/?uuid=e06d0119-b0bd-4a42-bc7f-571040611ee1"]}],"mendeley":{"formattedCitation":"(K. M. DeGoede et al., 2003; Kim &amp; Ashton-Miller, 2003)","manualFormatting":"(DeGoede et al., 2003; Kim &amp; Ashton-Miller, 2003)","plainTextFormattedCitation":"(K. M. DeGoede et al., 2003; Kim &amp; Ashton-Miller, 2003)","previouslyFormattedCitation":"(K. M. DeGoede et al., 2003; Kim &amp; Ashton-Miller, 2003)"},"properties":{"noteIndex":0},"schema":"https://github.com/citation-style-language/schema/raw/master/csl-citation.json"}</w:instrText>
      </w:r>
      <w:r w:rsidR="00E91143" w:rsidRPr="009B2CDA">
        <w:rPr>
          <w:rFonts w:ascii="Times New Roman" w:hAnsi="Times New Roman" w:cs="Times New Roman"/>
        </w:rPr>
        <w:fldChar w:fldCharType="separate"/>
      </w:r>
      <w:r w:rsidR="005B5832" w:rsidRPr="009B2CDA">
        <w:rPr>
          <w:rFonts w:ascii="Times New Roman" w:hAnsi="Times New Roman" w:cs="Times New Roman"/>
          <w:noProof/>
        </w:rPr>
        <w:t>(DeGoede et al., 2003; Kim &amp; Ashton-Miller, 2003)</w:t>
      </w:r>
      <w:r w:rsidR="00E91143" w:rsidRPr="009B2CDA">
        <w:rPr>
          <w:rFonts w:ascii="Times New Roman" w:hAnsi="Times New Roman" w:cs="Times New Roman"/>
        </w:rPr>
        <w:fldChar w:fldCharType="end"/>
      </w:r>
      <w:r w:rsidR="0037052F" w:rsidRPr="009B2CDA">
        <w:rPr>
          <w:rFonts w:ascii="Times New Roman" w:hAnsi="Times New Roman" w:cs="Times New Roman"/>
        </w:rPr>
        <w:t>.</w:t>
      </w:r>
      <w:r w:rsidR="003A2DE2" w:rsidRPr="009B2CDA">
        <w:rPr>
          <w:rFonts w:ascii="Times New Roman" w:hAnsi="Times New Roman" w:cs="Times New Roman"/>
        </w:rPr>
        <w:t xml:space="preserve"> </w:t>
      </w:r>
    </w:p>
    <w:p w14:paraId="78BB533B" w14:textId="5E7CE491" w:rsidR="00753B65" w:rsidRPr="009B2CDA" w:rsidRDefault="00C5750E" w:rsidP="00A33C2E">
      <w:pPr>
        <w:spacing w:line="480" w:lineRule="auto"/>
        <w:ind w:firstLine="720"/>
        <w:rPr>
          <w:rFonts w:ascii="Times New Roman" w:hAnsi="Times New Roman" w:cs="Times New Roman"/>
        </w:rPr>
      </w:pPr>
      <w:r w:rsidRPr="009B2CDA">
        <w:rPr>
          <w:rFonts w:ascii="Times New Roman" w:hAnsi="Times New Roman" w:cs="Times New Roman"/>
        </w:rPr>
        <w:t>Previous studies have focused on RT and MT differences between young</w:t>
      </w:r>
      <w:r w:rsidR="005C3495" w:rsidRPr="009B2CDA">
        <w:rPr>
          <w:rFonts w:ascii="Times New Roman" w:hAnsi="Times New Roman" w:cs="Times New Roman"/>
        </w:rPr>
        <w:t>er</w:t>
      </w:r>
      <w:r w:rsidRPr="009B2CDA">
        <w:rPr>
          <w:rFonts w:ascii="Times New Roman" w:hAnsi="Times New Roman" w:cs="Times New Roman"/>
        </w:rPr>
        <w:t xml:space="preserve"> and old</w:t>
      </w:r>
      <w:r w:rsidR="005C3495" w:rsidRPr="009B2CDA">
        <w:rPr>
          <w:rFonts w:ascii="Times New Roman" w:hAnsi="Times New Roman" w:cs="Times New Roman"/>
        </w:rPr>
        <w:t>er</w:t>
      </w:r>
      <w:r w:rsidRPr="009B2CDA">
        <w:rPr>
          <w:rFonts w:ascii="Times New Roman" w:hAnsi="Times New Roman" w:cs="Times New Roman"/>
        </w:rPr>
        <w:t xml:space="preserve"> adults </w:t>
      </w:r>
      <w:r w:rsidR="00501CA0" w:rsidRPr="009B2CDA">
        <w:rPr>
          <w:rFonts w:ascii="Times New Roman" w:hAnsi="Times New Roman" w:cs="Times New Roman"/>
        </w:rPr>
        <w:fldChar w:fldCharType="begin" w:fldLock="1"/>
      </w:r>
      <w:r w:rsidR="00035D59" w:rsidRPr="009B2CDA">
        <w:rPr>
          <w:rFonts w:ascii="Times New Roman" w:hAnsi="Times New Roman" w:cs="Times New Roman"/>
        </w:rPr>
        <w:instrText>ADDIN CSL_CITATION {"citationItems":[{"id":"ITEM-1","itemData":{"DOI":"10.1093/ageing/afl078","ISBN":"0002-0729 (Print)","ISSN":"00020729","PMID":"16926197","abstract":"BACKGROUND: balancing reactions that involve rapid stepping or reaching movements are critical for preventing falls. These compensatory reactions are much more rapid than volitional limb movements and can be very effective in decelerating the centre-of-mass motion induced by sudden unpredictable balance perturbation; however, age-related deterioration in the neural, sensory and/or musculoskeletal systems may impede the ability to execute these reactions effectively. OBJECTIVE: this paper summarises recent research regarding age-related changes in compensatory stepping and reaching reactions and the practical implications of these findings for fall prevention programmes. RESULTS: even healthy older adults experience pronounced difficulties. For stepping reactions, the main problems pertain to control of lateral stability--arresting the lateral body motion that occurs during forward and backward steps, and controlling lateral foot movement so as to avoid collision with the stance limb during lateral steps. Older adults appear to be more reliant on arm reactions than young adults but are less able to execute reach-to-grasp reactions rapidly. CONCLUSIONS: it is important for clinicians to assess compensatory stepping and reaching, in order to identify individuals who are at risk of falling and to pinpoint specific control problems to target for balance or strength training or other intervention. More effective use of stepping and reaching reactions can be promoted through improved design and appropriate use of sensory aids, mobility aids, footwear, handrails and grab-bars. It is particularly important to address the problems associated with the control of lateral stability because it is the lateral falls that are most likely to result in hip fracture.","author":[{"dropping-particle":"","family":"Maki","given":"Brian E.","non-dropping-particle":"","parse-names":false,"suffix":""},{"dropping-particle":"","family":"McIlroy","given":"William E.","non-dropping-particle":"","parse-names":false,"suffix":""}],"container-title":"Age and Ageing","id":"ITEM-1","issue":"SUPPL.2","issued":{"date-parts":[["2006"]]},"page":"12-18","title":"Control of rapid limb movements for balance recovery: Age-related changes and implications for fall prevention","type":"article-journal","volume":"35"},"uris":["http://www.mendeley.com/documents/?uuid=ac84dd47-bb07-40d7-9e2a-5f476fe5765e"]},{"id":"ITEM-2","itemData":{"DOI":"10.1093/gerona/56.9.M584","ISSN":"1079-5006","author":[{"dropping-particle":"","family":"DeGoede","given":"K. M.","non-dropping-particle":"","parse-names":false,"suffix":""},{"dropping-particle":"","family":"Ashton-Miller","given":"J. A.","non-dropping-particle":"","parse-names":false,"suffix":""},{"dropping-particle":"","family":"Liao","given":"J. M.","non-dropping-particle":"","parse-names":false,"suffix":""},{"dropping-particle":"","family":"Alexander","given":"N. B.","non-dropping-particle":"","parse-names":false,"suffix":""}],"container-title":"The Journals of Gerontology Series A: Biological Sciences and Medical Sciences","id":"ITEM-2","issue":"9","issued":{"date-parts":[["2001","9","1"]]},"page":"M584-M588","publisher":"Oxford University Press","title":"How quickly can healthy adults move their hands to intercept an approaching object? Age and gender effects","type":"article-journal","volume":"56"},"uris":["http://www.mendeley.com/documents/?uuid=b6e49141-3166-3e5c-964c-cc89ac938775"]},{"id":"ITEM-3","itemData":{"DOI":"60/12/1553 [pii]","ISBN":"1079-5006 (Print)\\n1079-5006 (Linking)","ISSN":"1079-5006","PMID":"16424287","abstract":"BACKGROUND: Risk for hip fracture during a fall is reduced by contacting the ground first with the outstretched hands. However, it is unclear whether the time required for young and elderly individuals to move the hands into a protective position exceeds that available during a typical fall. METHODS: We tested whether young (n = 30; aged 18-35 years) and elderly women (n = 30; aged 70-88 years) differed in the time required to move their hands into a protective position for breaking a fall. Participants stood either facing or sideways to shoulder-height targets (simulating forward and sideways falls, respectively), which they were instructed to contact as quickly as possible after hearing an aural go cue. Total contact time was partitioned into reaction time and movement time. RESULTS: Young women contacted the targets faster than elderly women in both forward (530 +/- 60 vs 615 +/- 88 ms; p &lt;.001) and sideways trials (658 +/- 80 vs 799 +/- 145 ms; p &lt;.001). This difference was due to faster movement times for young participants. There was no difference between groups in reaction time. CONCLUSIONS: Previous studies have shown that during actual falls from standing, wrist and pelvis contact occur at 680 +/- 116 and 715 +/- 160 ms, respectively. Comparing these values to our results suggests that the typical elderly woman should be able to move her hands quickly enough to break a forward fall, but not a sideways fall.","author":[{"dropping-particle":"","family":"Robinovitch","given":"Stephen N","non-dropping-particle":"","parse-names":false,"suffix":""},{"dropping-particle":"","family":"Normandin","given":"Sarah C","non-dropping-particle":"","parse-names":false,"suffix":""},{"dropping-particle":"","family":"Stotz","given":"Paula","non-dropping-particle":"","parse-names":false,"suffix":""},{"dropping-particle":"","family":"Maurer","given":"Jessica D","non-dropping-particle":"","parse-names":false,"suffix":""}],"container-title":"The journals of gerontology. Series A, Biological sciences and medical sciences","id":"ITEM-3","issue":"12","issued":{"date-parts":[["2005"]]},"page":"1553-1557","title":"Time requirement for young and elderly women to move into a position for breaking a fall with outstretched hands.","type":"article-journal","volume":"60"},"uris":["http://www.mendeley.com/documents/?uuid=4d42e289-8bff-4c16-af86-25c47e9f82c8"]}],"mendeley":{"formattedCitation":"(K. M. DeGoede, Ashton-Miller, Liao, &amp; Alexander, 2001; Maki &amp; McIlroy, 2006; Robinovitch, Normandin, Stotz, &amp; Maurer, 2005)","manualFormatting":"(DeGoede, Ashton-Miller, Liao, &amp; Alexander, 2001; Maki &amp; McIlroy, 2006; Robinovitch, Normandin, Stotz, &amp; Maurer, 2005)","plainTextFormattedCitation":"(K. M. DeGoede, Ashton-Miller, Liao, &amp; Alexander, 2001; Maki &amp; McIlroy, 2006; Robinovitch, Normandin, Stotz, &amp; Maurer, 2005)","previouslyFormattedCitation":"(K. M. DeGoede, Ashton-Miller, Liao, &amp; Alexander, 2001; Maki &amp; McIlroy, 2006; Robinovitch, Normandin, Stotz, &amp; Maurer, 2005)"},"properties":{"noteIndex":0},"schema":"https://github.com/citation-style-language/schema/raw/master/csl-citation.json"}</w:instrText>
      </w:r>
      <w:r w:rsidR="00501CA0" w:rsidRPr="009B2CDA">
        <w:rPr>
          <w:rFonts w:ascii="Times New Roman" w:hAnsi="Times New Roman" w:cs="Times New Roman"/>
        </w:rPr>
        <w:fldChar w:fldCharType="separate"/>
      </w:r>
      <w:r w:rsidR="005B5832" w:rsidRPr="009B2CDA">
        <w:rPr>
          <w:rFonts w:ascii="Times New Roman" w:hAnsi="Times New Roman" w:cs="Times New Roman"/>
          <w:noProof/>
        </w:rPr>
        <w:t>(DeGoede, Ashton-Miller, Liao, &amp; Alexander, 2001; Maki &amp; McIlroy, 2006; Robinovitch, Normandin, Stotz, &amp; Maurer, 2005)</w:t>
      </w:r>
      <w:r w:rsidR="00501CA0" w:rsidRPr="009B2CDA">
        <w:rPr>
          <w:rFonts w:ascii="Times New Roman" w:hAnsi="Times New Roman" w:cs="Times New Roman"/>
        </w:rPr>
        <w:fldChar w:fldCharType="end"/>
      </w:r>
      <w:r w:rsidR="002A530E" w:rsidRPr="009B2CDA">
        <w:rPr>
          <w:rFonts w:ascii="Times New Roman" w:hAnsi="Times New Roman" w:cs="Times New Roman"/>
        </w:rPr>
        <w:t>. T</w:t>
      </w:r>
      <w:r w:rsidR="000913D1" w:rsidRPr="009B2CDA">
        <w:rPr>
          <w:rFonts w:ascii="Times New Roman" w:hAnsi="Times New Roman" w:cs="Times New Roman"/>
        </w:rPr>
        <w:t xml:space="preserve">he speed </w:t>
      </w:r>
      <w:r w:rsidR="005F7D01" w:rsidRPr="009B2CDA">
        <w:rPr>
          <w:rFonts w:ascii="Times New Roman" w:hAnsi="Times New Roman" w:cs="Times New Roman"/>
        </w:rPr>
        <w:t>with</w:t>
      </w:r>
      <w:r w:rsidR="000913D1" w:rsidRPr="009B2CDA">
        <w:rPr>
          <w:rFonts w:ascii="Times New Roman" w:hAnsi="Times New Roman" w:cs="Times New Roman"/>
        </w:rPr>
        <w:t xml:space="preserve"> which arm movements are initiated and executed is </w:t>
      </w:r>
      <w:r w:rsidR="00E012CB" w:rsidRPr="009B2CDA">
        <w:rPr>
          <w:rFonts w:ascii="Times New Roman" w:hAnsi="Times New Roman" w:cs="Times New Roman"/>
        </w:rPr>
        <w:t xml:space="preserve">approximately 20% </w:t>
      </w:r>
      <w:r w:rsidR="000913D1" w:rsidRPr="009B2CDA">
        <w:rPr>
          <w:rFonts w:ascii="Times New Roman" w:hAnsi="Times New Roman" w:cs="Times New Roman"/>
        </w:rPr>
        <w:t xml:space="preserve">slower for older </w:t>
      </w:r>
      <w:r w:rsidR="00781A80" w:rsidRPr="00862598">
        <w:rPr>
          <w:rFonts w:ascii="Times New Roman" w:hAnsi="Times New Roman" w:cs="Times New Roman"/>
        </w:rPr>
        <w:t>female participants</w:t>
      </w:r>
      <w:r w:rsidR="000913D1" w:rsidRPr="00862598">
        <w:rPr>
          <w:rFonts w:ascii="Times New Roman" w:hAnsi="Times New Roman" w:cs="Times New Roman"/>
        </w:rPr>
        <w:t xml:space="preserve"> i</w:t>
      </w:r>
      <w:r w:rsidR="000913D1" w:rsidRPr="009B2CDA">
        <w:rPr>
          <w:rFonts w:ascii="Times New Roman" w:hAnsi="Times New Roman" w:cs="Times New Roman"/>
        </w:rPr>
        <w:t>n comparison to younger adults</w:t>
      </w:r>
      <w:r w:rsidR="00501CA0" w:rsidRPr="009B2CDA">
        <w:rPr>
          <w:rFonts w:ascii="Times New Roman" w:hAnsi="Times New Roman" w:cs="Times New Roman"/>
        </w:rPr>
        <w:t xml:space="preserve"> </w:t>
      </w:r>
      <w:r w:rsidR="00501CA0" w:rsidRPr="009B2CDA">
        <w:rPr>
          <w:rFonts w:ascii="Times New Roman" w:hAnsi="Times New Roman" w:cs="Times New Roman"/>
        </w:rPr>
        <w:fldChar w:fldCharType="begin" w:fldLock="1"/>
      </w:r>
      <w:r w:rsidR="00035D59" w:rsidRPr="009B2CDA">
        <w:rPr>
          <w:rFonts w:ascii="Times New Roman" w:hAnsi="Times New Roman" w:cs="Times New Roman"/>
        </w:rPr>
        <w:instrText>ADDIN CSL_CITATION {"citationItems":[{"id":"ITEM-1","itemData":{"DOI":"60/12/1553 [pii]","ISBN":"1079-5006 (Print)\\n1079-5006 (Linking)","ISSN":"1079-5006","PMID":"16424287","abstract":"BACKGROUND: Risk for hip fracture during a fall is reduced by contacting the ground first with the outstretched hands. However, it is unclear whether the time required for young and elderly individuals to move the hands into a protective position exceeds that available during a typical fall. METHODS: We tested whether young (n = 30; aged 18-35 years) and elderly women (n = 30; aged 70-88 years) differed in the time required to move their hands into a protective position for breaking a fall. Participants stood either facing or sideways to shoulder-height targets (simulating forward and sideways falls, respectively), which they were instructed to contact as quickly as possible after hearing an aural go cue. Total contact time was partitioned into reaction time and movement time. RESULTS: Young women contacted the targets faster than elderly women in both forward (530 +/- 60 vs 615 +/- 88 ms; p &lt;.001) and sideways trials (658 +/- 80 vs 799 +/- 145 ms; p &lt;.001). This difference was due to faster movement times for young participants. There was no difference between groups in reaction time. CONCLUSIONS: Previous studies have shown that during actual falls from standing, wrist and pelvis contact occur at 680 +/- 116 and 715 +/- 160 ms, respectively. Comparing these values to our results suggests that the typical elderly woman should be able to move her hands quickly enough to break a forward fall, but not a sideways fall.","author":[{"dropping-particle":"","family":"Robinovitch","given":"Stephen N","non-dropping-particle":"","parse-names":false,"suffix":""},{"dropping-particle":"","family":"Normandin","given":"Sarah C","non-dropping-particle":"","parse-names":false,"suffix":""},{"dropping-particle":"","family":"Stotz","given":"Paula","non-dropping-particle":"","parse-names":false,"suffix":""},{"dropping-particle":"","family":"Maurer","given":"Jessica D","non-dropping-particle":"","parse-names":false,"suffix":""}],"container-title":"The journals of gerontology. Series A, Biological sciences and medical sciences","id":"ITEM-1","issue":"12","issued":{"date-parts":[["2005"]]},"page":"1553-1557","title":"Time requirement for young and elderly women to move into a position for breaking a fall with outstretched hands.","type":"article-journal","volume":"60"},"uris":["http://www.mendeley.com/documents/?uuid=4d42e289-8bff-4c16-af86-25c47e9f82c8"]},{"id":"ITEM-2","itemData":{"DOI":"10.1093/gerona/56.9.M584","ISSN":"1079-5006","author":[{"dropping-particle":"","family":"DeGoede","given":"K. M.","non-dropping-particle":"","parse-names":false,"suffix":""},{"dropping-particle":"","family":"Ashton-Miller","given":"J. A.","non-dropping-particle":"","parse-names":false,"suffix":""},{"dropping-particle":"","family":"Liao","given":"J. M.","non-dropping-particle":"","parse-names":false,"suffix":""},{"dropping-particle":"","family":"Alexander","given":"N. B.","non-dropping-particle":"","parse-names":false,"suffix":""}],"container-title":"The Journals of Gerontology Series A: Biological Sciences and Medical Sciences","id":"ITEM-2","issue":"9","issued":{"date-parts":[["2001","9","1"]]},"page":"M584-M588","publisher":"Oxford University Press","title":"How quickly can healthy adults move their hands to intercept an approaching object? Age and gender effects","type":"article-journal","volume":"56"},"uris":["http://www.mendeley.com/documents/?uuid=b6e49141-3166-3e5c-964c-cc89ac938775"]}],"mendeley":{"formattedCitation":"(K. M. DeGoede et al., 2001; Robinovitch et al., 2005)","manualFormatting":"(DeGoede et al., 2001; Robinovitch et al., 2005)","plainTextFormattedCitation":"(K. M. DeGoede et al., 2001; Robinovitch et al., 2005)","previouslyFormattedCitation":"(K. M. DeGoede et al., 2001; Robinovitch et al., 2005)"},"properties":{"noteIndex":0},"schema":"https://github.com/citation-style-language/schema/raw/master/csl-citation.json"}</w:instrText>
      </w:r>
      <w:r w:rsidR="00501CA0" w:rsidRPr="009B2CDA">
        <w:rPr>
          <w:rFonts w:ascii="Times New Roman" w:hAnsi="Times New Roman" w:cs="Times New Roman"/>
        </w:rPr>
        <w:fldChar w:fldCharType="separate"/>
      </w:r>
      <w:r w:rsidR="005B5832" w:rsidRPr="009B2CDA">
        <w:rPr>
          <w:rFonts w:ascii="Times New Roman" w:hAnsi="Times New Roman" w:cs="Times New Roman"/>
          <w:noProof/>
        </w:rPr>
        <w:t>(DeGoede et al., 2001; Robinovitch et al., 2005)</w:t>
      </w:r>
      <w:r w:rsidR="00501CA0" w:rsidRPr="009B2CDA">
        <w:rPr>
          <w:rFonts w:ascii="Times New Roman" w:hAnsi="Times New Roman" w:cs="Times New Roman"/>
        </w:rPr>
        <w:fldChar w:fldCharType="end"/>
      </w:r>
      <w:r w:rsidR="001B3731" w:rsidRPr="009B2CDA">
        <w:rPr>
          <w:rFonts w:ascii="Times New Roman" w:hAnsi="Times New Roman" w:cs="Times New Roman"/>
        </w:rPr>
        <w:t>.</w:t>
      </w:r>
      <w:r w:rsidR="001E0B62" w:rsidRPr="009B2CDA">
        <w:rPr>
          <w:rFonts w:ascii="Times New Roman" w:hAnsi="Times New Roman" w:cs="Times New Roman"/>
        </w:rPr>
        <w:t xml:space="preserve"> </w:t>
      </w:r>
      <w:r w:rsidR="00AE5754" w:rsidRPr="009B2CDA">
        <w:rPr>
          <w:rFonts w:ascii="Times New Roman" w:hAnsi="Times New Roman" w:cs="Times New Roman"/>
        </w:rPr>
        <w:t>O</w:t>
      </w:r>
      <w:r w:rsidR="001E0B62" w:rsidRPr="009B2CDA">
        <w:rPr>
          <w:rFonts w:ascii="Times New Roman" w:hAnsi="Times New Roman" w:cs="Times New Roman"/>
        </w:rPr>
        <w:t>lder adults who</w:t>
      </w:r>
      <w:r w:rsidR="00F21CF8" w:rsidRPr="009B2CDA">
        <w:rPr>
          <w:rFonts w:ascii="Times New Roman" w:hAnsi="Times New Roman" w:cs="Times New Roman"/>
        </w:rPr>
        <w:t xml:space="preserve"> exhibit</w:t>
      </w:r>
      <w:r w:rsidR="006C0F3D" w:rsidRPr="009B2CDA">
        <w:rPr>
          <w:rFonts w:ascii="Times New Roman" w:hAnsi="Times New Roman" w:cs="Times New Roman"/>
        </w:rPr>
        <w:t>ed</w:t>
      </w:r>
      <w:r w:rsidR="00AE5754" w:rsidRPr="009B2CDA">
        <w:rPr>
          <w:rFonts w:ascii="Times New Roman" w:hAnsi="Times New Roman" w:cs="Times New Roman"/>
        </w:rPr>
        <w:t xml:space="preserve"> </w:t>
      </w:r>
      <w:r w:rsidR="00E13E92" w:rsidRPr="009B2CDA">
        <w:rPr>
          <w:rFonts w:ascii="Times New Roman" w:hAnsi="Times New Roman" w:cs="Times New Roman"/>
        </w:rPr>
        <w:t xml:space="preserve">reflexive </w:t>
      </w:r>
      <w:r w:rsidR="00F21CF8" w:rsidRPr="009B2CDA">
        <w:rPr>
          <w:rFonts w:ascii="Times New Roman" w:hAnsi="Times New Roman" w:cs="Times New Roman"/>
        </w:rPr>
        <w:t>arm responses</w:t>
      </w:r>
      <w:r w:rsidR="006F45F5" w:rsidRPr="009B2CDA">
        <w:rPr>
          <w:rFonts w:ascii="Times New Roman" w:hAnsi="Times New Roman" w:cs="Times New Roman"/>
        </w:rPr>
        <w:t>, as opposed to a selected movement,</w:t>
      </w:r>
      <w:r w:rsidR="00F21CF8" w:rsidRPr="009B2CDA">
        <w:rPr>
          <w:rFonts w:ascii="Times New Roman" w:hAnsi="Times New Roman" w:cs="Times New Roman"/>
        </w:rPr>
        <w:t xml:space="preserve"> </w:t>
      </w:r>
      <w:r w:rsidR="00AE5754" w:rsidRPr="009B2CDA">
        <w:rPr>
          <w:rFonts w:ascii="Times New Roman" w:hAnsi="Times New Roman" w:cs="Times New Roman"/>
        </w:rPr>
        <w:t>generated greater forces</w:t>
      </w:r>
      <w:r w:rsidR="005A63A0" w:rsidRPr="009B2CDA">
        <w:rPr>
          <w:rFonts w:ascii="Times New Roman" w:hAnsi="Times New Roman" w:cs="Times New Roman"/>
        </w:rPr>
        <w:t xml:space="preserve"> upon impact</w:t>
      </w:r>
      <w:r w:rsidR="00E13E92" w:rsidRPr="009B2CDA">
        <w:rPr>
          <w:rFonts w:ascii="Times New Roman" w:hAnsi="Times New Roman" w:cs="Times New Roman"/>
        </w:rPr>
        <w:t xml:space="preserve"> and exhibited an abrupt stop to body movement during simulated falls </w:t>
      </w:r>
      <w:r w:rsidR="00E13E92"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{"citationItems":[{"id":"ITEM-1","itemData":{"DOI":"10.1016/S0268-0033(03)00005-6","ISBN":"0268-0033","ISSN":"02680033","PMID":"12689781","abstract":"Objective. This study tried to isolate critical biomechanical factors in fall arrests using the upper extremity during simulated forward falls. This study also attempted to find the differences in those factors between young and old age groups. Background. The role of the upper extremity is not well defined despite its primary usage as a local shock absorber during fall impact. Design. Comparative study in which two age groups underwent motion analysis. Methods. Ten healthy older males (mean age, 66.4 years) and 10 young males (mean age, 24.1 years) volunteered to perform self-initiated and cable-released falls at selected falling distances, while the joint motion and impact forces at the hand were recorded. Results. Significant age differences were demonstrated in joint kinematics and impact force parameters at close distances. Excessive reflexive responses of the upper extremity in cable-released falls for the older adults resulted in 10-15 times higher peak impact forces and 2-3 times shorter body braking time than in self-initiated falls. Conclusions. Pre-impact activities of the upper extremity predispose the post-impact response during fall arrests. Suppressing excessive pre-impact reflexive activation of the arms could efficiently decrease the risk of fall-related injuries, which calls for securing sufficient arm movement time. Any fall prevention strategy that can increase arm movement time would be effective against injuries of the upper extremity during falling in the older adults.Relevance The findings will help to understand underlying mechanisms of fall arrest using the upper extremity for prevention of fall-related fractures. ?? 2003 Elsevier Science Ltd. All rights reserved.","author":[{"dropping-particle":"","family":"Kim","given":"Kyu Jung","non-dropping-particle":"","parse-names":false,"suffix":""},{"dropping-particle":"","family":"Ashton-Miller","given":"James A.","non-dropping-particle":"","parse-names":false,"suffix":""}],"container-title":"Clinical Biomechanics","id":"ITEM-1","issue":"4","issued":{"date-parts":[["2003"]]},"page":"311-318","title":"Biomechanics of fall arrest using the upper extremity: Age differences","type":"article-journal","volume":"18"},"uris":["http://www.mendeley.com/documents/?uuid=6abd56db-e6bd-43ec-af5d-7fc998b5d941"]}],"mendeley":{"formattedCitation":"(Kim &amp; Ashton-Miller, 2003)","plainTextFormattedCitation":"(Kim &amp; Ashton-Miller, 2003)","previouslyFormattedCitation":"(Kim &amp; Ashton-Miller, 2003)"},"properties":{"noteIndex":0},"schema":"https://github.com/citation-style-language/schema/raw/master/csl-citation.json"}</w:instrText>
      </w:r>
      <w:r w:rsidR="00E13E92" w:rsidRPr="009B2CDA">
        <w:rPr>
          <w:rFonts w:ascii="Times New Roman" w:hAnsi="Times New Roman" w:cs="Times New Roman"/>
        </w:rPr>
        <w:fldChar w:fldCharType="separate"/>
      </w:r>
      <w:r w:rsidR="005B5832" w:rsidRPr="009B2CDA">
        <w:rPr>
          <w:rFonts w:ascii="Times New Roman" w:hAnsi="Times New Roman" w:cs="Times New Roman"/>
          <w:noProof/>
        </w:rPr>
        <w:t>(Kim &amp; Ashton-Miller, 2003)</w:t>
      </w:r>
      <w:r w:rsidR="00E13E92" w:rsidRPr="009B2CDA">
        <w:rPr>
          <w:rFonts w:ascii="Times New Roman" w:hAnsi="Times New Roman" w:cs="Times New Roman"/>
        </w:rPr>
        <w:fldChar w:fldCharType="end"/>
      </w:r>
      <w:r w:rsidR="008841BD">
        <w:rPr>
          <w:rFonts w:ascii="Times New Roman" w:hAnsi="Times New Roman" w:cs="Times New Roman"/>
        </w:rPr>
        <w:t>.</w:t>
      </w:r>
      <w:r w:rsidR="00E13E92" w:rsidRPr="009B2CDA">
        <w:rPr>
          <w:rFonts w:ascii="Times New Roman" w:hAnsi="Times New Roman" w:cs="Times New Roman"/>
        </w:rPr>
        <w:t xml:space="preserve"> </w:t>
      </w:r>
      <w:r w:rsidR="008841BD">
        <w:rPr>
          <w:rFonts w:ascii="Times New Roman" w:hAnsi="Times New Roman" w:cs="Times New Roman"/>
        </w:rPr>
        <w:t xml:space="preserve">This finding suggests that </w:t>
      </w:r>
      <w:r w:rsidR="00E13E92" w:rsidRPr="009B2CDA">
        <w:rPr>
          <w:rFonts w:ascii="Times New Roman" w:hAnsi="Times New Roman" w:cs="Times New Roman"/>
        </w:rPr>
        <w:t>reflexive pre-impact actions can be detrimental</w:t>
      </w:r>
      <w:r w:rsidR="00E304A5" w:rsidRPr="009B2CDA">
        <w:rPr>
          <w:rFonts w:ascii="Times New Roman" w:hAnsi="Times New Roman" w:cs="Times New Roman"/>
        </w:rPr>
        <w:t xml:space="preserve"> during force attenuation at impact</w:t>
      </w:r>
      <w:r w:rsidR="00E13E92" w:rsidRPr="009B2CDA">
        <w:rPr>
          <w:rFonts w:ascii="Times New Roman" w:hAnsi="Times New Roman" w:cs="Times New Roman"/>
        </w:rPr>
        <w:t xml:space="preserve">. Securing </w:t>
      </w:r>
      <w:r w:rsidR="00D96174" w:rsidRPr="009B2CDA">
        <w:rPr>
          <w:rFonts w:ascii="Times New Roman" w:hAnsi="Times New Roman" w:cs="Times New Roman"/>
        </w:rPr>
        <w:t xml:space="preserve">sufficient </w:t>
      </w:r>
      <w:r w:rsidR="00E13E92" w:rsidRPr="009B2CDA">
        <w:rPr>
          <w:rFonts w:ascii="Times New Roman" w:hAnsi="Times New Roman" w:cs="Times New Roman"/>
        </w:rPr>
        <w:t xml:space="preserve">arm movement </w:t>
      </w:r>
      <w:r w:rsidR="00D96174" w:rsidRPr="009B2CDA">
        <w:rPr>
          <w:rFonts w:ascii="Times New Roman" w:hAnsi="Times New Roman" w:cs="Times New Roman"/>
        </w:rPr>
        <w:t xml:space="preserve">time to implement a pre-impact </w:t>
      </w:r>
      <w:r w:rsidR="006F45F5" w:rsidRPr="009B2CDA">
        <w:rPr>
          <w:rFonts w:ascii="Times New Roman" w:hAnsi="Times New Roman" w:cs="Times New Roman"/>
        </w:rPr>
        <w:lastRenderedPageBreak/>
        <w:t xml:space="preserve">protective </w:t>
      </w:r>
      <w:r w:rsidR="00D96174" w:rsidRPr="009B2CDA">
        <w:rPr>
          <w:rFonts w:ascii="Times New Roman" w:hAnsi="Times New Roman" w:cs="Times New Roman"/>
        </w:rPr>
        <w:t xml:space="preserve">arm response and </w:t>
      </w:r>
      <w:r w:rsidR="00E13E92" w:rsidRPr="009B2CDA">
        <w:rPr>
          <w:rFonts w:ascii="Times New Roman" w:hAnsi="Times New Roman" w:cs="Times New Roman"/>
        </w:rPr>
        <w:t>reducing</w:t>
      </w:r>
      <w:r w:rsidR="00D96174" w:rsidRPr="009B2CDA">
        <w:rPr>
          <w:rFonts w:ascii="Times New Roman" w:hAnsi="Times New Roman" w:cs="Times New Roman"/>
        </w:rPr>
        <w:t xml:space="preserve"> </w:t>
      </w:r>
      <w:r w:rsidR="00E13E92" w:rsidRPr="009B2CDA">
        <w:rPr>
          <w:rFonts w:ascii="Times New Roman" w:hAnsi="Times New Roman" w:cs="Times New Roman"/>
        </w:rPr>
        <w:t xml:space="preserve">excessive </w:t>
      </w:r>
      <w:r w:rsidR="00D96174" w:rsidRPr="009B2CDA">
        <w:rPr>
          <w:rFonts w:ascii="Times New Roman" w:hAnsi="Times New Roman" w:cs="Times New Roman"/>
        </w:rPr>
        <w:t>pre-impact refle</w:t>
      </w:r>
      <w:r w:rsidR="00E13E92" w:rsidRPr="009B2CDA">
        <w:rPr>
          <w:rFonts w:ascii="Times New Roman" w:hAnsi="Times New Roman" w:cs="Times New Roman"/>
        </w:rPr>
        <w:t>xive</w:t>
      </w:r>
      <w:r w:rsidR="00D96174" w:rsidRPr="009B2CDA">
        <w:rPr>
          <w:rFonts w:ascii="Times New Roman" w:hAnsi="Times New Roman" w:cs="Times New Roman"/>
        </w:rPr>
        <w:t xml:space="preserve"> responses may lead to a reduction in injuries to the upper limb</w:t>
      </w:r>
      <w:r w:rsidR="00B94075">
        <w:rPr>
          <w:rFonts w:ascii="Times New Roman" w:hAnsi="Times New Roman" w:cs="Times New Roman"/>
        </w:rPr>
        <w:t xml:space="preserve">, </w:t>
      </w:r>
      <w:r w:rsidR="00B94075" w:rsidRPr="00862598">
        <w:rPr>
          <w:rFonts w:ascii="Times New Roman" w:hAnsi="Times New Roman" w:cs="Times New Roman"/>
        </w:rPr>
        <w:t>head and trunk</w:t>
      </w:r>
      <w:r w:rsidR="00D96174" w:rsidRPr="009B2CDA">
        <w:rPr>
          <w:rFonts w:ascii="Times New Roman" w:hAnsi="Times New Roman" w:cs="Times New Roman"/>
        </w:rPr>
        <w:t xml:space="preserve"> </w:t>
      </w:r>
      <w:r w:rsidR="00D96174"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{"citationItems":[{"id":"ITEM-1","itemData":{"DOI":"10.1016/S0268-0033(03)00005-6","ISBN":"0268-0033","ISSN":"02680033","PMID":"12689781","abstract":"Objective. This study tried to isolate critical biomechanical factors in fall arrests using the upper extremity during simulated forward falls. This study also attempted to find the differences in those factors between young and old age groups. Background. The role of the upper extremity is not well defined despite its primary usage as a local shock absorber during fall impact. Design. Comparative study in which two age groups underwent motion analysis. Methods. Ten healthy older males (mean age, 66.4 years) and 10 young males (mean age, 24.1 years) volunteered to perform self-initiated and cable-released falls at selected falling distances, while the joint motion and impact forces at the hand were recorded. Results. Significant age differences were demonstrated in joint kinematics and impact force parameters at close distances. Excessive reflexive responses of the upper extremity in cable-released falls for the older adults resulted in 10-15 times higher peak impact forces and 2-3 times shorter body braking time than in self-initiated falls. Conclusions. Pre-impact activities of the upper extremity predispose the post-impact response during fall arrests. Suppressing excessive pre-impact reflexive activation of the arms could efficiently decrease the risk of fall-related injuries, which calls for securing sufficient arm movement time. Any fall prevention strategy that can increase arm movement time would be effective against injuries of the upper extremity during falling in the older adults.Relevance The findings will help to understand underlying mechanisms of fall arrest using the upper extremity for prevention of fall-related fractures. ?? 2003 Elsevier Science Ltd. All rights reserved.","author":[{"dropping-particle":"","family":"Kim","given":"Kyu Jung","non-dropping-particle":"","parse-names":false,"suffix":""},{"dropping-particle":"","family":"Ashton-Miller","given":"James A.","non-dropping-particle":"","parse-names":false,"suffix":""}],"container-title":"Clinical Biomechanics","id":"ITEM-1","issue":"4","issued":{"date-parts":[["2003"]]},"page":"311-318","title":"Biomechanics of fall arrest using the upper extremity: Age differences","type":"article-journal","volume":"18"},"uris":["http://www.mendeley.com/documents/?uuid=6abd56db-e6bd-43ec-af5d-7fc998b5d941"]}],"mendeley":{"formattedCitation":"(Kim &amp; Ashton-Miller, 2003)","plainTextFormattedCitation":"(Kim &amp; Ashton-Miller, 2003)","previouslyFormattedCitation":"(Kim &amp; Ashton-Miller, 2003)"},"properties":{"noteIndex":0},"schema":"https://github.com/citation-style-language/schema/raw/master/csl-citation.json"}</w:instrText>
      </w:r>
      <w:r w:rsidR="00D96174" w:rsidRPr="009B2CDA">
        <w:rPr>
          <w:rFonts w:ascii="Times New Roman" w:hAnsi="Times New Roman" w:cs="Times New Roman"/>
        </w:rPr>
        <w:fldChar w:fldCharType="separate"/>
      </w:r>
      <w:r w:rsidR="005B5832" w:rsidRPr="009B2CDA">
        <w:rPr>
          <w:rFonts w:ascii="Times New Roman" w:hAnsi="Times New Roman" w:cs="Times New Roman"/>
          <w:noProof/>
        </w:rPr>
        <w:t>(Kim &amp; Ashton-Miller, 2003)</w:t>
      </w:r>
      <w:r w:rsidR="00D96174" w:rsidRPr="009B2CDA">
        <w:rPr>
          <w:rFonts w:ascii="Times New Roman" w:hAnsi="Times New Roman" w:cs="Times New Roman"/>
        </w:rPr>
        <w:fldChar w:fldCharType="end"/>
      </w:r>
      <w:r w:rsidR="000913D1" w:rsidRPr="009B2CDA">
        <w:rPr>
          <w:rFonts w:ascii="Times New Roman" w:hAnsi="Times New Roman" w:cs="Times New Roman"/>
        </w:rPr>
        <w:t>.</w:t>
      </w:r>
    </w:p>
    <w:p w14:paraId="6AE27ACF" w14:textId="499CAC95" w:rsidR="00501CA0" w:rsidRPr="009B2CDA" w:rsidRDefault="00A614FA" w:rsidP="00A33C2E">
      <w:pPr>
        <w:spacing w:line="480" w:lineRule="auto"/>
        <w:ind w:firstLine="720"/>
        <w:rPr>
          <w:rFonts w:ascii="Times New Roman" w:hAnsi="Times New Roman" w:cs="Times New Roman"/>
        </w:rPr>
      </w:pPr>
      <w:r w:rsidRPr="009B2CDA">
        <w:rPr>
          <w:rFonts w:ascii="Times New Roman" w:hAnsi="Times New Roman" w:cs="Times New Roman"/>
        </w:rPr>
        <w:t>A</w:t>
      </w:r>
      <w:r w:rsidR="004A4DE4" w:rsidRPr="009B2CDA">
        <w:rPr>
          <w:rFonts w:ascii="Times New Roman" w:hAnsi="Times New Roman" w:cs="Times New Roman"/>
        </w:rPr>
        <w:t xml:space="preserve"> better</w:t>
      </w:r>
      <w:r w:rsidR="00152B54" w:rsidRPr="009B2CDA">
        <w:rPr>
          <w:rFonts w:ascii="Times New Roman" w:hAnsi="Times New Roman" w:cs="Times New Roman"/>
        </w:rPr>
        <w:t xml:space="preserve"> understanding of factors that can improve </w:t>
      </w:r>
      <w:r w:rsidRPr="009B2CDA">
        <w:rPr>
          <w:rFonts w:ascii="Times New Roman" w:hAnsi="Times New Roman" w:cs="Times New Roman"/>
        </w:rPr>
        <w:t xml:space="preserve">pre-impact </w:t>
      </w:r>
      <w:r w:rsidR="00152B54" w:rsidRPr="009B2CDA">
        <w:rPr>
          <w:rFonts w:ascii="Times New Roman" w:hAnsi="Times New Roman" w:cs="Times New Roman"/>
        </w:rPr>
        <w:t>arm movement responses</w:t>
      </w:r>
      <w:r w:rsidR="004A4DE4" w:rsidRPr="009B2CDA">
        <w:rPr>
          <w:rFonts w:ascii="Times New Roman" w:hAnsi="Times New Roman" w:cs="Times New Roman"/>
        </w:rPr>
        <w:t xml:space="preserve"> is needed</w:t>
      </w:r>
      <w:r w:rsidR="00152B54" w:rsidRPr="009B2CDA">
        <w:rPr>
          <w:rFonts w:ascii="Times New Roman" w:hAnsi="Times New Roman" w:cs="Times New Roman"/>
        </w:rPr>
        <w:t xml:space="preserve"> </w:t>
      </w:r>
      <w:r w:rsidR="00EE7B2E" w:rsidRPr="009B2CDA">
        <w:rPr>
          <w:rFonts w:ascii="Times New Roman" w:hAnsi="Times New Roman" w:cs="Times New Roman"/>
        </w:rPr>
        <w:t>to reduce the risk of</w:t>
      </w:r>
      <w:r w:rsidR="003A2DE2" w:rsidRPr="009B2CDA">
        <w:rPr>
          <w:rFonts w:ascii="Times New Roman" w:hAnsi="Times New Roman" w:cs="Times New Roman"/>
        </w:rPr>
        <w:t xml:space="preserve"> </w:t>
      </w:r>
      <w:r w:rsidR="00152B54" w:rsidRPr="009B2CDA">
        <w:rPr>
          <w:rFonts w:ascii="Times New Roman" w:hAnsi="Times New Roman" w:cs="Times New Roman"/>
        </w:rPr>
        <w:t xml:space="preserve">injuries </w:t>
      </w:r>
      <w:r w:rsidR="00323B07" w:rsidRPr="009B2CDA">
        <w:rPr>
          <w:rFonts w:ascii="Times New Roman" w:hAnsi="Times New Roman" w:cs="Times New Roman"/>
        </w:rPr>
        <w:t xml:space="preserve">to the upper limb, head or trunk </w:t>
      </w:r>
      <w:r w:rsidR="00152B54" w:rsidRPr="009B2CDA">
        <w:rPr>
          <w:rFonts w:ascii="Times New Roman" w:hAnsi="Times New Roman" w:cs="Times New Roman"/>
        </w:rPr>
        <w:t xml:space="preserve">during falls in older adults </w:t>
      </w:r>
      <w:r w:rsidR="00501CA0"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{"citationItems":[{"id":"ITEM-1","itemData":{"DOI":"10.1016/S0268-0033(03)00005-6","ISBN":"0268-0033","ISSN":"02680033","PMID":"12689781","abstract":"Objective. This study tried to isolate critical biomechanical factors in fall arrests using the upper extremity during simulated forward falls. This study also attempted to find the differences in those factors between young and old age groups. Background. The role of the upper extremity is not well defined despite its primary usage as a local shock absorber during fall impact. Design. Comparative study in which two age groups underwent motion analysis. Methods. Ten healthy older males (mean age, 66.4 years) and 10 young males (mean age, 24.1 years) volunteered to perform self-initiated and cable-released falls at selected falling distances, while the joint motion and impact forces at the hand were recorded. Results. Significant age differences were demonstrated in joint kinematics and impact force parameters at close distances. Excessive reflexive responses of the upper extremity in cable-released falls for the older adults resulted in 10-15 times higher peak impact forces and 2-3 times shorter body braking time than in self-initiated falls. Conclusions. Pre-impact activities of the upper extremity predispose the post-impact response during fall arrests. Suppressing excessive pre-impact reflexive activation of the arms could efficiently decrease the risk of fall-related injuries, which calls for securing sufficient arm movement time. Any fall prevention strategy that can increase arm movement time would be effective against injuries of the upper extremity during falling in the older adults.Relevance The findings will help to understand underlying mechanisms of fall arrest using the upper extremity for prevention of fall-related fractures. ?? 2003 Elsevier Science Ltd. All rights reserved.","author":[{"dropping-particle":"","family":"Kim","given":"Kyu Jung","non-dropping-particle":"","parse-names":false,"suffix":""},{"dropping-particle":"","family":"Ashton-Miller","given":"James A.","non-dropping-particle":"","parse-names":false,"suffix":""}],"container-title":"Clinical Biomechanics","id":"ITEM-1","issue":"4","issued":{"date-parts":[["2003"]]},"page":"311-318","title":"Biomechanics of fall arrest using the upper extremity: Age differences","type":"article-journal","volume":"18"},"uris":["http://www.mendeley.com/documents/?uuid=6abd56db-e6bd-43ec-af5d-7fc998b5d941"]}],"mendeley":{"formattedCitation":"(Kim &amp; Ashton-Miller, 2003)","plainTextFormattedCitation":"(Kim &amp; Ashton-Miller, 2003)","previouslyFormattedCitation":"(Kim &amp; Ashton-Miller, 2003)"},"properties":{"noteIndex":0},"schema":"https://github.com/citation-style-language/schema/raw/master/csl-citation.json"}</w:instrText>
      </w:r>
      <w:r w:rsidR="00501CA0" w:rsidRPr="009B2CDA">
        <w:rPr>
          <w:rFonts w:ascii="Times New Roman" w:hAnsi="Times New Roman" w:cs="Times New Roman"/>
        </w:rPr>
        <w:fldChar w:fldCharType="separate"/>
      </w:r>
      <w:r w:rsidR="005B5832" w:rsidRPr="009B2CDA">
        <w:rPr>
          <w:rFonts w:ascii="Times New Roman" w:hAnsi="Times New Roman" w:cs="Times New Roman"/>
          <w:noProof/>
        </w:rPr>
        <w:t>(Kim &amp; Ashton-Miller, 2003)</w:t>
      </w:r>
      <w:r w:rsidR="00501CA0" w:rsidRPr="009B2CDA">
        <w:rPr>
          <w:rFonts w:ascii="Times New Roman" w:hAnsi="Times New Roman" w:cs="Times New Roman"/>
        </w:rPr>
        <w:fldChar w:fldCharType="end"/>
      </w:r>
      <w:r w:rsidR="00152B54" w:rsidRPr="009B2CDA">
        <w:rPr>
          <w:rFonts w:ascii="Times New Roman" w:hAnsi="Times New Roman" w:cs="Times New Roman"/>
        </w:rPr>
        <w:t xml:space="preserve">. </w:t>
      </w:r>
      <w:r w:rsidRPr="009B2CDA">
        <w:rPr>
          <w:rFonts w:ascii="Times New Roman" w:hAnsi="Times New Roman" w:cs="Times New Roman"/>
        </w:rPr>
        <w:t xml:space="preserve">Muscle strength has been associated with an individual’s ability to perform appropriate </w:t>
      </w:r>
      <w:r w:rsidR="008841BD">
        <w:rPr>
          <w:rFonts w:ascii="Times New Roman" w:hAnsi="Times New Roman" w:cs="Times New Roman"/>
        </w:rPr>
        <w:t xml:space="preserve">and timely </w:t>
      </w:r>
      <w:r w:rsidRPr="009B2CDA">
        <w:rPr>
          <w:rFonts w:ascii="Times New Roman" w:hAnsi="Times New Roman" w:cs="Times New Roman"/>
        </w:rPr>
        <w:t xml:space="preserve">arm responses </w:t>
      </w:r>
      <w:r w:rsidRPr="009B2CDA">
        <w:rPr>
          <w:rFonts w:ascii="Times New Roman" w:hAnsi="Times New Roman" w:cs="Times New Roman"/>
        </w:rPr>
        <w:fldChar w:fldCharType="begin" w:fldLock="1"/>
      </w:r>
      <w:r w:rsidR="00453659">
        <w:rPr>
          <w:rFonts w:ascii="Times New Roman" w:hAnsi="Times New Roman" w:cs="Times New Roman"/>
        </w:rPr>
        <w:instrText>ADDIN CSL_CITATION {"citationItems":[{"id":"ITEM-1","itemData":{"DOI":"60/12/1553 [pii]","ISBN":"1079-5006 (Print)\\n1079-5006 (Linking)","ISSN":"1079-5006","PMID":"16424287","abstract":"BACKGROUND: Risk for hip fracture during a fall is reduced by contacting the ground first with the outstretched hands. However, it is unclear whether the time required for young and elderly individuals to move the hands into a protective position exceeds that available during a typical fall. METHODS: We tested whether young (n = 30; aged 18-35 years) and elderly women (n = 30; aged 70-88 years) differed in the time required to move their hands into a protective position for breaking a fall. Participants stood either facing or sideways to shoulder-height targets (simulating forward and sideways falls, respectively), which they were instructed to contact as quickly as possible after hearing an aural go cue. Total contact time was partitioned into reaction time and movement time. RESULTS: Young women contacted the targets faster than elderly women in both forward (530 +/- 60 vs 615 +/- 88 ms; p &lt;.001) and sideways trials (658 +/- 80 vs 799 +/- 145 ms; p &lt;.001). This difference was due to faster movement times for young participants. There was no difference between groups in reaction time. CONCLUSIONS: Previous studies have shown that during actual falls from standing, wrist and pelvis contact occur at 680 +/- 116 and 715 +/- 160 ms, respectively. Comparing these values to our results suggests that the typical elderly woman should be able to move her hands quickly enough to break a forward fall, but not a sideways fall.","author":[{"dropping-particle":"","family":"Robinovitch","given":"Stephen N","non-dropping-particle":"","parse-names":false,"suffix":""},{"dropping-particle":"","family":"Normandin","given":"Sarah C","non-dropping-particle":"","parse-names":false,"suffix":""},{"dropping-particle":"","family":"Stotz","given":"Paula","non-dropping-particle":"","parse-names":false,"suffix":""},{"dropping-particle":"","family":"Maurer","given":"Jessica D","non-dropping-particle":"","parse-names":false,"suffix":""}],"container-title":"The journals of gerontology. Series A, Biological sciences and medical sciences","id":"ITEM-1","issue":"12","issued":{"date-parts":[["2005"]]},"page":"1553-1557","title":"Time requirement for young and elderly women to move into a position for breaking a fall with outstretched hands.","type":"article-journal","volume":"60"},"uris":["http://www.mendeley.com/documents/?uuid=4d42e289-8bff-4c16-af86-25c47e9f82c8"]},{"id":"ITEM-2","itemData":{"DOI":"10.1016/S0021-9290(02)00396-2","ISBN":"0021-9290 (Print)\\n0021-9290 (Linking)","ISSN":"00219290","PMID":"12594989","abstract":"Computer simulation was used to predict the extent to which age-related muscle atrophy may adversely affect the safe arrest of a forward fall onto the arms. The biomechanical factors affecting the separate risks for wrist fracture or head impact were examined using a two-dimensional, 5-link, forward dynamic model. The hypothesis was tested in older females that age-related loss in muscular strength renders the use of the arms ineffective in arresting a forward fall without either a torso impact exceeding 0.5m/s or distal forearm loads sufficient to fracture the wrist. The results demonstrate that typical age-related decline in arm muscle strength substantially reduces the ability to arrest a forward fall without the elbows buckling and, therefore, a risk of torso and/or head impact. The model predicted that older women with below-average bone strength risk a Colles fracture when arresting typical falls, particularly with an extended arm. ?? 2003 Elsevier Science Ltd. All rights reserved.","author":[{"dropping-particle":"","family":"DeGoede","given":"Kurt M.","non-dropping-particle":"","parse-names":false,"suffix":""},{"dropping-particle":"","family":"Ashton-Miller","given":"James A.","non-dropping-particle":"","parse-names":false,"suffix":""}],"container-title":"Journal of Biomechanics","id":"ITEM-2","issue":"3","issued":{"date-parts":[["2003"]]},"page":"413-420","title":"Biomechanical simulations of forward fall arrests: Effects of upper extremity arrest strategy, gender and aging-related declines in muscle strength","type":"article-journal","volume":"36"},"uris":["http://www.mendeley.com/documents/?uuid=644dfc78-44f8-4916-8537-912f17014a6c"]}],"mendeley":{"formattedCitation":"(Kurt M. DeGoede &amp; Ashton-Miller, 2003; Robinovitch et al., 2005)","manualFormatting":"(DeGoede &amp; Ashton-Miller, 2003; Robinovitch et al., 2005)","plainTextFormattedCitation":"(Kurt M. DeGoede &amp; Ashton-Miller, 2003; Robinovitch et al., 2005)","previouslyFormattedCitation":"(Kurt M. DeGoede &amp; Ashton-Miller, 2003; Robinovitch et al., 2005)"},"properties":{"noteIndex":0},"schema":"https://github.com/citation-style-language/schema/raw/master/csl-citation.json"}</w:instrText>
      </w:r>
      <w:r w:rsidRPr="009B2CDA">
        <w:rPr>
          <w:rFonts w:ascii="Times New Roman" w:hAnsi="Times New Roman" w:cs="Times New Roman"/>
        </w:rPr>
        <w:fldChar w:fldCharType="separate"/>
      </w:r>
      <w:r w:rsidR="005B5832" w:rsidRPr="009B2CDA">
        <w:rPr>
          <w:rFonts w:ascii="Times New Roman" w:hAnsi="Times New Roman" w:cs="Times New Roman"/>
          <w:noProof/>
        </w:rPr>
        <w:t>(DeGoede &amp; Ashton-Miller, 2003; Robinovitch et al., 2005)</w:t>
      </w:r>
      <w:r w:rsidRPr="009B2CDA">
        <w:rPr>
          <w:rFonts w:ascii="Times New Roman" w:hAnsi="Times New Roman" w:cs="Times New Roman"/>
        </w:rPr>
        <w:fldChar w:fldCharType="end"/>
      </w:r>
      <w:r w:rsidR="008841BD">
        <w:rPr>
          <w:rFonts w:ascii="Times New Roman" w:hAnsi="Times New Roman" w:cs="Times New Roman"/>
        </w:rPr>
        <w:t>. In</w:t>
      </w:r>
      <w:r w:rsidRPr="009B2CDA">
        <w:rPr>
          <w:rFonts w:ascii="Times New Roman" w:hAnsi="Times New Roman" w:cs="Times New Roman"/>
        </w:rPr>
        <w:t xml:space="preserve"> addition, insufficient upper extremity strength may reduce the ability of the arms to withstand an impact following a fall </w:t>
      </w:r>
      <w:r w:rsidRPr="009B2CDA">
        <w:rPr>
          <w:rFonts w:ascii="Times New Roman" w:hAnsi="Times New Roman" w:cs="Times New Roman"/>
        </w:rPr>
        <w:fldChar w:fldCharType="begin" w:fldLock="1"/>
      </w:r>
      <w:r w:rsidR="00A13716">
        <w:rPr>
          <w:rFonts w:ascii="Times New Roman" w:hAnsi="Times New Roman" w:cs="Times New Roman"/>
        </w:rPr>
        <w:instrText>ADDIN CSL_CITATION {"citationItems":[{"id":"ITEM-1","itemData":{"DOI":"10.1111/j.1532-5415.1993.tb07307.x","ISSN":"00028614","author":[{"dropping-particle":"","family":"Nevitt","given":"Michael C.","non-dropping-particle":"","parse-names":false,"suffix":""},{"dropping-particle":"","family":"Cummings","given":"Steven R.","non-dropping-particle":"","parse-names":false,"suffix":""}],"container-title":"Journal of the American Geriatrics Society","id":"ITEM-1","issue":"11","issued":{"date-parts":[["1993","11","1"]]},"page":"1226-1234","publisher":"Blackwell Publishing Ltd","title":"Type of fall and risk of hip and wrist fractures: The study of osteoporotic fractures","type":"article-journal","volume":"41"},"uris":["http://www.mendeley.com/documents/?uuid=d1c8cf93-9c19-3ccf-b5e2-342f32d6e290"]},{"id":"ITEM-2","itemData":{"DOI":"10.1093/gerona/glp153","ISSN":"10795006","PMID":"19861641","abstract":"BACKGROUND:Falls are the number one cause of unintentional injury in older adults. The protective response of \"breaking the fall\" with the outstretched hand is often essential for avoiding injury to the hip and head. In this study, we compared the ability of young and older women to absorb the impact energy of a fall in the outstretched arms.\\n\\nMETHODS:Twenty young (mean age = 21 years) and 20 older (M = 78 years) women were instructed to slowly lower their body weight, similar to the descent phase of a push-up, from body lean angles ranging from 15 degrees to 90 degrees . Measures were acquired of peak upper extremity energy absorption, arm deflection, and hand contact force.\\n\\nRESULTS:On average, older women were able to absorb 45% less energy in the dominant arm than young women (1.7 +/- 0.5% vs 3.1 +/- 0.4% of their body weight x body height; p &lt; .001). These results suggest that, even when both arms participate equally, the average energy content of a forward fall exceeds by 5-fold the average energy that our older participants could absorb and exceeds by 2.7-fold the average energy that young participants could absorb.\\n\\nCONCLUSIONS:During a descent movement that simulates fall arrest, the energy-absorbing capacity of the upper extremities in older women is nearly half that of young women. Absorbing the full energy of a fall in the upper extremities is a challenging task even for healthy young women. Strengthening of upper extremity muscles should enhance this ability and presumably reduce the risk for injury to the hip and head during a fall.","author":[{"dropping-particle":"","family":"Sran","given":"Meena M.","non-dropping-particle":"","parse-names":false,"suffix":""},{"dropping-particle":"","family":"Stotz","given":"Paula J.","non-dropping-particle":"","parse-names":false,"suffix":""},{"dropping-particle":"","family":"Normandin","given":"Sarah C.","non-dropping-particle":"","parse-names":false,"suffix":""},{"dropping-particle":"","family":"Robinovitch","given":"Stephen N.","non-dropping-particle":"","parse-names":false,"suffix":""}],"container-title":"Journals of Gerontology - Series A Biological Sciences and Medical Sciences","id":"ITEM-2","issue":"3","issued":{"date-parts":[["2010"]]},"page":"312-317","title":"Age differences in energy absorption in the upper extremity during a descent movement: Implications for arresting a fall","type":"article-journal","volume":"65 A"},"uris":["http://www.mendeley.com/documents/?uuid=31cb75b8-cfae-40bb-9d3f-8467ae1d5c12"]},{"id":"ITEM-3","itemData":{"DOI":"10.1016/S0021-9290(03)00034-4","ISBN":"0021-9290","ISSN":"00219290","PMID":"12757814","abstract":"Although the epidemiology of fall-related injuries is well established for the elderly population over 65 years of age, the biomechanics of how, when and why injuries do and do not occur when arresting a fall have received relatively little attention. This paper reviews the epidemiological literature in the MEDLINE data base pertinent to the biomechanics of fall-related injuries, including data on fall rates, fall-related injury rates, fall directions and types of injuries available. It also covers primary sources not listed on MEDLINE, along with the pertinent biomechanics literature. Many falls in older adults are in a forward direction, and as a result the upper extremities are one of the most commonly injured structures, presumably in protecting the head and torso. In this review emphasis is placed on what is, and what is not, known of the biomechanical factors that determine the impact forces and injury risk associated with upper extremity injuries in forward falls. While decreased bone mineral density may be contributory, it is not a reliable predictor of fracture risk. Evidence is presented that fall-related impact forces can be reduced by appropriate volitional arrest strategies. Further theoretical and experimental research is needed to identify appropriate fall-arrest strategies for the elderly, as well as the physical capacities and skills required to do so. Inexpensive interventions might then be developed to teach safe fall-arrest techniques to older individuals. © 2003 Elsevier Science Ltd. All rights reserved.","author":[{"dropping-particle":"","family":"DeGoede","given":"K. M.","non-dropping-particle":"","parse-names":false,"suffix":""},{"dropping-particle":"","family":"Ashton-Miller","given":"J. A.","non-dropping-particle":"","parse-names":false,"suffix":""},{"dropping-particle":"","family":"Schultz","given":"A. B.","non-dropping-particle":"","parse-names":false,"suffix":""}],"container-title":"Journal of Biomechanics","id":"ITEM-3","issue":"7","issued":{"date-parts":[["2003"]]},"page":"1043-1053","title":"Fall-related upper body injuries in the older adult: A review of the biomechanical issues","type":"article-journal","volume":"36"},"uris":["http://www.mendeley.com/documents/?uuid=e06d0119-b0bd-4a42-bc7f-571040611ee1"]},{"id":"ITEM-4","itemData":{"DOI":"10.1016/S0021-9290(02)00396-2","ISBN":"0021-9290 (Print)\\n0021-9290 (Linking)","ISSN":"00219290","PMID":"12594989","abstract":"Computer simulation was used to predict the extent to which age-related muscle atrophy may adversely affect the safe arrest of a forward fall onto the arms. The biomechanical factors affecting the separate risks for wrist fracture or head impact were examined using a two-dimensional, 5-link, forward dynamic model. The hypothesis was tested in older females that age-related loss in muscular strength renders the use of the arms ineffective in arresting a forward fall without either a torso impact exceeding 0.5m/s or distal forearm loads sufficient to fracture the wrist. The results demonstrate that typical age-related decline in arm muscle strength substantially reduces the ability to arrest a forward fall without the elbows buckling and, therefore, a risk of torso and/or head impact. The model predicted that older women with below-average bone strength risk a Colles fracture when arresting typical falls, particularly with an extended arm. ?? 2003 Elsevier Science Ltd. All rights reserved.","author":[{"dropping-particle":"","family":"DeGoede","given":"Kurt M.","non-dropping-particle":"","parse-names":false,"suffix":""},{"dropping-particle":"","family":"Ashton-Miller","given":"James A.","non-dropping-particle":"","parse-names":false,"suffix":""}],"container-title":"Journal of Biomechanics","id":"ITEM-4","issue":"3","issued":{"date-parts":[["2003"]]},"page":"413-420","title":"Biomechanical simulations of forward fall arrests: Effects of upper extremity arrest strategy, gender and aging-related declines in muscle strength","type":"article-journal","volume":"36"},"uris":["http://www.mendeley.com/documents/?uuid=644dfc78-44f8-4916-8537-912f17014a6c"]}],"mendeley":{"formattedCitation":"(K. M. DeGoede et al., 2003; Kurt M. DeGoede &amp; Ashton-Miller, 2003; Nevitt &amp; Cummings, 1993; Sran, Stotz, Normandin, &amp; Robinovitch, 2010)","manualFormatting":"(DeGoede et al., 2003; DeGoede &amp; Ashton-Miller, 2003; Nevitt &amp; Cummings, 1993; Sran, Stotz, Normandin, &amp; Robinovitch, 2010)","plainTextFormattedCitation":"(K. M. DeGoede et al., 2003; Kurt M. DeGoede &amp; Ashton-Miller, 2003; Nevitt &amp; Cummings, 1993; Sran, Stotz, Normandin, &amp; Robinovitch, 2010)","previouslyFormattedCitation":"(K. M. DeGoede et al., 2003; Kurt M. DeGoede &amp; Ashton-Miller, 2003; Nevitt &amp; Cummings, 1993; Sran, Stotz, Normandin, &amp; Robinovitch, 2010)"},"properties":{"noteIndex":0},"schema":"https://github.com/citation-style-language/schema/raw/master/csl-citation.json"}</w:instrText>
      </w:r>
      <w:r w:rsidRPr="009B2CDA">
        <w:rPr>
          <w:rFonts w:ascii="Times New Roman" w:hAnsi="Times New Roman" w:cs="Times New Roman"/>
        </w:rPr>
        <w:fldChar w:fldCharType="separate"/>
      </w:r>
      <w:r w:rsidR="005B5832" w:rsidRPr="009B2CDA">
        <w:rPr>
          <w:rFonts w:ascii="Times New Roman" w:hAnsi="Times New Roman" w:cs="Times New Roman"/>
          <w:noProof/>
        </w:rPr>
        <w:t>(DeGoede et al., 2003;</w:t>
      </w:r>
      <w:r w:rsidR="00453659">
        <w:rPr>
          <w:rFonts w:ascii="Times New Roman" w:hAnsi="Times New Roman" w:cs="Times New Roman"/>
          <w:noProof/>
        </w:rPr>
        <w:t xml:space="preserve"> </w:t>
      </w:r>
      <w:r w:rsidR="005B5832" w:rsidRPr="009B2CDA">
        <w:rPr>
          <w:rFonts w:ascii="Times New Roman" w:hAnsi="Times New Roman" w:cs="Times New Roman"/>
          <w:noProof/>
        </w:rPr>
        <w:t>DeGoede &amp; Ashton-Miller, 2003; Nevitt &amp; Cummings, 1993; Sran, Stotz, Normandin, &amp; Robinovitch, 2010)</w:t>
      </w:r>
      <w:r w:rsidRPr="009B2CDA">
        <w:rPr>
          <w:rFonts w:ascii="Times New Roman" w:hAnsi="Times New Roman" w:cs="Times New Roman"/>
        </w:rPr>
        <w:fldChar w:fldCharType="end"/>
      </w:r>
      <w:r w:rsidRPr="009B2CDA">
        <w:rPr>
          <w:rFonts w:ascii="Times New Roman" w:hAnsi="Times New Roman" w:cs="Times New Roman"/>
        </w:rPr>
        <w:t>.</w:t>
      </w:r>
      <w:r w:rsidR="003C3A15" w:rsidRPr="009B2CDA">
        <w:rPr>
          <w:rFonts w:ascii="Times New Roman" w:hAnsi="Times New Roman" w:cs="Times New Roman"/>
        </w:rPr>
        <w:t xml:space="preserve"> </w:t>
      </w:r>
      <w:r w:rsidR="0029501E">
        <w:rPr>
          <w:rFonts w:ascii="Times New Roman" w:hAnsi="Times New Roman" w:cs="Times New Roman"/>
        </w:rPr>
        <w:t xml:space="preserve">Upper limb reaction time is </w:t>
      </w:r>
      <w:r w:rsidR="008841BD">
        <w:rPr>
          <w:rFonts w:ascii="Times New Roman" w:hAnsi="Times New Roman" w:cs="Times New Roman"/>
        </w:rPr>
        <w:t xml:space="preserve">included as a fall risk component </w:t>
      </w:r>
      <w:r w:rsidR="008D1A33">
        <w:rPr>
          <w:rFonts w:ascii="Times New Roman" w:hAnsi="Times New Roman" w:cs="Times New Roman"/>
        </w:rPr>
        <w:t>in some comprehensive</w:t>
      </w:r>
      <w:r w:rsidR="0029501E">
        <w:rPr>
          <w:rFonts w:ascii="Times New Roman" w:hAnsi="Times New Roman" w:cs="Times New Roman"/>
        </w:rPr>
        <w:t xml:space="preserve"> assessment tools </w:t>
      </w:r>
      <w:r w:rsidR="0029501E">
        <w:rPr>
          <w:rFonts w:ascii="Times New Roman" w:hAnsi="Times New Roman" w:cs="Times New Roman"/>
        </w:rPr>
        <w:fldChar w:fldCharType="begin" w:fldLock="1"/>
      </w:r>
      <w:r w:rsidR="009C0BA4">
        <w:rPr>
          <w:rFonts w:ascii="Times New Roman" w:hAnsi="Times New Roman" w:cs="Times New Roman"/>
        </w:rPr>
        <w:instrText>ADDIN CSL_CITATION {"citationItems":[{"id":"ITEM-1","itemData":{"DOI":"10.1017/CBO9780511722233.018","ISBN":"0031-9023","ISSN":"1538-6724","PMID":"12620088","abstract":"The purpose of this perspective article is to describe the use of a physiological profile approach to falls risk assessment and prevention that has been developed by the Falls and Balance Research Group of the Prince of Wales Medical Research Institute, Sydney, Australia. The profile's use for people with a variety of factors that put them at risk for falls is discussed. The Physiological Profile Assessment (PPA) involves a series of simple tests of vision, peripheral sensation, muscle force, reaction time, and postural sway. The tests can be administered quickly, and all equipment needed is portable. The results can be used to differentiate people who are at risk for falls (\"fallers\") from people who are not at risk for falls (\"nonfallers\"). A computer program using data from the PPA can be used to assess an individual's performance in relation to a normative database so that deficits can be targeted for intervention. The PPA provides valid and reliable measurements that can be used for assessing falls risk and evaluating the effectiveness of interventions and is suitable for use in a range of physical therapy and health care settings.","author":[{"dropping-particle":"","family":"Lord","given":"Stephen R.","non-dropping-particle":"","parse-names":false,"suffix":""},{"dropping-particle":"","family":"Sherrington","given":"Catherine","non-dropping-particle":"","parse-names":false,"suffix":""},{"dropping-particle":"","family":"Menz","given":"Hylton B.","non-dropping-particle":"","parse-names":false,"suffix":""},{"dropping-particle":"","family":"Close","given":"Jacqueline C. T.","non-dropping-particle":"","parse-names":false,"suffix":""}],"container-title":"Falls in Older People","id":"ITEM-1","issue":"3","issued":{"date-parts":[["2003"]]},"page":"333-356","title":"A physiological profile approach to falls risk assessment and prevention","type":"article-journal","volume":"83"},"uris":["http://www.mendeley.com/documents/?uuid=79867669-ac09-4b23-a7b3-f7eac8666484"]}],"mendeley":{"formattedCitation":"(Lord, Sherrington, Menz, &amp; Close, 2003)","plainTextFormattedCitation":"(Lord, Sherrington, Menz, &amp; Close, 2003)","previouslyFormattedCitation":"(Lord, Sherrington, Menz, &amp; Close, 2003)"},"properties":{"noteIndex":0},"schema":"https://github.com/citation-style-language/schema/raw/master/csl-citation.json"}</w:instrText>
      </w:r>
      <w:r w:rsidR="0029501E">
        <w:rPr>
          <w:rFonts w:ascii="Times New Roman" w:hAnsi="Times New Roman" w:cs="Times New Roman"/>
        </w:rPr>
        <w:fldChar w:fldCharType="separate"/>
      </w:r>
      <w:r w:rsidR="0029501E" w:rsidRPr="00A13716">
        <w:rPr>
          <w:rFonts w:ascii="Times New Roman" w:hAnsi="Times New Roman" w:cs="Times New Roman"/>
          <w:noProof/>
        </w:rPr>
        <w:t>(Lord, Sherrington, Menz, &amp; Close, 2003)</w:t>
      </w:r>
      <w:r w:rsidR="0029501E">
        <w:rPr>
          <w:rFonts w:ascii="Times New Roman" w:hAnsi="Times New Roman" w:cs="Times New Roman"/>
        </w:rPr>
        <w:fldChar w:fldCharType="end"/>
      </w:r>
      <w:r w:rsidR="0029501E">
        <w:rPr>
          <w:rFonts w:ascii="Times New Roman" w:hAnsi="Times New Roman" w:cs="Times New Roman"/>
        </w:rPr>
        <w:t xml:space="preserve">, however, it is </w:t>
      </w:r>
      <w:r w:rsidR="008D1A33">
        <w:rPr>
          <w:rFonts w:ascii="Times New Roman" w:hAnsi="Times New Roman" w:cs="Times New Roman"/>
        </w:rPr>
        <w:t xml:space="preserve">measured </w:t>
      </w:r>
      <w:r w:rsidR="0029501E">
        <w:rPr>
          <w:rFonts w:ascii="Times New Roman" w:hAnsi="Times New Roman" w:cs="Times New Roman"/>
        </w:rPr>
        <w:t>via hand responses</w:t>
      </w:r>
      <w:r w:rsidR="008D1A33">
        <w:rPr>
          <w:rFonts w:ascii="Times New Roman" w:hAnsi="Times New Roman" w:cs="Times New Roman"/>
        </w:rPr>
        <w:t xml:space="preserve"> in a seated position</w:t>
      </w:r>
      <w:r w:rsidR="00083006">
        <w:rPr>
          <w:rFonts w:ascii="Times New Roman" w:hAnsi="Times New Roman" w:cs="Times New Roman"/>
        </w:rPr>
        <w:t>.</w:t>
      </w:r>
      <w:r w:rsidR="0029501E">
        <w:rPr>
          <w:rFonts w:ascii="Times New Roman" w:hAnsi="Times New Roman" w:cs="Times New Roman"/>
        </w:rPr>
        <w:t xml:space="preserve"> </w:t>
      </w:r>
      <w:r w:rsidR="008D1A33">
        <w:rPr>
          <w:rFonts w:ascii="Times New Roman" w:hAnsi="Times New Roman" w:cs="Times New Roman"/>
        </w:rPr>
        <w:t xml:space="preserve">This </w:t>
      </w:r>
      <w:r w:rsidR="00974009">
        <w:rPr>
          <w:rFonts w:ascii="Times New Roman" w:hAnsi="Times New Roman" w:cs="Times New Roman"/>
        </w:rPr>
        <w:t>p</w:t>
      </w:r>
      <w:r w:rsidR="0029501E">
        <w:rPr>
          <w:rFonts w:ascii="Times New Roman" w:hAnsi="Times New Roman" w:cs="Times New Roman"/>
        </w:rPr>
        <w:t>rovid</w:t>
      </w:r>
      <w:r w:rsidR="008D1A33">
        <w:rPr>
          <w:rFonts w:ascii="Times New Roman" w:hAnsi="Times New Roman" w:cs="Times New Roman"/>
        </w:rPr>
        <w:t xml:space="preserve">es </w:t>
      </w:r>
      <w:r w:rsidR="0029501E">
        <w:rPr>
          <w:rFonts w:ascii="Times New Roman" w:hAnsi="Times New Roman" w:cs="Times New Roman"/>
        </w:rPr>
        <w:t xml:space="preserve">limited insight into the pre-impact arm responses, in particular the movement time, required to reach for a support to prevent a fall or preparing for impact. </w:t>
      </w:r>
      <w:r w:rsidR="003C3A15" w:rsidRPr="009B2CDA">
        <w:rPr>
          <w:rFonts w:ascii="Times New Roman" w:hAnsi="Times New Roman" w:cs="Times New Roman"/>
        </w:rPr>
        <w:t>Age-related declines in upper limb muscle strength and reaction time may reduce an older adult’s ability to implement a sufficient pre-impact strategy</w:t>
      </w:r>
      <w:r w:rsidR="00A71627" w:rsidRPr="009B2CDA">
        <w:rPr>
          <w:rFonts w:ascii="Times New Roman" w:hAnsi="Times New Roman" w:cs="Times New Roman"/>
        </w:rPr>
        <w:t>,</w:t>
      </w:r>
      <w:r w:rsidR="003C3A15" w:rsidRPr="009B2CDA">
        <w:rPr>
          <w:rFonts w:ascii="Times New Roman" w:hAnsi="Times New Roman" w:cs="Times New Roman"/>
        </w:rPr>
        <w:t xml:space="preserve"> resulting in poor impact management and </w:t>
      </w:r>
      <w:r w:rsidR="00A71627" w:rsidRPr="009B2CDA">
        <w:rPr>
          <w:rFonts w:ascii="Times New Roman" w:hAnsi="Times New Roman" w:cs="Times New Roman"/>
        </w:rPr>
        <w:t>subsequent</w:t>
      </w:r>
      <w:r w:rsidR="003C3A15" w:rsidRPr="009B2CDA">
        <w:rPr>
          <w:rFonts w:ascii="Times New Roman" w:hAnsi="Times New Roman" w:cs="Times New Roman"/>
        </w:rPr>
        <w:t xml:space="preserve"> occurrence of injuries </w:t>
      </w:r>
      <w:r w:rsidR="003C3A15" w:rsidRPr="009B2CDA">
        <w:rPr>
          <w:rFonts w:ascii="Times New Roman" w:hAnsi="Times New Roman" w:cs="Times New Roman"/>
        </w:rPr>
        <w:fldChar w:fldCharType="begin" w:fldLock="1"/>
      </w:r>
      <w:r w:rsidR="00035D59" w:rsidRPr="009B2CDA">
        <w:rPr>
          <w:rFonts w:ascii="Times New Roman" w:hAnsi="Times New Roman" w:cs="Times New Roman"/>
        </w:rPr>
        <w:instrText>ADDIN CSL_CITATION {"citationItems":[{"id":"ITEM-1","itemData":{"DOI":"10.1016/S0021-9290(03)00034-4","ISBN":"0021-9290","ISSN":"00219290","PMID":"12757814","abstract":"Although the epidemiology of fall-related injuries is well established for the elderly population over 65 years of age, the biomechanics of how, when and why injuries do and do not occur when arresting a fall have received relatively little attention. This paper reviews the epidemiological literature in the MEDLINE data base pertinent to the biomechanics of fall-related injuries, including data on fall rates, fall-related injury rates, fall directions and types of injuries available. It also covers primary sources not listed on MEDLINE, along with the pertinent biomechanics literature. Many falls in older adults are in a forward direction, and as a result the upper extremities are one of the most commonly injured structures, presumably in protecting the head and torso. In this review emphasis is placed on what is, and what is not, known of the biomechanical factors that determine the impact forces and injury risk associated with upper extremity injuries in forward falls. While decreased bone mineral density may be contributory, it is not a reliable predictor of fracture risk. Evidence is presented that fall-related impact forces can be reduced by appropriate volitional arrest strategies. Further theoretical and experimental research is needed to identify appropriate fall-arrest strategies for the elderly, as well as the physical capacities and skills required to do so. Inexpensive interventions might then be developed to teach safe fall-arrest techniques to older individuals. © 2003 Elsevier Science Ltd. All rights reserved.","author":[{"dropping-particle":"","family":"DeGoede","given":"K. M.","non-dropping-particle":"","parse-names":false,"suffix":""},{"dropping-particle":"","family":"Ashton-Miller","given":"J. A.","non-dropping-particle":"","parse-names":false,"suffix":""},{"dropping-particle":"","family":"Schultz","given":"A. B.","non-dropping-particle":"","parse-names":false,"suffix":""}],"container-title":"Journal of Biomechanics","id":"ITEM-1","issue":"7","issued":{"date-parts":[["2003"]]},"page":"1043-1053","title":"Fall-related upper body injuries in the older adult: A review of the biomechanical issues","type":"article-journal","volume":"36"},"uris":["http://www.mendeley.com/documents/?uuid=e06d0119-b0bd-4a42-bc7f-571040611ee1"]},{"id":"ITEM-2","itemData":{"DOI":"60/12/1553 [pii]","ISBN":"1079-5006 (Print)\\n1079-5006 (Linking)","ISSN":"1079-5006","PMID":"16424287","abstract":"BACKGROUND: Risk for hip fracture during a fall is reduced by contacting the ground first with the outstretched hands. However, it is unclear whether the time required for young and elderly individuals to move the hands into a protective position exceeds that available during a typical fall. METHODS: We tested whether young (n = 30; aged 18-35 years) and elderly women (n = 30; aged 70-88 years) differed in the time required to move their hands into a protective position for breaking a fall. Participants stood either facing or sideways to shoulder-height targets (simulating forward and sideways falls, respectively), which they were instructed to contact as quickly as possible after hearing an aural go cue. Total contact time was partitioned into reaction time and movement time. RESULTS: Young women contacted the targets faster than elderly women in both forward (530 +/- 60 vs 615 +/- 88 ms; p &lt;.001) and sideways trials (658 +/- 80 vs 799 +/- 145 ms; p &lt;.001). This difference was due to faster movement times for young participants. There was no difference between groups in reaction time. CONCLUSIONS: Previous studies have shown that during actual falls from standing, wrist and pelvis contact occur at 680 +/- 116 and 715 +/- 160 ms, respectively. Comparing these values to our results suggests that the typical elderly woman should be able to move her hands quickly enough to break a forward fall, but not a sideways fall.","author":[{"dropping-particle":"","family":"Robinovitch","given":"Stephen N","non-dropping-particle":"","parse-names":false,"suffix":""},{"dropping-particle":"","family":"Normandin","given":"Sarah C","non-dropping-particle":"","parse-names":false,"suffix":""},{"dropping-particle":"","family":"Stotz","given":"Paula","non-dropping-particle":"","parse-names":false,"suffix":""},{"dropping-particle":"","family":"Maurer","given":"Jessica D","non-dropping-particle":"","parse-names":false,"suffix":""}],"container-title":"The journals of gerontology. Series A, Biological sciences and medical sciences","id":"ITEM-2","issue":"12","issued":{"date-parts":[["2005"]]},"page":"1553-1557","title":"Time requirement for young and elderly women to move into a position for breaking a fall with outstretched hands.","type":"article-journal","volume":"60"},"uris":["http://www.mendeley.com/documents/?uuid=4d42e289-8bff-4c16-af86-25c47e9f82c8"]}],"mendeley":{"formattedCitation":"(K. M. DeGoede et al., 2003; Robinovitch et al., 2005)","manualFormatting":"(DeGoede et al., 2003; Robinovitch et al., 2005)","plainTextFormattedCitation":"(K. M. DeGoede et al., 2003; Robinovitch et al., 2005)","previouslyFormattedCitation":"(K. M. DeGoede et al., 2003; Robinovitch et al., 2005)"},"properties":{"noteIndex":0},"schema":"https://github.com/citation-style-language/schema/raw/master/csl-citation.json"}</w:instrText>
      </w:r>
      <w:r w:rsidR="003C3A15" w:rsidRPr="009B2CDA">
        <w:rPr>
          <w:rFonts w:ascii="Times New Roman" w:hAnsi="Times New Roman" w:cs="Times New Roman"/>
        </w:rPr>
        <w:fldChar w:fldCharType="separate"/>
      </w:r>
      <w:r w:rsidR="005B5832" w:rsidRPr="009B2CDA">
        <w:rPr>
          <w:rFonts w:ascii="Times New Roman" w:hAnsi="Times New Roman" w:cs="Times New Roman"/>
          <w:noProof/>
        </w:rPr>
        <w:t>(DeGoede et al., 2003; Robinovitch et al., 2005)</w:t>
      </w:r>
      <w:r w:rsidR="003C3A15" w:rsidRPr="009B2CDA">
        <w:rPr>
          <w:rFonts w:ascii="Times New Roman" w:hAnsi="Times New Roman" w:cs="Times New Roman"/>
        </w:rPr>
        <w:fldChar w:fldCharType="end"/>
      </w:r>
      <w:r w:rsidR="003C3A15" w:rsidRPr="009B2CDA">
        <w:rPr>
          <w:rFonts w:ascii="Times New Roman" w:hAnsi="Times New Roman" w:cs="Times New Roman"/>
        </w:rPr>
        <w:t>.</w:t>
      </w:r>
      <w:r w:rsidR="002D5DD6" w:rsidRPr="009B2CDA">
        <w:rPr>
          <w:rFonts w:ascii="Times New Roman" w:hAnsi="Times New Roman" w:cs="Times New Roman"/>
        </w:rPr>
        <w:t xml:space="preserve"> </w:t>
      </w:r>
      <w:r w:rsidR="00A71627" w:rsidRPr="009B2CDA">
        <w:rPr>
          <w:rFonts w:ascii="Times New Roman" w:hAnsi="Times New Roman" w:cs="Times New Roman"/>
        </w:rPr>
        <w:t>P</w:t>
      </w:r>
      <w:r w:rsidR="002D5DD6" w:rsidRPr="009B2CDA">
        <w:rPr>
          <w:rFonts w:ascii="Times New Roman" w:hAnsi="Times New Roman" w:cs="Times New Roman"/>
        </w:rPr>
        <w:t>hysical function factors such as balance</w:t>
      </w:r>
      <w:r w:rsidR="00AA4454" w:rsidRPr="009B2CDA">
        <w:rPr>
          <w:rFonts w:ascii="Times New Roman" w:hAnsi="Times New Roman" w:cs="Times New Roman"/>
        </w:rPr>
        <w:t>,</w:t>
      </w:r>
      <w:r w:rsidR="002D5DD6" w:rsidRPr="009B2CDA">
        <w:rPr>
          <w:rFonts w:ascii="Times New Roman" w:hAnsi="Times New Roman" w:cs="Times New Roman"/>
        </w:rPr>
        <w:t xml:space="preserve"> leg strength</w:t>
      </w:r>
      <w:r w:rsidR="00AA4454" w:rsidRPr="009B2CDA">
        <w:rPr>
          <w:rFonts w:ascii="Times New Roman" w:hAnsi="Times New Roman" w:cs="Times New Roman"/>
        </w:rPr>
        <w:t xml:space="preserve"> and physical activity</w:t>
      </w:r>
      <w:r w:rsidR="002D5DD6" w:rsidRPr="009B2CDA">
        <w:rPr>
          <w:rFonts w:ascii="Times New Roman" w:hAnsi="Times New Roman" w:cs="Times New Roman"/>
        </w:rPr>
        <w:t xml:space="preserve"> have been strongly linked to an individual’s </w:t>
      </w:r>
      <w:r w:rsidR="005B76AF" w:rsidRPr="009B2CDA">
        <w:rPr>
          <w:rFonts w:ascii="Times New Roman" w:hAnsi="Times New Roman" w:cs="Times New Roman"/>
        </w:rPr>
        <w:t>risk of falling and related injuries</w:t>
      </w:r>
      <w:r w:rsidR="002D5DD6" w:rsidRPr="009B2CDA">
        <w:rPr>
          <w:rFonts w:ascii="Times New Roman" w:hAnsi="Times New Roman" w:cs="Times New Roman"/>
        </w:rPr>
        <w:t xml:space="preserve"> </w:t>
      </w:r>
      <w:r w:rsidR="002D5DD6"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{"citationItems":[{"id":"ITEM-1","itemData":{"DOI":"10.1155/2012/864516","ISBN":"1687-7071 (Electronic)\\r1687-7063 (Linking)","ISSN":"1687-7071","PMID":"23304137","abstract":"Ageing-related declines in physiological attributes, such as muscle strength, can bring with them an increased risk of falls and subsequently greater risk of losing independence. These declines have substantial impact on an individual's functional ability. However, the precise relationship between falls risk and physical functionality has not been evaluated. The aims of this study were to determine the association between falls risk and physical functionality using objective measures and to create an appropriate model to explain variance in falls risk. Thirty-two independently living adults aged 65-92 years completed the FallScreen, the Continuous-Scale Physical Functional Performance 10 (CS-PFP10) tests, and the 12-Item Short-Form Health Survey (SF-12). The relationships between falls risk, physical functionality, and age were investigated using correlational and multiple hierarchical regression analyses. Overall, total physical functionality accounted for 24% of variance in an individual's falls risk while age explained a further 13%. The oldest-old age group had significantly greater falls risk and significantly lower physical functional performance. Mean scores for all measures showed that there were substantial (but not significant) differences between males and females. While increasing age is the strongest single predictor of increasing falls risk, poorer physical functionality was strongly, independently related to greater falls risk.","author":[{"dropping-particle":"","family":"Smee","given":"Disa J","non-dropping-particle":"","parse-names":false,"suffix":""},{"dropping-particle":"","family":"Anson","given":"Judith M","non-dropping-particle":"","parse-names":false,"suffix":""},{"dropping-particle":"","family":"Waddington","given":"Gordon S","non-dropping-particle":"","parse-names":false,"suffix":""},{"dropping-particle":"","family":"Berry","given":"Helen L","non-dropping-particle":"","parse-names":false,"suffix":""}],"container-title":"Current Gerontology and Geriatrics Research","id":"ITEM-1","issued":{"date-parts":[["2012"]]},"page":"864516","publisher":"Hindawi Publishing Corporation","title":"Association between physical functionality and falls risk in community-living older adults","type":"article-journal","volume":"2012"},"uris":["http://www.mendeley.com/documents/?uuid=e1c40224-d76c-32f2-9619-8decc467dd3f"]}],"mendeley":{"formattedCitation":"(Smee, Anson, Waddington, &amp; Berry, 2012)","plainTextFormattedCitation":"(Smee, Anson, Waddington, &amp; Berry, 2012)","previouslyFormattedCitation":"(Smee, Anson, Waddington, &amp; Berry, 2012)"},"properties":{"noteIndex":0},"schema":"https://github.com/citation-style-language/schema/raw/master/csl-citation.json"}</w:instrText>
      </w:r>
      <w:r w:rsidR="002D5DD6" w:rsidRPr="009B2CDA">
        <w:rPr>
          <w:rFonts w:ascii="Times New Roman" w:hAnsi="Times New Roman" w:cs="Times New Roman"/>
        </w:rPr>
        <w:fldChar w:fldCharType="separate"/>
      </w:r>
      <w:r w:rsidR="005B5832" w:rsidRPr="009B2CDA">
        <w:rPr>
          <w:rFonts w:ascii="Times New Roman" w:hAnsi="Times New Roman" w:cs="Times New Roman"/>
          <w:noProof/>
        </w:rPr>
        <w:t>(Smee, Anson, Waddington, &amp; Berry, 2012)</w:t>
      </w:r>
      <w:r w:rsidR="002D5DD6" w:rsidRPr="009B2CDA">
        <w:rPr>
          <w:rFonts w:ascii="Times New Roman" w:hAnsi="Times New Roman" w:cs="Times New Roman"/>
        </w:rPr>
        <w:fldChar w:fldCharType="end"/>
      </w:r>
      <w:r w:rsidR="002D5DD6" w:rsidRPr="009B2CDA">
        <w:rPr>
          <w:rFonts w:ascii="Times New Roman" w:hAnsi="Times New Roman" w:cs="Times New Roman"/>
        </w:rPr>
        <w:t xml:space="preserve">, however little is known about the relationship of these </w:t>
      </w:r>
      <w:r w:rsidR="005B76AF" w:rsidRPr="009B2CDA">
        <w:rPr>
          <w:rFonts w:ascii="Times New Roman" w:hAnsi="Times New Roman" w:cs="Times New Roman"/>
        </w:rPr>
        <w:t xml:space="preserve">more global fall risk </w:t>
      </w:r>
      <w:r w:rsidR="002D5DD6" w:rsidRPr="009B2CDA">
        <w:rPr>
          <w:rFonts w:ascii="Times New Roman" w:hAnsi="Times New Roman" w:cs="Times New Roman"/>
        </w:rPr>
        <w:t xml:space="preserve">factors to the pre-impact </w:t>
      </w:r>
      <w:r w:rsidR="000119FC" w:rsidRPr="009B2CDA">
        <w:rPr>
          <w:rFonts w:ascii="Times New Roman" w:hAnsi="Times New Roman" w:cs="Times New Roman"/>
        </w:rPr>
        <w:t>arm responses</w:t>
      </w:r>
      <w:r w:rsidR="005B76AF" w:rsidRPr="009B2CDA">
        <w:rPr>
          <w:rFonts w:ascii="Times New Roman" w:hAnsi="Times New Roman" w:cs="Times New Roman"/>
        </w:rPr>
        <w:t xml:space="preserve"> in a forward fall</w:t>
      </w:r>
      <w:r w:rsidR="002D5DD6" w:rsidRPr="009B2CDA">
        <w:rPr>
          <w:rFonts w:ascii="Times New Roman" w:hAnsi="Times New Roman" w:cs="Times New Roman"/>
        </w:rPr>
        <w:t xml:space="preserve">. </w:t>
      </w:r>
    </w:p>
    <w:p w14:paraId="0A0FF1A0" w14:textId="54F13465" w:rsidR="00021D2F" w:rsidRPr="009B2CDA" w:rsidRDefault="003A65E5" w:rsidP="00A33C2E">
      <w:pPr>
        <w:widowControl w:val="0"/>
        <w:autoSpaceDE w:val="0"/>
        <w:autoSpaceDN w:val="0"/>
        <w:adjustRightInd w:val="0"/>
        <w:spacing w:line="480" w:lineRule="auto"/>
        <w:ind w:firstLine="360"/>
        <w:rPr>
          <w:rFonts w:ascii="Times New Roman" w:hAnsi="Times New Roman" w:cs="Times New Roman"/>
        </w:rPr>
      </w:pPr>
      <w:r w:rsidRPr="009B2CDA">
        <w:rPr>
          <w:rFonts w:ascii="Times New Roman" w:hAnsi="Times New Roman" w:cs="Times New Roman"/>
        </w:rPr>
        <w:t xml:space="preserve">Currently there is limited research </w:t>
      </w:r>
      <w:r w:rsidR="00E304A5" w:rsidRPr="009B2CDA">
        <w:rPr>
          <w:rFonts w:ascii="Times New Roman" w:hAnsi="Times New Roman" w:cs="Times New Roman"/>
        </w:rPr>
        <w:fldChar w:fldCharType="begin" w:fldLock="1"/>
      </w:r>
      <w:r w:rsidR="00035D59" w:rsidRPr="009B2CDA">
        <w:rPr>
          <w:rFonts w:ascii="Times New Roman" w:hAnsi="Times New Roman" w:cs="Times New Roman"/>
        </w:rPr>
        <w:instrText>ADDIN CSL_CITATION {"citationItems":[{"id":"ITEM-1","itemData":{"DOI":"60/12/1553 [pii]","ISBN":"1079-5006 (Print)\\n1079-5006 (Linking)","ISSN":"1079-5006","PMID":"16424287","abstract":"BACKGROUND: Risk for hip fracture during a fall is reduced by contacting the ground first with the outstretched hands. However, it is unclear whether the time required for young and elderly individuals to move the hands into a protective position exceeds that available during a typical fall. METHODS: We tested whether young (n = 30; aged 18-35 years) and elderly women (n = 30; aged 70-88 years) differed in the time required to move their hands into a protective position for breaking a fall. Participants stood either facing or sideways to shoulder-height targets (simulating forward and sideways falls, respectively), which they were instructed to contact as quickly as possible after hearing an aural go cue. Total contact time was partitioned into reaction time and movement time. RESULTS: Young women contacted the targets faster than elderly women in both forward (530 +/- 60 vs 615 +/- 88 ms; p &lt;.001) and sideways trials (658 +/- 80 vs 799 +/- 145 ms; p &lt;.001). This difference was due to faster movement times for young participants. There was no difference between groups in reaction time. CONCLUSIONS: Previous studies have shown that during actual falls from standing, wrist and pelvis contact occur at 680 +/- 116 and 715 +/- 160 ms, respectively. Comparing these values to our results suggests that the typical elderly woman should be able to move her hands quickly enough to break a forward fall, but not a sideways fall.","author":[{"dropping-particle":"","family":"Robinovitch","given":"Stephen N","non-dropping-particle":"","parse-names":false,"suffix":""},{"dropping-particle":"","family":"Normandin","given":"Sarah C","non-dropping-particle":"","parse-names":false,"suffix":""},{"dropping-particle":"","family":"Stotz","given":"Paula","non-dropping-particle":"","parse-names":false,"suffix":""},{"dropping-particle":"","family":"Maurer","given":"Jessica D","non-dropping-particle":"","parse-names":false,"suffix":""}],"container-title":"The journals of gerontology. Series A, Biological sciences and medical sciences","id":"ITEM-1","issue":"12","issued":{"date-parts":[["2005"]]},"page":"1553-1557","title":"Time requirement for young and elderly women to move into a position for breaking a fall with outstretched hands.","type":"article-journal","volume":"60"},"uris":["http://www.mendeley.com/documents/?uuid=4d42e289-8bff-4c16-af86-25c47e9f82c8"]},{"id":"ITEM-2","itemData":{"DOI":"10.1093/gerona/56.9.M584","ISSN":"1079-5006","author":[{"dropping-particle":"","family":"DeGoede","given":"K. M.","non-dropping-particle":"","parse-names":false,"suffix":""},{"dropping-particle":"","family":"Ashton-Miller","given":"J. A.","non-dropping-particle":"","parse-names":false,"suffix":""},{"dropping-particle":"","family":"Liao","given":"J. M.","non-dropping-particle":"","parse-names":false,"suffix":""},{"dropping-particle":"","family":"Alexander","given":"N. B.","non-dropping-particle":"","parse-names":false,"suffix":""}],"container-title":"The Journals of Gerontology Series A: Biological Sciences and Medical Sciences","id":"ITEM-2","issue":"9","issued":{"date-parts":[["2001","9","1"]]},"page":"M584-M588","publisher":"Oxford University Press","title":"How quickly can healthy adults move their hands to intercept an approaching object? Age and gender effects","type":"article-journal","volume":"56"},"uris":["http://www.mendeley.com/documents/?uuid=b6e49141-3166-3e5c-964c-cc89ac938775"]},{"id":"ITEM-3","itemData":{"DOI":"10.1016/S0268-0033(03)00005-6","ISBN":"0268-0033","ISSN":"02680033","PMID":"12689781","abstract":"Objective. This study tried to isolate critical biomechanical factors in fall arrests using the upper extremity during simulated forward falls. This study also attempted to find the differences in those factors between young and old age groups. Background. The role of the upper extremity is not well defined despite its primary usage as a local shock absorber during fall impact. Design. Comparative study in which two age groups underwent motion analysis. Methods. Ten healthy older males (mean age, 66.4 years) and 10 young males (mean age, 24.1 years) volunteered to perform self-initiated and cable-released falls at selected falling distances, while the joint motion and impact forces at the hand were recorded. Results. Significant age differences were demonstrated in joint kinematics and impact force parameters at close distances. Excessive reflexive responses of the upper extremity in cable-released falls for the older adults resulted in 10-15 times higher peak impact forces and 2-3 times shorter body braking time than in self-initiated falls. Conclusions. Pre-impact activities of the upper extremity predispose the post-impact response during fall arrests. Suppressing excessive pre-impact reflexive activation of the arms could efficiently decrease the risk of fall-related injuries, which calls for securing sufficient arm movement time. Any fall prevention strategy that can increase arm movement time would be effective against injuries of the upper extremity during falling in the older adults.Relevance The findings will help to understand underlying mechanisms of fall arrest using the upper extremity for prevention of fall-related fractures. ?? 2003 Elsevier Science Ltd. All rights reserved.","author":[{"dropping-particle":"","family":"Kim","given":"Kyu Jung","non-dropping-particle":"","parse-names":false,"suffix":""},{"dropping-particle":"","family":"Ashton-Miller","given":"James A.","non-dropping-particle":"","parse-names":false,"suffix":""}],"container-title":"Clinical Biomechanics","id":"ITEM-3","issue":"4","issued":{"date-parts":[["2003"]]},"page":"311-318","title":"Biomechanics of fall arrest using the upper extremity: Age differences","type":"article-journal","volume":"18"},"uris":["http://www.mendeley.com/documents/?uuid=6abd56db-e6bd-43ec-af5d-7fc998b5d941"]}],"mendeley":{"formattedCitation":"(K. M. DeGoede et al., 2001; Kim &amp; Ashton-Miller, 2003; Robinovitch et al., 2005)","manualFormatting":"(DeGoede et al., 2001; Kim &amp; Ashton-Miller, 2003; Robinovitch et al., 2005)","plainTextFormattedCitation":"(K. M. DeGoede et al., 2001; Kim &amp; Ashton-Miller, 2003; Robinovitch et al., 2005)","previouslyFormattedCitation":"(K. M. DeGoede et al., 2001; Kim &amp; Ashton-Miller, 2003; Robinovitch et al., 2005)"},"properties":{"noteIndex":0},"schema":"https://github.com/citation-style-language/schema/raw/master/csl-citation.json"}</w:instrText>
      </w:r>
      <w:r w:rsidR="00E304A5" w:rsidRPr="009B2CDA">
        <w:rPr>
          <w:rFonts w:ascii="Times New Roman" w:hAnsi="Times New Roman" w:cs="Times New Roman"/>
        </w:rPr>
        <w:fldChar w:fldCharType="separate"/>
      </w:r>
      <w:r w:rsidR="005B5832" w:rsidRPr="009B2CDA">
        <w:rPr>
          <w:rFonts w:ascii="Times New Roman" w:hAnsi="Times New Roman" w:cs="Times New Roman"/>
          <w:noProof/>
        </w:rPr>
        <w:t>(DeGoede et al., 2001; Kim &amp; Ashton-Miller, 2003; Robinovitch et al., 2005)</w:t>
      </w:r>
      <w:r w:rsidR="00E304A5" w:rsidRPr="009B2CDA">
        <w:rPr>
          <w:rFonts w:ascii="Times New Roman" w:hAnsi="Times New Roman" w:cs="Times New Roman"/>
        </w:rPr>
        <w:fldChar w:fldCharType="end"/>
      </w:r>
      <w:r w:rsidR="00E304A5" w:rsidRPr="009B2CDA">
        <w:rPr>
          <w:rFonts w:ascii="Times New Roman" w:hAnsi="Times New Roman" w:cs="Times New Roman"/>
        </w:rPr>
        <w:t xml:space="preserve"> </w:t>
      </w:r>
      <w:r w:rsidRPr="009B2CDA">
        <w:rPr>
          <w:rFonts w:ascii="Times New Roman" w:hAnsi="Times New Roman" w:cs="Times New Roman"/>
        </w:rPr>
        <w:t xml:space="preserve">investigating the relationship of physical function, strength and risk of falling to </w:t>
      </w:r>
      <w:r w:rsidR="00BA4BFF" w:rsidRPr="009B2CDA">
        <w:rPr>
          <w:rFonts w:ascii="Times New Roman" w:hAnsi="Times New Roman" w:cs="Times New Roman"/>
        </w:rPr>
        <w:t xml:space="preserve">upper extremity </w:t>
      </w:r>
      <w:r w:rsidR="002D5DD6" w:rsidRPr="009B2CDA">
        <w:rPr>
          <w:rFonts w:ascii="Times New Roman" w:hAnsi="Times New Roman" w:cs="Times New Roman"/>
        </w:rPr>
        <w:t xml:space="preserve">pre-impact </w:t>
      </w:r>
      <w:r w:rsidR="006F45F5" w:rsidRPr="009B2CDA">
        <w:rPr>
          <w:rFonts w:ascii="Times New Roman" w:hAnsi="Times New Roman" w:cs="Times New Roman"/>
        </w:rPr>
        <w:t xml:space="preserve">arm response </w:t>
      </w:r>
      <w:r w:rsidR="00962F98" w:rsidRPr="009B2CDA">
        <w:rPr>
          <w:rFonts w:ascii="Times New Roman" w:hAnsi="Times New Roman" w:cs="Times New Roman"/>
        </w:rPr>
        <w:t>RT</w:t>
      </w:r>
      <w:r w:rsidRPr="009B2CDA">
        <w:rPr>
          <w:rFonts w:ascii="Times New Roman" w:hAnsi="Times New Roman" w:cs="Times New Roman"/>
        </w:rPr>
        <w:t xml:space="preserve"> and </w:t>
      </w:r>
      <w:r w:rsidR="00962F98" w:rsidRPr="009B2CDA">
        <w:rPr>
          <w:rFonts w:ascii="Times New Roman" w:hAnsi="Times New Roman" w:cs="Times New Roman"/>
        </w:rPr>
        <w:t>MT</w:t>
      </w:r>
      <w:r w:rsidRPr="009B2CDA">
        <w:rPr>
          <w:rFonts w:ascii="Times New Roman" w:hAnsi="Times New Roman" w:cs="Times New Roman"/>
        </w:rPr>
        <w:t xml:space="preserve"> in adults over the age of 60.</w:t>
      </w:r>
      <w:r w:rsidR="003A2DE2" w:rsidRPr="009B2CDA">
        <w:rPr>
          <w:rFonts w:ascii="Times New Roman" w:hAnsi="Times New Roman" w:cs="Times New Roman"/>
        </w:rPr>
        <w:t xml:space="preserve"> </w:t>
      </w:r>
      <w:r w:rsidR="0037052F" w:rsidRPr="009B2CDA">
        <w:rPr>
          <w:rFonts w:ascii="Times New Roman" w:hAnsi="Times New Roman" w:cs="Times New Roman"/>
        </w:rPr>
        <w:t xml:space="preserve">An individual who has slow </w:t>
      </w:r>
      <w:r w:rsidR="00962F98" w:rsidRPr="009B2CDA">
        <w:rPr>
          <w:rFonts w:ascii="Times New Roman" w:hAnsi="Times New Roman" w:cs="Times New Roman"/>
        </w:rPr>
        <w:t>RT</w:t>
      </w:r>
      <w:r w:rsidR="0037052F" w:rsidRPr="009B2CDA">
        <w:rPr>
          <w:rFonts w:ascii="Times New Roman" w:hAnsi="Times New Roman" w:cs="Times New Roman"/>
        </w:rPr>
        <w:t xml:space="preserve"> and </w:t>
      </w:r>
      <w:r w:rsidR="00962F98" w:rsidRPr="009B2CDA">
        <w:rPr>
          <w:rFonts w:ascii="Times New Roman" w:hAnsi="Times New Roman" w:cs="Times New Roman"/>
        </w:rPr>
        <w:t>MT</w:t>
      </w:r>
      <w:r w:rsidR="0037052F" w:rsidRPr="009B2CDA">
        <w:rPr>
          <w:rFonts w:ascii="Times New Roman" w:hAnsi="Times New Roman" w:cs="Times New Roman"/>
        </w:rPr>
        <w:t xml:space="preserve"> may not be able to move into a</w:t>
      </w:r>
      <w:r w:rsidR="005B76AF" w:rsidRPr="009B2CDA">
        <w:rPr>
          <w:rFonts w:ascii="Times New Roman" w:hAnsi="Times New Roman" w:cs="Times New Roman"/>
        </w:rPr>
        <w:t>n optimal</w:t>
      </w:r>
      <w:r w:rsidR="0037052F" w:rsidRPr="009B2CDA">
        <w:rPr>
          <w:rFonts w:ascii="Times New Roman" w:hAnsi="Times New Roman" w:cs="Times New Roman"/>
        </w:rPr>
        <w:t xml:space="preserve"> </w:t>
      </w:r>
      <w:r w:rsidR="000C387C" w:rsidRPr="009B2CDA">
        <w:rPr>
          <w:rFonts w:ascii="Times New Roman" w:hAnsi="Times New Roman" w:cs="Times New Roman"/>
        </w:rPr>
        <w:t xml:space="preserve">pre-impact </w:t>
      </w:r>
      <w:r w:rsidR="0037052F" w:rsidRPr="009B2CDA">
        <w:rPr>
          <w:rFonts w:ascii="Times New Roman" w:hAnsi="Times New Roman" w:cs="Times New Roman"/>
        </w:rPr>
        <w:lastRenderedPageBreak/>
        <w:t xml:space="preserve">position to </w:t>
      </w:r>
      <w:r w:rsidR="005B76AF" w:rsidRPr="009B2CDA">
        <w:rPr>
          <w:rFonts w:ascii="Times New Roman" w:hAnsi="Times New Roman" w:cs="Times New Roman"/>
        </w:rPr>
        <w:t>control</w:t>
      </w:r>
      <w:r w:rsidR="0037052F" w:rsidRPr="009B2CDA">
        <w:rPr>
          <w:rFonts w:ascii="Times New Roman" w:hAnsi="Times New Roman" w:cs="Times New Roman"/>
        </w:rPr>
        <w:t xml:space="preserve"> </w:t>
      </w:r>
      <w:r w:rsidR="0018252C" w:rsidRPr="009B2CDA">
        <w:rPr>
          <w:rFonts w:ascii="Times New Roman" w:hAnsi="Times New Roman" w:cs="Times New Roman"/>
        </w:rPr>
        <w:t xml:space="preserve">the landing and descent of a </w:t>
      </w:r>
      <w:r w:rsidR="0037052F" w:rsidRPr="009B2CDA">
        <w:rPr>
          <w:rFonts w:ascii="Times New Roman" w:hAnsi="Times New Roman" w:cs="Times New Roman"/>
        </w:rPr>
        <w:t>forward fall</w:t>
      </w:r>
      <w:r w:rsidR="00714EC1" w:rsidRPr="009B2CDA">
        <w:rPr>
          <w:rFonts w:ascii="Times New Roman" w:hAnsi="Times New Roman" w:cs="Times New Roman"/>
        </w:rPr>
        <w:t xml:space="preserve"> which may lead to injury</w:t>
      </w:r>
      <w:r w:rsidR="000C387C" w:rsidRPr="009B2CDA">
        <w:rPr>
          <w:rFonts w:ascii="Times New Roman" w:hAnsi="Times New Roman" w:cs="Times New Roman"/>
        </w:rPr>
        <w:t xml:space="preserve"> to the head or trunk</w:t>
      </w:r>
      <w:r w:rsidR="0037052F" w:rsidRPr="009B2CDA">
        <w:rPr>
          <w:rFonts w:ascii="Times New Roman" w:hAnsi="Times New Roman" w:cs="Times New Roman"/>
        </w:rPr>
        <w:t>.</w:t>
      </w:r>
      <w:r w:rsidR="003A2DE2" w:rsidRPr="009B2CDA">
        <w:rPr>
          <w:rFonts w:ascii="Times New Roman" w:hAnsi="Times New Roman" w:cs="Times New Roman"/>
        </w:rPr>
        <w:t xml:space="preserve"> </w:t>
      </w:r>
      <w:r w:rsidR="00EA5911" w:rsidRPr="009B2CDA">
        <w:rPr>
          <w:rFonts w:ascii="Times New Roman" w:hAnsi="Times New Roman" w:cs="Times New Roman"/>
        </w:rPr>
        <w:t xml:space="preserve">The purpose of this study is to investigate the relationship of physical function, </w:t>
      </w:r>
      <w:r w:rsidR="0018252C" w:rsidRPr="009B2CDA">
        <w:rPr>
          <w:rFonts w:ascii="Times New Roman" w:hAnsi="Times New Roman" w:cs="Times New Roman"/>
        </w:rPr>
        <w:t xml:space="preserve">upper and lower body </w:t>
      </w:r>
      <w:r w:rsidR="00EA5911" w:rsidRPr="009B2CDA">
        <w:rPr>
          <w:rFonts w:ascii="Times New Roman" w:hAnsi="Times New Roman" w:cs="Times New Roman"/>
        </w:rPr>
        <w:t xml:space="preserve">strength and RT and MT in </w:t>
      </w:r>
      <w:r w:rsidR="00781A80" w:rsidRPr="00862598">
        <w:rPr>
          <w:rFonts w:ascii="Times New Roman" w:hAnsi="Times New Roman" w:cs="Times New Roman"/>
        </w:rPr>
        <w:t>female participants</w:t>
      </w:r>
      <w:r w:rsidR="00EA5911" w:rsidRPr="009B2CDA">
        <w:rPr>
          <w:rFonts w:ascii="Times New Roman" w:hAnsi="Times New Roman" w:cs="Times New Roman"/>
        </w:rPr>
        <w:t xml:space="preserve"> over the age of 60</w:t>
      </w:r>
      <w:r w:rsidR="00021D2F" w:rsidRPr="009B2CDA">
        <w:rPr>
          <w:rFonts w:ascii="Times New Roman" w:hAnsi="Times New Roman" w:cs="Times New Roman"/>
        </w:rPr>
        <w:t xml:space="preserve"> during a task simulating rapid hand and arm repositioning seen during </w:t>
      </w:r>
      <w:r w:rsidR="006F45F5" w:rsidRPr="009B2CDA">
        <w:rPr>
          <w:rFonts w:ascii="Times New Roman" w:hAnsi="Times New Roman" w:cs="Times New Roman"/>
        </w:rPr>
        <w:t xml:space="preserve">protective arm responses in </w:t>
      </w:r>
      <w:r w:rsidR="00021D2F" w:rsidRPr="009B2CDA">
        <w:rPr>
          <w:rFonts w:ascii="Times New Roman" w:hAnsi="Times New Roman" w:cs="Times New Roman"/>
        </w:rPr>
        <w:t xml:space="preserve">forward fall impact preparation. </w:t>
      </w:r>
    </w:p>
    <w:p w14:paraId="76487DEB" w14:textId="68F91580" w:rsidR="007428CB" w:rsidRPr="009B2CDA" w:rsidRDefault="007428CB" w:rsidP="00A33C2E">
      <w:pPr>
        <w:spacing w:line="480" w:lineRule="auto"/>
        <w:jc w:val="center"/>
        <w:rPr>
          <w:rFonts w:ascii="Times New Roman" w:hAnsi="Times New Roman" w:cs="Times New Roman"/>
          <w:b/>
        </w:rPr>
      </w:pPr>
      <w:r w:rsidRPr="009B2CDA">
        <w:rPr>
          <w:rFonts w:ascii="Times New Roman" w:hAnsi="Times New Roman" w:cs="Times New Roman"/>
          <w:b/>
        </w:rPr>
        <w:t>Methods</w:t>
      </w:r>
    </w:p>
    <w:p w14:paraId="6F896B3B" w14:textId="7E2D00F0" w:rsidR="002B0121" w:rsidRPr="009B2CDA" w:rsidRDefault="00AB3734" w:rsidP="00A33C2E">
      <w:pPr>
        <w:spacing w:line="480" w:lineRule="auto"/>
        <w:rPr>
          <w:rFonts w:ascii="Times New Roman" w:hAnsi="Times New Roman" w:cs="Times New Roman"/>
          <w:b/>
          <w:i/>
        </w:rPr>
      </w:pPr>
      <w:r>
        <w:rPr>
          <w:rFonts w:ascii="Times New Roman" w:hAnsi="Times New Roman" w:cs="Times New Roman"/>
          <w:b/>
          <w:i/>
        </w:rPr>
        <w:t xml:space="preserve">Participants </w:t>
      </w:r>
    </w:p>
    <w:p w14:paraId="45E52E8D" w14:textId="3681C8AC" w:rsidR="002B0121" w:rsidRPr="009B2CDA" w:rsidRDefault="00A26BDA" w:rsidP="00A33C2E">
      <w:pPr>
        <w:spacing w:line="480" w:lineRule="auto"/>
        <w:ind w:firstLine="720"/>
        <w:rPr>
          <w:rFonts w:ascii="Times New Roman" w:hAnsi="Times New Roman" w:cs="Times New Roman"/>
        </w:rPr>
      </w:pPr>
      <w:r w:rsidRPr="009B2CDA">
        <w:rPr>
          <w:rFonts w:ascii="Times New Roman" w:hAnsi="Times New Roman" w:cs="Times New Roman"/>
        </w:rPr>
        <w:t xml:space="preserve">A </w:t>
      </w:r>
      <w:r w:rsidR="00A71627" w:rsidRPr="009B2CDA">
        <w:rPr>
          <w:rFonts w:ascii="Times New Roman" w:hAnsi="Times New Roman" w:cs="Times New Roman"/>
        </w:rPr>
        <w:t>c</w:t>
      </w:r>
      <w:r w:rsidRPr="009B2CDA">
        <w:rPr>
          <w:rFonts w:ascii="Times New Roman" w:hAnsi="Times New Roman" w:cs="Times New Roman"/>
        </w:rPr>
        <w:t xml:space="preserve">onvenience sample of 75 older </w:t>
      </w:r>
      <w:r w:rsidR="00DF6E78" w:rsidRPr="00862598">
        <w:rPr>
          <w:rFonts w:ascii="Times New Roman" w:hAnsi="Times New Roman" w:cs="Times New Roman"/>
        </w:rPr>
        <w:t>female participants</w:t>
      </w:r>
      <w:r w:rsidRPr="009B2CDA">
        <w:rPr>
          <w:rFonts w:ascii="Times New Roman" w:hAnsi="Times New Roman" w:cs="Times New Roman"/>
        </w:rPr>
        <w:t xml:space="preserve"> (72 ± 8 yrs, 1.6 ± 0.05 m, 72 ± 14 kg) w</w:t>
      </w:r>
      <w:r w:rsidR="00A71627" w:rsidRPr="009B2CDA">
        <w:rPr>
          <w:rFonts w:ascii="Times New Roman" w:hAnsi="Times New Roman" w:cs="Times New Roman"/>
        </w:rPr>
        <w:t>as</w:t>
      </w:r>
      <w:r w:rsidRPr="009B2CDA">
        <w:rPr>
          <w:rFonts w:ascii="Times New Roman" w:hAnsi="Times New Roman" w:cs="Times New Roman"/>
        </w:rPr>
        <w:t xml:space="preserve"> recruited from the local community</w:t>
      </w:r>
      <w:r w:rsidR="0018252C" w:rsidRPr="009B2CDA">
        <w:rPr>
          <w:rFonts w:ascii="Times New Roman" w:hAnsi="Times New Roman" w:cs="Times New Roman"/>
        </w:rPr>
        <w:t xml:space="preserve"> via poster advertisements at senior housing, e-mails through senior advocacy organizations and newspaper advertisements</w:t>
      </w:r>
      <w:r w:rsidRPr="009B2CDA">
        <w:rPr>
          <w:rFonts w:ascii="Times New Roman" w:hAnsi="Times New Roman" w:cs="Times New Roman"/>
        </w:rPr>
        <w:t xml:space="preserve">. </w:t>
      </w:r>
      <w:r w:rsidR="0018252C" w:rsidRPr="009B2CDA">
        <w:rPr>
          <w:rFonts w:ascii="Times New Roman" w:hAnsi="Times New Roman" w:cs="Times New Roman"/>
        </w:rPr>
        <w:t>Prior to testing, a</w:t>
      </w:r>
      <w:r w:rsidR="002B0121" w:rsidRPr="009B2CDA">
        <w:rPr>
          <w:rFonts w:ascii="Times New Roman" w:hAnsi="Times New Roman" w:cs="Times New Roman"/>
        </w:rPr>
        <w:t>ll participants were informed of the experimental risks and provided signed</w:t>
      </w:r>
      <w:r w:rsidR="00A71627" w:rsidRPr="009B2CDA">
        <w:rPr>
          <w:rFonts w:ascii="Times New Roman" w:hAnsi="Times New Roman" w:cs="Times New Roman"/>
        </w:rPr>
        <w:t>,</w:t>
      </w:r>
      <w:r w:rsidR="002B0121" w:rsidRPr="009B2CDA">
        <w:rPr>
          <w:rFonts w:ascii="Times New Roman" w:hAnsi="Times New Roman" w:cs="Times New Roman"/>
        </w:rPr>
        <w:t xml:space="preserve"> informed consent</w:t>
      </w:r>
      <w:r w:rsidR="0018252C" w:rsidRPr="009B2CDA">
        <w:rPr>
          <w:rFonts w:ascii="Times New Roman" w:hAnsi="Times New Roman" w:cs="Times New Roman"/>
        </w:rPr>
        <w:t>.</w:t>
      </w:r>
      <w:r w:rsidR="003E71AB" w:rsidRPr="009B2CDA">
        <w:rPr>
          <w:rFonts w:ascii="Times New Roman" w:hAnsi="Times New Roman" w:cs="Times New Roman"/>
        </w:rPr>
        <w:t xml:space="preserve"> </w:t>
      </w:r>
      <w:r w:rsidR="002B0121" w:rsidRPr="009B2CDA">
        <w:rPr>
          <w:rFonts w:ascii="Times New Roman" w:hAnsi="Times New Roman" w:cs="Times New Roman"/>
        </w:rPr>
        <w:t xml:space="preserve">Participants were </w:t>
      </w:r>
      <w:r w:rsidR="002B0121" w:rsidRPr="009B2CDA">
        <w:rPr>
          <w:rFonts w:ascii="Times New Roman" w:hAnsi="Times New Roman" w:cs="Times New Roman"/>
          <w:color w:val="191919"/>
        </w:rPr>
        <w:t>excluded during a telephone screening process if they had</w:t>
      </w:r>
      <w:r w:rsidR="00A71627" w:rsidRPr="009B2CDA">
        <w:rPr>
          <w:rFonts w:ascii="Times New Roman" w:hAnsi="Times New Roman" w:cs="Times New Roman"/>
          <w:color w:val="191919"/>
        </w:rPr>
        <w:t>:</w:t>
      </w:r>
      <w:r w:rsidR="002B0121" w:rsidRPr="009B2CDA">
        <w:rPr>
          <w:rFonts w:ascii="Times New Roman" w:hAnsi="Times New Roman" w:cs="Times New Roman"/>
          <w:color w:val="191919"/>
        </w:rPr>
        <w:t xml:space="preserve"> any recent upper body (hand, wrist, shoulder, trunk, neck) injury or painful joint problem that limited day</w:t>
      </w:r>
      <w:r w:rsidR="00A71627" w:rsidRPr="009B2CDA">
        <w:rPr>
          <w:rFonts w:ascii="Times New Roman" w:hAnsi="Times New Roman" w:cs="Times New Roman"/>
          <w:color w:val="191919"/>
        </w:rPr>
        <w:t>-</w:t>
      </w:r>
      <w:r w:rsidR="002B0121" w:rsidRPr="009B2CDA">
        <w:rPr>
          <w:rFonts w:ascii="Times New Roman" w:hAnsi="Times New Roman" w:cs="Times New Roman"/>
          <w:color w:val="191919"/>
        </w:rPr>
        <w:t>to</w:t>
      </w:r>
      <w:r w:rsidR="00A71627" w:rsidRPr="009B2CDA">
        <w:rPr>
          <w:rFonts w:ascii="Times New Roman" w:hAnsi="Times New Roman" w:cs="Times New Roman"/>
          <w:color w:val="191919"/>
        </w:rPr>
        <w:t>-</w:t>
      </w:r>
      <w:r w:rsidR="002B0121" w:rsidRPr="009B2CDA">
        <w:rPr>
          <w:rFonts w:ascii="Times New Roman" w:hAnsi="Times New Roman" w:cs="Times New Roman"/>
          <w:color w:val="191919"/>
        </w:rPr>
        <w:t>day activities or result</w:t>
      </w:r>
      <w:r w:rsidR="00A71627" w:rsidRPr="009B2CDA">
        <w:rPr>
          <w:rFonts w:ascii="Times New Roman" w:hAnsi="Times New Roman" w:cs="Times New Roman"/>
          <w:color w:val="191919"/>
        </w:rPr>
        <w:t>ed</w:t>
      </w:r>
      <w:r w:rsidR="002B0121" w:rsidRPr="009B2CDA">
        <w:rPr>
          <w:rFonts w:ascii="Times New Roman" w:hAnsi="Times New Roman" w:cs="Times New Roman"/>
          <w:color w:val="191919"/>
        </w:rPr>
        <w:t xml:space="preserve"> in pain on a daily basis; prior distal radius fracture in the past 2 years, or multiple fractures of the wrist or forearm; any history of upper extremity neurological problems (i.e. </w:t>
      </w:r>
      <w:r w:rsidR="00A71627" w:rsidRPr="009B2CDA">
        <w:rPr>
          <w:rFonts w:ascii="Times New Roman" w:hAnsi="Times New Roman" w:cs="Times New Roman"/>
          <w:color w:val="191919"/>
        </w:rPr>
        <w:t>s</w:t>
      </w:r>
      <w:r w:rsidR="002B0121" w:rsidRPr="009B2CDA">
        <w:rPr>
          <w:rFonts w:ascii="Times New Roman" w:hAnsi="Times New Roman" w:cs="Times New Roman"/>
          <w:color w:val="191919"/>
        </w:rPr>
        <w:t>troke, MS, Parkinson’s disease, reflex neuropathy)</w:t>
      </w:r>
      <w:r w:rsidR="00A71627" w:rsidRPr="009B2CDA">
        <w:rPr>
          <w:rFonts w:ascii="Times New Roman" w:hAnsi="Times New Roman" w:cs="Times New Roman"/>
          <w:color w:val="191919"/>
        </w:rPr>
        <w:t>;</w:t>
      </w:r>
      <w:r w:rsidR="002B0121" w:rsidRPr="009B2CDA">
        <w:rPr>
          <w:rFonts w:ascii="Times New Roman" w:hAnsi="Times New Roman" w:cs="Times New Roman"/>
          <w:color w:val="191919"/>
        </w:rPr>
        <w:t xml:space="preserve"> and those who were unable to safely ambulate independently (with or without a walking aid) in the community.</w:t>
      </w:r>
      <w:r w:rsidR="003A2DE2" w:rsidRPr="009B2CDA">
        <w:rPr>
          <w:rFonts w:ascii="Times New Roman" w:hAnsi="Times New Roman" w:cs="Times New Roman"/>
          <w:color w:val="191919"/>
        </w:rPr>
        <w:t xml:space="preserve"> </w:t>
      </w:r>
      <w:r w:rsidR="002B0121" w:rsidRPr="009B2CDA">
        <w:rPr>
          <w:rFonts w:ascii="Times New Roman" w:hAnsi="Times New Roman" w:cs="Times New Roman"/>
        </w:rPr>
        <w:t>The study was approved by the BLINDED Biomedical Ethics Review Board.</w:t>
      </w:r>
    </w:p>
    <w:p w14:paraId="79BC1641" w14:textId="404E7917" w:rsidR="003F1D97" w:rsidRPr="009B2CDA" w:rsidRDefault="008275FD" w:rsidP="00A33C2E">
      <w:pPr>
        <w:spacing w:line="480" w:lineRule="auto"/>
        <w:rPr>
          <w:rFonts w:ascii="Times New Roman" w:hAnsi="Times New Roman" w:cs="Times New Roman"/>
          <w:b/>
          <w:i/>
        </w:rPr>
      </w:pPr>
      <w:r w:rsidRPr="009B2CDA">
        <w:rPr>
          <w:rFonts w:ascii="Times New Roman" w:hAnsi="Times New Roman" w:cs="Times New Roman"/>
          <w:b/>
          <w:i/>
        </w:rPr>
        <w:t>Study Design</w:t>
      </w:r>
    </w:p>
    <w:p w14:paraId="5164351D" w14:textId="66CC80D3" w:rsidR="00D0016D" w:rsidRPr="009B2CDA" w:rsidRDefault="0018252C" w:rsidP="00A33C2E">
      <w:pPr>
        <w:spacing w:line="480" w:lineRule="auto"/>
        <w:ind w:firstLine="720"/>
        <w:rPr>
          <w:rFonts w:ascii="Times New Roman" w:hAnsi="Times New Roman" w:cs="Times New Roman"/>
        </w:rPr>
      </w:pPr>
      <w:r w:rsidRPr="009B2CDA">
        <w:rPr>
          <w:rFonts w:ascii="Times New Roman" w:hAnsi="Times New Roman" w:cs="Times New Roman"/>
        </w:rPr>
        <w:t xml:space="preserve">RT and MT </w:t>
      </w:r>
      <w:r w:rsidR="004F202A" w:rsidRPr="009B2CDA">
        <w:rPr>
          <w:rFonts w:ascii="Times New Roman" w:hAnsi="Times New Roman" w:cs="Times New Roman"/>
        </w:rPr>
        <w:t>were</w:t>
      </w:r>
      <w:r w:rsidR="00A26BDA" w:rsidRPr="009B2CDA">
        <w:rPr>
          <w:rFonts w:ascii="Times New Roman" w:hAnsi="Times New Roman" w:cs="Times New Roman"/>
        </w:rPr>
        <w:t xml:space="preserve"> recorded using a</w:t>
      </w:r>
      <w:r w:rsidR="00C46A21" w:rsidRPr="009B2CDA">
        <w:rPr>
          <w:rFonts w:ascii="Times New Roman" w:hAnsi="Times New Roman" w:cs="Times New Roman"/>
        </w:rPr>
        <w:t>n 8-camera</w:t>
      </w:r>
      <w:r w:rsidR="00A26BDA" w:rsidRPr="009B2CDA">
        <w:rPr>
          <w:rFonts w:ascii="Times New Roman" w:hAnsi="Times New Roman" w:cs="Times New Roman"/>
        </w:rPr>
        <w:t xml:space="preserve"> 3D-motion capture system</w:t>
      </w:r>
      <w:r w:rsidR="009E159A" w:rsidRPr="009B2CDA">
        <w:rPr>
          <w:rFonts w:ascii="Times New Roman" w:hAnsi="Times New Roman" w:cs="Times New Roman"/>
        </w:rPr>
        <w:t xml:space="preserve"> (</w:t>
      </w:r>
      <w:r w:rsidR="009F24B0" w:rsidRPr="009B2CDA">
        <w:rPr>
          <w:rFonts w:ascii="Times New Roman" w:hAnsi="Times New Roman" w:cs="Times New Roman"/>
        </w:rPr>
        <w:t>fs=</w:t>
      </w:r>
      <w:r w:rsidR="009E159A" w:rsidRPr="009B2CDA">
        <w:rPr>
          <w:rFonts w:ascii="Times New Roman" w:hAnsi="Times New Roman" w:cs="Times New Roman"/>
        </w:rPr>
        <w:t>200Hz, VICON Nexus, VICON, Centennial, CO</w:t>
      </w:r>
      <w:r w:rsidR="00686202" w:rsidRPr="009B2CDA">
        <w:rPr>
          <w:rFonts w:ascii="Times New Roman" w:hAnsi="Times New Roman" w:cs="Times New Roman"/>
        </w:rPr>
        <w:t>, USA</w:t>
      </w:r>
      <w:r w:rsidR="009E159A" w:rsidRPr="009B2CDA">
        <w:rPr>
          <w:rFonts w:ascii="Times New Roman" w:hAnsi="Times New Roman" w:cs="Times New Roman"/>
        </w:rPr>
        <w:t>)</w:t>
      </w:r>
      <w:r w:rsidR="00A26BDA" w:rsidRPr="009B2CDA">
        <w:rPr>
          <w:rFonts w:ascii="Times New Roman" w:hAnsi="Times New Roman" w:cs="Times New Roman"/>
        </w:rPr>
        <w:t>.</w:t>
      </w:r>
      <w:r w:rsidR="003A2DE2" w:rsidRPr="009B2CDA">
        <w:rPr>
          <w:rFonts w:ascii="Times New Roman" w:hAnsi="Times New Roman" w:cs="Times New Roman"/>
        </w:rPr>
        <w:t xml:space="preserve"> </w:t>
      </w:r>
      <w:r w:rsidR="00C46A21" w:rsidRPr="009B2CDA">
        <w:rPr>
          <w:rFonts w:ascii="Times New Roman" w:hAnsi="Times New Roman" w:cs="Times New Roman"/>
        </w:rPr>
        <w:t>T</w:t>
      </w:r>
      <w:r w:rsidR="009E159A" w:rsidRPr="009B2CDA">
        <w:rPr>
          <w:rFonts w:ascii="Times New Roman" w:hAnsi="Times New Roman" w:cs="Times New Roman"/>
        </w:rPr>
        <w:t>he wrist joint centre</w:t>
      </w:r>
      <w:r w:rsidR="009F24B0" w:rsidRPr="009B2CDA">
        <w:rPr>
          <w:rFonts w:ascii="Times New Roman" w:hAnsi="Times New Roman" w:cs="Times New Roman"/>
        </w:rPr>
        <w:t xml:space="preserve">s were established using the mean locations of the radial and ulnar epicondyles and were tracked using a cluster of four </w:t>
      </w:r>
      <w:r w:rsidR="00C46A21" w:rsidRPr="009B2CDA">
        <w:rPr>
          <w:rFonts w:ascii="Times New Roman" w:hAnsi="Times New Roman" w:cs="Times New Roman"/>
        </w:rPr>
        <w:t xml:space="preserve">retro-reflective markers placed </w:t>
      </w:r>
      <w:r w:rsidR="00802525" w:rsidRPr="009B2CDA">
        <w:rPr>
          <w:rFonts w:ascii="Times New Roman" w:hAnsi="Times New Roman" w:cs="Times New Roman"/>
        </w:rPr>
        <w:t xml:space="preserve">on </w:t>
      </w:r>
      <w:r w:rsidR="009F24B0" w:rsidRPr="009B2CDA">
        <w:rPr>
          <w:rFonts w:ascii="Times New Roman" w:hAnsi="Times New Roman" w:cs="Times New Roman"/>
        </w:rPr>
        <w:t>distal forearms</w:t>
      </w:r>
      <w:r w:rsidR="00802525" w:rsidRPr="009B2CDA">
        <w:rPr>
          <w:rFonts w:ascii="Times New Roman" w:hAnsi="Times New Roman" w:cs="Times New Roman"/>
        </w:rPr>
        <w:t>.</w:t>
      </w:r>
      <w:r w:rsidR="00A26BDA" w:rsidRPr="009B2CDA">
        <w:rPr>
          <w:rFonts w:ascii="Times New Roman" w:hAnsi="Times New Roman" w:cs="Times New Roman"/>
        </w:rPr>
        <w:t xml:space="preserve"> From a standing position with arms by their side</w:t>
      </w:r>
      <w:r w:rsidR="00214D97" w:rsidRPr="009B2CDA">
        <w:rPr>
          <w:rFonts w:ascii="Times New Roman" w:hAnsi="Times New Roman" w:cs="Times New Roman"/>
        </w:rPr>
        <w:t xml:space="preserve"> (Figure 1</w:t>
      </w:r>
      <w:r w:rsidR="00CA7168" w:rsidRPr="009B2CDA">
        <w:rPr>
          <w:rFonts w:ascii="Times New Roman" w:hAnsi="Times New Roman" w:cs="Times New Roman"/>
        </w:rPr>
        <w:t>a</w:t>
      </w:r>
      <w:r w:rsidR="00214D97" w:rsidRPr="009B2CDA">
        <w:rPr>
          <w:rFonts w:ascii="Times New Roman" w:hAnsi="Times New Roman" w:cs="Times New Roman"/>
        </w:rPr>
        <w:t>)</w:t>
      </w:r>
      <w:r w:rsidR="00A26BDA" w:rsidRPr="009B2CDA">
        <w:rPr>
          <w:rFonts w:ascii="Times New Roman" w:hAnsi="Times New Roman" w:cs="Times New Roman"/>
        </w:rPr>
        <w:t>, participants responded to a</w:t>
      </w:r>
      <w:r w:rsidR="0073795B" w:rsidRPr="009B2CDA">
        <w:rPr>
          <w:rFonts w:ascii="Times New Roman" w:hAnsi="Times New Roman" w:cs="Times New Roman"/>
        </w:rPr>
        <w:t xml:space="preserve"> randomised</w:t>
      </w:r>
      <w:r w:rsidR="00A26BDA" w:rsidRPr="009B2CDA">
        <w:rPr>
          <w:rFonts w:ascii="Times New Roman" w:hAnsi="Times New Roman" w:cs="Times New Roman"/>
        </w:rPr>
        <w:t xml:space="preserve"> audible signal</w:t>
      </w:r>
      <w:r w:rsidR="0073795B" w:rsidRPr="009B2CDA">
        <w:rPr>
          <w:rFonts w:ascii="Times New Roman" w:hAnsi="Times New Roman" w:cs="Times New Roman"/>
        </w:rPr>
        <w:t xml:space="preserve">, </w:t>
      </w:r>
      <w:r w:rsidR="00A26BDA" w:rsidRPr="009B2CDA">
        <w:rPr>
          <w:rFonts w:ascii="Times New Roman" w:hAnsi="Times New Roman" w:cs="Times New Roman"/>
        </w:rPr>
        <w:t xml:space="preserve">by reaching both arms </w:t>
      </w:r>
      <w:r w:rsidR="00A26BDA" w:rsidRPr="009B2CDA">
        <w:rPr>
          <w:rFonts w:ascii="Times New Roman" w:hAnsi="Times New Roman" w:cs="Times New Roman"/>
        </w:rPr>
        <w:lastRenderedPageBreak/>
        <w:t>forward</w:t>
      </w:r>
      <w:r w:rsidR="008A18EC" w:rsidRPr="009B2CDA">
        <w:rPr>
          <w:rFonts w:ascii="Times New Roman" w:hAnsi="Times New Roman" w:cs="Times New Roman"/>
        </w:rPr>
        <w:t>, as fast as possible,</w:t>
      </w:r>
      <w:r w:rsidR="00A26BDA" w:rsidRPr="009B2CDA">
        <w:rPr>
          <w:rFonts w:ascii="Times New Roman" w:hAnsi="Times New Roman" w:cs="Times New Roman"/>
        </w:rPr>
        <w:t xml:space="preserve"> to touch</w:t>
      </w:r>
      <w:r w:rsidR="00B97D7C" w:rsidRPr="009B2CDA">
        <w:rPr>
          <w:rFonts w:ascii="Times New Roman" w:hAnsi="Times New Roman" w:cs="Times New Roman"/>
        </w:rPr>
        <w:t xml:space="preserve"> a target on</w:t>
      </w:r>
      <w:r w:rsidR="00A26BDA" w:rsidRPr="009B2CDA">
        <w:rPr>
          <w:rFonts w:ascii="Times New Roman" w:hAnsi="Times New Roman" w:cs="Times New Roman"/>
        </w:rPr>
        <w:t xml:space="preserve"> </w:t>
      </w:r>
      <w:r w:rsidR="0073795B" w:rsidRPr="009B2CDA">
        <w:rPr>
          <w:rFonts w:ascii="Times New Roman" w:hAnsi="Times New Roman" w:cs="Times New Roman"/>
        </w:rPr>
        <w:t xml:space="preserve">dual </w:t>
      </w:r>
      <w:r w:rsidR="00A26BDA" w:rsidRPr="009B2CDA">
        <w:rPr>
          <w:rFonts w:ascii="Times New Roman" w:hAnsi="Times New Roman" w:cs="Times New Roman"/>
        </w:rPr>
        <w:t>force plate</w:t>
      </w:r>
      <w:r w:rsidR="0073795B" w:rsidRPr="009B2CDA">
        <w:rPr>
          <w:rFonts w:ascii="Times New Roman" w:hAnsi="Times New Roman" w:cs="Times New Roman"/>
        </w:rPr>
        <w:t>s (</w:t>
      </w:r>
      <w:r w:rsidR="009F24B0" w:rsidRPr="009B2CDA">
        <w:rPr>
          <w:rFonts w:ascii="Times New Roman" w:hAnsi="Times New Roman" w:cs="Times New Roman"/>
        </w:rPr>
        <w:t xml:space="preserve">fs=2000Hz, </w:t>
      </w:r>
      <w:r w:rsidR="009E159A" w:rsidRPr="009B2CDA">
        <w:rPr>
          <w:rFonts w:ascii="Times New Roman" w:hAnsi="Times New Roman" w:cs="Times New Roman"/>
        </w:rPr>
        <w:t>OR6-7, AMTI, Watertown, MA</w:t>
      </w:r>
      <w:r w:rsidR="00686202" w:rsidRPr="009B2CDA">
        <w:rPr>
          <w:rFonts w:ascii="Times New Roman" w:hAnsi="Times New Roman" w:cs="Times New Roman"/>
        </w:rPr>
        <w:t>, USA</w:t>
      </w:r>
      <w:r w:rsidR="0073795B" w:rsidRPr="009B2CDA">
        <w:rPr>
          <w:rFonts w:ascii="Times New Roman" w:hAnsi="Times New Roman" w:cs="Times New Roman"/>
        </w:rPr>
        <w:t>),</w:t>
      </w:r>
      <w:r w:rsidR="00A26BDA" w:rsidRPr="009B2CDA">
        <w:rPr>
          <w:rFonts w:ascii="Times New Roman" w:hAnsi="Times New Roman" w:cs="Times New Roman"/>
        </w:rPr>
        <w:t xml:space="preserve"> </w:t>
      </w:r>
      <w:r w:rsidR="0073795B" w:rsidRPr="009B2CDA">
        <w:rPr>
          <w:rFonts w:ascii="Times New Roman" w:hAnsi="Times New Roman" w:cs="Times New Roman"/>
        </w:rPr>
        <w:t xml:space="preserve">positioned below shoulder height, </w:t>
      </w:r>
      <w:r w:rsidR="00A26BDA" w:rsidRPr="009B2CDA">
        <w:rPr>
          <w:rFonts w:ascii="Times New Roman" w:hAnsi="Times New Roman" w:cs="Times New Roman"/>
        </w:rPr>
        <w:t>with bilateral hand contact</w:t>
      </w:r>
      <w:r w:rsidR="0073795B" w:rsidRPr="009B2CDA">
        <w:rPr>
          <w:rFonts w:ascii="Times New Roman" w:hAnsi="Times New Roman" w:cs="Times New Roman"/>
        </w:rPr>
        <w:t xml:space="preserve"> (F</w:t>
      </w:r>
      <w:r w:rsidR="0085570B" w:rsidRPr="009B2CDA">
        <w:rPr>
          <w:rFonts w:ascii="Times New Roman" w:hAnsi="Times New Roman" w:cs="Times New Roman"/>
        </w:rPr>
        <w:t>igure</w:t>
      </w:r>
      <w:r w:rsidR="0073795B" w:rsidRPr="009B2CDA">
        <w:rPr>
          <w:rFonts w:ascii="Times New Roman" w:hAnsi="Times New Roman" w:cs="Times New Roman"/>
        </w:rPr>
        <w:t xml:space="preserve"> 1</w:t>
      </w:r>
      <w:r w:rsidR="00CA7168" w:rsidRPr="009B2CDA">
        <w:rPr>
          <w:rFonts w:ascii="Times New Roman" w:hAnsi="Times New Roman" w:cs="Times New Roman"/>
        </w:rPr>
        <w:t>b</w:t>
      </w:r>
      <w:r w:rsidR="0073795B" w:rsidRPr="009B2CDA">
        <w:rPr>
          <w:rFonts w:ascii="Times New Roman" w:hAnsi="Times New Roman" w:cs="Times New Roman"/>
        </w:rPr>
        <w:t>)</w:t>
      </w:r>
      <w:r w:rsidR="00A26BDA" w:rsidRPr="009B2CDA">
        <w:rPr>
          <w:rFonts w:ascii="Times New Roman" w:hAnsi="Times New Roman" w:cs="Times New Roman"/>
        </w:rPr>
        <w:t>.</w:t>
      </w:r>
      <w:r w:rsidR="003505CB" w:rsidRPr="009B2CDA">
        <w:rPr>
          <w:rFonts w:ascii="Times New Roman" w:hAnsi="Times New Roman" w:cs="Times New Roman"/>
        </w:rPr>
        <w:t xml:space="preserve"> </w:t>
      </w:r>
      <w:r w:rsidR="00A860F9" w:rsidRPr="009B2CDA">
        <w:rPr>
          <w:rFonts w:ascii="Times New Roman" w:hAnsi="Times New Roman" w:cs="Times New Roman"/>
        </w:rPr>
        <w:t>The height of the force pl</w:t>
      </w:r>
      <w:r w:rsidR="00F77C77" w:rsidRPr="009B2CDA">
        <w:rPr>
          <w:rFonts w:ascii="Times New Roman" w:hAnsi="Times New Roman" w:cs="Times New Roman"/>
        </w:rPr>
        <w:t>atform target was standardised to the participants height and arm length. To ensure consistent hand contact across trials, participants were required to touch above a marked line, the same target was used for all participants</w:t>
      </w:r>
      <w:r w:rsidR="00F938A6" w:rsidRPr="009B2CDA">
        <w:rPr>
          <w:rFonts w:ascii="Times New Roman" w:hAnsi="Times New Roman" w:cs="Times New Roman"/>
        </w:rPr>
        <w:t>, resulting in a consistent height form the target</w:t>
      </w:r>
      <w:r w:rsidR="00F77C77" w:rsidRPr="009B2CDA">
        <w:rPr>
          <w:rFonts w:ascii="Times New Roman" w:hAnsi="Times New Roman" w:cs="Times New Roman"/>
        </w:rPr>
        <w:t xml:space="preserve">. </w:t>
      </w:r>
      <w:r w:rsidR="009F24B0" w:rsidRPr="009B2CDA">
        <w:rPr>
          <w:rFonts w:ascii="Times New Roman" w:hAnsi="Times New Roman" w:cs="Times New Roman"/>
        </w:rPr>
        <w:t xml:space="preserve">Kinematic, force and audio cue timing data were synchronously collected on the same system. </w:t>
      </w:r>
      <w:r w:rsidR="00A26BDA" w:rsidRPr="009B2CDA">
        <w:rPr>
          <w:rFonts w:ascii="Times New Roman" w:hAnsi="Times New Roman" w:cs="Times New Roman"/>
        </w:rPr>
        <w:t xml:space="preserve">Five trials were </w:t>
      </w:r>
      <w:r w:rsidR="00AD56AC" w:rsidRPr="009B2CDA">
        <w:rPr>
          <w:rFonts w:ascii="Times New Roman" w:hAnsi="Times New Roman" w:cs="Times New Roman"/>
        </w:rPr>
        <w:t>conducted,</w:t>
      </w:r>
      <w:r w:rsidR="00365A01" w:rsidRPr="009B2CDA">
        <w:rPr>
          <w:rFonts w:ascii="Times New Roman" w:hAnsi="Times New Roman" w:cs="Times New Roman"/>
        </w:rPr>
        <w:t xml:space="preserve"> and</w:t>
      </w:r>
      <w:r w:rsidR="00A26BDA" w:rsidRPr="009B2CDA">
        <w:rPr>
          <w:rFonts w:ascii="Times New Roman" w:hAnsi="Times New Roman" w:cs="Times New Roman"/>
        </w:rPr>
        <w:t xml:space="preserve"> </w:t>
      </w:r>
      <w:r w:rsidR="003505CB" w:rsidRPr="009B2CDA">
        <w:rPr>
          <w:rFonts w:ascii="Times New Roman" w:hAnsi="Times New Roman" w:cs="Times New Roman"/>
        </w:rPr>
        <w:t xml:space="preserve">the raw </w:t>
      </w:r>
      <w:r w:rsidR="009F24B0" w:rsidRPr="009B2CDA">
        <w:rPr>
          <w:rFonts w:ascii="Times New Roman" w:hAnsi="Times New Roman" w:cs="Times New Roman"/>
        </w:rPr>
        <w:t xml:space="preserve">kinematic </w:t>
      </w:r>
      <w:r w:rsidR="003505CB" w:rsidRPr="009B2CDA">
        <w:rPr>
          <w:rFonts w:ascii="Times New Roman" w:hAnsi="Times New Roman" w:cs="Times New Roman"/>
        </w:rPr>
        <w:t>data w</w:t>
      </w:r>
      <w:r w:rsidR="009F24B0" w:rsidRPr="009B2CDA">
        <w:rPr>
          <w:rFonts w:ascii="Times New Roman" w:hAnsi="Times New Roman" w:cs="Times New Roman"/>
        </w:rPr>
        <w:t>ere</w:t>
      </w:r>
      <w:r w:rsidR="003505CB" w:rsidRPr="009B2CDA">
        <w:rPr>
          <w:rFonts w:ascii="Times New Roman" w:hAnsi="Times New Roman" w:cs="Times New Roman"/>
        </w:rPr>
        <w:t xml:space="preserve"> exported and </w:t>
      </w:r>
      <w:r w:rsidR="005C0B6B" w:rsidRPr="009B2CDA">
        <w:rPr>
          <w:rFonts w:ascii="Times New Roman" w:hAnsi="Times New Roman" w:cs="Times New Roman"/>
        </w:rPr>
        <w:t>processed</w:t>
      </w:r>
      <w:r w:rsidR="00FD6564" w:rsidRPr="009B2CDA">
        <w:rPr>
          <w:rFonts w:ascii="Times New Roman" w:hAnsi="Times New Roman" w:cs="Times New Roman"/>
        </w:rPr>
        <w:t xml:space="preserve"> with a 4</w:t>
      </w:r>
      <w:r w:rsidR="00FD6564" w:rsidRPr="009B2CDA">
        <w:rPr>
          <w:rFonts w:ascii="Times New Roman" w:hAnsi="Times New Roman" w:cs="Times New Roman"/>
          <w:vertAlign w:val="superscript"/>
        </w:rPr>
        <w:t>th</w:t>
      </w:r>
      <w:r w:rsidR="00FD6564" w:rsidRPr="009B2CDA">
        <w:rPr>
          <w:rFonts w:ascii="Times New Roman" w:hAnsi="Times New Roman" w:cs="Times New Roman"/>
        </w:rPr>
        <w:t xml:space="preserve"> order zero-lag Butterworth </w:t>
      </w:r>
      <w:r w:rsidR="005C0B6B" w:rsidRPr="009B2CDA">
        <w:rPr>
          <w:rFonts w:ascii="Times New Roman" w:hAnsi="Times New Roman" w:cs="Times New Roman"/>
        </w:rPr>
        <w:t xml:space="preserve">low-pass </w:t>
      </w:r>
      <w:r w:rsidR="00FD6564" w:rsidRPr="009B2CDA">
        <w:rPr>
          <w:rFonts w:ascii="Times New Roman" w:hAnsi="Times New Roman" w:cs="Times New Roman"/>
        </w:rPr>
        <w:t xml:space="preserve">filter </w:t>
      </w:r>
      <w:r w:rsidR="005C0B6B" w:rsidRPr="009B2CDA">
        <w:rPr>
          <w:rFonts w:ascii="Times New Roman" w:hAnsi="Times New Roman" w:cs="Times New Roman"/>
        </w:rPr>
        <w:t>(fc=10</w:t>
      </w:r>
      <w:r w:rsidR="00FD6564" w:rsidRPr="009B2CDA">
        <w:rPr>
          <w:rFonts w:ascii="Times New Roman" w:hAnsi="Times New Roman" w:cs="Times New Roman"/>
        </w:rPr>
        <w:t>Hz</w:t>
      </w:r>
      <w:r w:rsidR="005C0B6B" w:rsidRPr="009B2CDA">
        <w:rPr>
          <w:rFonts w:ascii="Times New Roman" w:hAnsi="Times New Roman" w:cs="Times New Roman"/>
        </w:rPr>
        <w:t>)</w:t>
      </w:r>
      <w:r w:rsidR="00FD6564" w:rsidRPr="009B2CDA">
        <w:rPr>
          <w:rFonts w:ascii="Times New Roman" w:hAnsi="Times New Roman" w:cs="Times New Roman"/>
        </w:rPr>
        <w:t xml:space="preserve"> implemented in MATLAB (R2019b, </w:t>
      </w:r>
      <w:proofErr w:type="spellStart"/>
      <w:r w:rsidR="00FD6564" w:rsidRPr="009B2CDA">
        <w:rPr>
          <w:rFonts w:ascii="Times New Roman" w:hAnsi="Times New Roman" w:cs="Times New Roman"/>
        </w:rPr>
        <w:t>Mathworks</w:t>
      </w:r>
      <w:proofErr w:type="spellEnd"/>
      <w:r w:rsidR="00FD6564" w:rsidRPr="009B2CDA">
        <w:rPr>
          <w:rFonts w:ascii="Times New Roman" w:hAnsi="Times New Roman" w:cs="Times New Roman"/>
        </w:rPr>
        <w:t>, Natick, MA</w:t>
      </w:r>
      <w:r w:rsidR="00686202" w:rsidRPr="009B2CDA">
        <w:rPr>
          <w:rFonts w:ascii="Times New Roman" w:hAnsi="Times New Roman" w:cs="Times New Roman"/>
        </w:rPr>
        <w:t>, USA</w:t>
      </w:r>
      <w:r w:rsidR="00FD6564" w:rsidRPr="009B2CDA">
        <w:rPr>
          <w:rFonts w:ascii="Times New Roman" w:hAnsi="Times New Roman" w:cs="Times New Roman"/>
        </w:rPr>
        <w:t>)</w:t>
      </w:r>
      <w:r w:rsidR="003505CB" w:rsidRPr="009B2CDA">
        <w:rPr>
          <w:rFonts w:ascii="Times New Roman" w:hAnsi="Times New Roman" w:cs="Times New Roman"/>
        </w:rPr>
        <w:t xml:space="preserve">. </w:t>
      </w:r>
      <w:r w:rsidR="00E90BE4" w:rsidRPr="009B2CDA">
        <w:rPr>
          <w:rFonts w:ascii="Times New Roman" w:hAnsi="Times New Roman" w:cs="Times New Roman"/>
        </w:rPr>
        <w:t xml:space="preserve">The initiation of wrist movement </w:t>
      </w:r>
      <w:r w:rsidR="003505CB" w:rsidRPr="009B2CDA">
        <w:rPr>
          <w:rFonts w:ascii="Times New Roman" w:hAnsi="Times New Roman" w:cs="Times New Roman"/>
        </w:rPr>
        <w:t xml:space="preserve">was determined as the onset of movement exceeding 10% of peak movement velocity </w:t>
      </w:r>
      <w:r w:rsidR="0090608A"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{"citationItems":[{"id":"ITEM-1","itemData":{"DOI":"10.1080/00222895.1993.9941644","ISSN":"0022-2895","abstract":"Abstract With the advent of recent measurement techniques, kinematic and kinetic measures commonly are used to describe events over time. Often, the central and peripheral nature of the control processes involved are derived from these temporal series. For example, movement onset often arbitrarily defines the end of the central and the beginning of the peripheral processes. Because of its critical temporal location, we examined whether response dynamics (average movement velocity) affects the determination of movement onset. Interactive graphics and numerical methods of determining movement onsets from temporal series were evaluated on various kinematic signals. Variations in the initial rate of change in a given signal significantly affected the determination of movement onset. Consequently, measurements of component latency must be regarded with caution. A cursory description of related problems elucidated in previous research is discussed, and procedures that can minimize these artifacts are suggested.","author":[{"dropping-particle":"","family":"Teasdale","given":"Normand","non-dropping-particle":"","parse-names":false,"suffix":""},{"dropping-particle":"","family":"Bard","given":"Chantal","non-dropping-particle":"","parse-names":false,"suffix":""},{"dropping-particle":"","family":"Fleury","given":"Michelle","non-dropping-particle":"","parse-names":false,"suffix":""},{"dropping-particle":"","family":"Young","given":"Douglas E","non-dropping-particle":"","parse-names":false,"suffix":""},{"dropping-particle":"","family":"Proteau","given":"Luc","non-dropping-particle":"","parse-names":false,"suffix":""}],"container-title":"Journal of Motor Behavior","id":"ITEM-1","issue":"2","issued":{"date-parts":[["1993","6","1"]]},"note":"doi: 10.1080/00222895.1993.9941644","page":"97-106","publisher":"Routledge","title":"Determining movement onsets from temporal series","type":"article-journal","volume":"25"},"uris":["http://www.mendeley.com/documents/?uuid=384caf3e-daa8-4411-a2d7-491c09dd8f4e"]}],"mendeley":{"formattedCitation":"(Teasdale, Bard, Fleury, Young, &amp; Proteau, 1993)","plainTextFormattedCitation":"(Teasdale, Bard, Fleury, Young, &amp; Proteau, 1993)","previouslyFormattedCitation":"(Teasdale, Bard, Fleury, Young, &amp; Proteau, 1993)"},"properties":{"noteIndex":0},"schema":"https://github.com/citation-style-language/schema/raw/master/csl-citation.json"}</w:instrText>
      </w:r>
      <w:r w:rsidR="0090608A" w:rsidRPr="009B2CDA">
        <w:rPr>
          <w:rFonts w:ascii="Times New Roman" w:hAnsi="Times New Roman" w:cs="Times New Roman"/>
        </w:rPr>
        <w:fldChar w:fldCharType="separate"/>
      </w:r>
      <w:r w:rsidR="005B5832" w:rsidRPr="009B2CDA">
        <w:rPr>
          <w:rFonts w:ascii="Times New Roman" w:hAnsi="Times New Roman" w:cs="Times New Roman"/>
          <w:noProof/>
        </w:rPr>
        <w:t>(Teasdale, Bard, Fleury, Young, &amp; Proteau, 1993)</w:t>
      </w:r>
      <w:r w:rsidR="0090608A" w:rsidRPr="009B2CDA">
        <w:rPr>
          <w:rFonts w:ascii="Times New Roman" w:hAnsi="Times New Roman" w:cs="Times New Roman"/>
        </w:rPr>
        <w:fldChar w:fldCharType="end"/>
      </w:r>
      <w:r w:rsidR="00515941" w:rsidRPr="009B2CDA">
        <w:rPr>
          <w:rFonts w:ascii="Times New Roman" w:hAnsi="Times New Roman" w:cs="Times New Roman"/>
        </w:rPr>
        <w:t>. The same algorithm was utilized to establish the</w:t>
      </w:r>
      <w:r w:rsidR="003E71AB" w:rsidRPr="009B2CDA">
        <w:rPr>
          <w:rFonts w:ascii="Times New Roman" w:hAnsi="Times New Roman" w:cs="Times New Roman"/>
        </w:rPr>
        <w:t xml:space="preserve"> rise</w:t>
      </w:r>
      <w:r w:rsidR="00515941" w:rsidRPr="009B2CDA">
        <w:rPr>
          <w:rFonts w:ascii="Times New Roman" w:hAnsi="Times New Roman" w:cs="Times New Roman"/>
        </w:rPr>
        <w:t xml:space="preserve"> in force to distinguish</w:t>
      </w:r>
      <w:r w:rsidR="003505CB" w:rsidRPr="009B2CDA">
        <w:rPr>
          <w:rFonts w:ascii="Times New Roman" w:hAnsi="Times New Roman" w:cs="Times New Roman"/>
        </w:rPr>
        <w:t xml:space="preserve"> </w:t>
      </w:r>
      <w:r w:rsidR="00515941" w:rsidRPr="009B2CDA">
        <w:rPr>
          <w:rFonts w:ascii="Times New Roman" w:hAnsi="Times New Roman" w:cs="Times New Roman"/>
        </w:rPr>
        <w:t xml:space="preserve">initial </w:t>
      </w:r>
      <w:r w:rsidR="003505CB" w:rsidRPr="009B2CDA">
        <w:rPr>
          <w:rFonts w:ascii="Times New Roman" w:hAnsi="Times New Roman" w:cs="Times New Roman"/>
        </w:rPr>
        <w:t>c</w:t>
      </w:r>
      <w:r w:rsidR="00E90BE4" w:rsidRPr="009B2CDA">
        <w:rPr>
          <w:rFonts w:ascii="Times New Roman" w:hAnsi="Times New Roman" w:cs="Times New Roman"/>
        </w:rPr>
        <w:t>ontact</w:t>
      </w:r>
      <w:r w:rsidR="00515941" w:rsidRPr="009B2CDA">
        <w:rPr>
          <w:rFonts w:ascii="Times New Roman" w:hAnsi="Times New Roman" w:cs="Times New Roman"/>
        </w:rPr>
        <w:t xml:space="preserve"> with the force platforms </w:t>
      </w:r>
      <w:r w:rsidR="00515941"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{"citationItems":[{"id":"ITEM-1","itemData":{"DOI":"10.1080/00222895.1993.9941644","ISSN":"0022-2895","abstract":"Abstract With the advent of recent measurement techniques, kinematic and kinetic measures commonly are used to describe events over time. Often, the central and peripheral nature of the control processes involved are derived from these temporal series. For example, movement onset often arbitrarily defines the end of the central and the beginning of the peripheral processes. Because of its critical temporal location, we examined whether response dynamics (average movement velocity) affects the determination of movement onset. Interactive graphics and numerical methods of determining movement onsets from temporal series were evaluated on various kinematic signals. Variations in the initial rate of change in a given signal significantly affected the determination of movement onset. Consequently, measurements of component latency must be regarded with caution. A cursory description of related problems elucidated in previous research is discussed, and procedures that can minimize these artifacts are suggested.","author":[{"dropping-particle":"","family":"Teasdale","given":"Normand","non-dropping-particle":"","parse-names":false,"suffix":""},{"dropping-particle":"","family":"Bard","given":"Chantal","non-dropping-particle":"","parse-names":false,"suffix":""},{"dropping-particle":"","family":"Fleury","given":"Michelle","non-dropping-particle":"","parse-names":false,"suffix":""},{"dropping-particle":"","family":"Young","given":"Douglas E","non-dropping-particle":"","parse-names":false,"suffix":""},{"dropping-particle":"","family":"Proteau","given":"Luc","non-dropping-particle":"","parse-names":false,"suffix":""}],"container-title":"Journal of Motor Behavior","id":"ITEM-1","issue":"2","issued":{"date-parts":[["1993","6","1"]]},"note":"doi: 10.1080/00222895.1993.9941644","page":"97-106","publisher":"Routledge","title":"Determining movement onsets from temporal series","type":"article-journal","volume":"25"},"uris":["http://www.mendeley.com/documents/?uuid=384caf3e-daa8-4411-a2d7-491c09dd8f4e"]}],"mendeley":{"formattedCitation":"(Teasdale et al., 1993)","plainTextFormattedCitation":"(Teasdale et al., 1993)","previouslyFormattedCitation":"(Teasdale et al., 1993)"},"properties":{"noteIndex":0},"schema":"https://github.com/citation-style-language/schema/raw/master/csl-citation.json"}</w:instrText>
      </w:r>
      <w:r w:rsidR="00515941" w:rsidRPr="009B2CDA">
        <w:rPr>
          <w:rFonts w:ascii="Times New Roman" w:hAnsi="Times New Roman" w:cs="Times New Roman"/>
        </w:rPr>
        <w:fldChar w:fldCharType="separate"/>
      </w:r>
      <w:r w:rsidR="00BB5C78" w:rsidRPr="009B2CDA">
        <w:rPr>
          <w:rFonts w:ascii="Times New Roman" w:hAnsi="Times New Roman" w:cs="Times New Roman"/>
          <w:noProof/>
        </w:rPr>
        <w:t>(Teasdale et al., 1993)</w:t>
      </w:r>
      <w:r w:rsidR="00515941" w:rsidRPr="009B2CDA">
        <w:rPr>
          <w:rFonts w:ascii="Times New Roman" w:hAnsi="Times New Roman" w:cs="Times New Roman"/>
        </w:rPr>
        <w:fldChar w:fldCharType="end"/>
      </w:r>
      <w:r w:rsidR="00E90BE4" w:rsidRPr="009B2CDA">
        <w:rPr>
          <w:rFonts w:ascii="Times New Roman" w:hAnsi="Times New Roman" w:cs="Times New Roman"/>
        </w:rPr>
        <w:t>.</w:t>
      </w:r>
      <w:r w:rsidR="003505CB" w:rsidRPr="009B2CDA">
        <w:rPr>
          <w:rFonts w:ascii="Times New Roman" w:hAnsi="Times New Roman" w:cs="Times New Roman"/>
        </w:rPr>
        <w:t xml:space="preserve"> </w:t>
      </w:r>
      <w:r w:rsidR="00D0016D" w:rsidRPr="009B2CDA">
        <w:rPr>
          <w:rFonts w:ascii="Times New Roman" w:hAnsi="Times New Roman" w:cs="Times New Roman"/>
        </w:rPr>
        <w:t>R</w:t>
      </w:r>
      <w:r w:rsidR="003505CB" w:rsidRPr="009B2CDA">
        <w:rPr>
          <w:rFonts w:ascii="Times New Roman" w:hAnsi="Times New Roman" w:cs="Times New Roman"/>
        </w:rPr>
        <w:t>T</w:t>
      </w:r>
      <w:r w:rsidR="00D0016D" w:rsidRPr="009B2CDA">
        <w:rPr>
          <w:rFonts w:ascii="Times New Roman" w:hAnsi="Times New Roman" w:cs="Times New Roman"/>
        </w:rPr>
        <w:t xml:space="preserve"> </w:t>
      </w:r>
      <w:r w:rsidR="003505CB" w:rsidRPr="009B2CDA">
        <w:rPr>
          <w:rFonts w:ascii="Times New Roman" w:hAnsi="Times New Roman" w:cs="Times New Roman"/>
        </w:rPr>
        <w:t xml:space="preserve">was categorised as time </w:t>
      </w:r>
      <w:r w:rsidR="00D0016D" w:rsidRPr="009B2CDA">
        <w:rPr>
          <w:rFonts w:ascii="Times New Roman" w:hAnsi="Times New Roman" w:cs="Times New Roman"/>
        </w:rPr>
        <w:t xml:space="preserve">from initial audio cue </w:t>
      </w:r>
      <w:r w:rsidR="003505CB" w:rsidRPr="009B2CDA">
        <w:rPr>
          <w:rFonts w:ascii="Times New Roman" w:hAnsi="Times New Roman" w:cs="Times New Roman"/>
        </w:rPr>
        <w:t xml:space="preserve">to initiation of wrist </w:t>
      </w:r>
      <w:r w:rsidR="00D0016D" w:rsidRPr="009B2CDA">
        <w:rPr>
          <w:rFonts w:ascii="Times New Roman" w:hAnsi="Times New Roman" w:cs="Times New Roman"/>
        </w:rPr>
        <w:t xml:space="preserve">movement </w:t>
      </w:r>
      <w:r w:rsidR="003505CB" w:rsidRPr="009B2CDA">
        <w:rPr>
          <w:rFonts w:ascii="Times New Roman" w:hAnsi="Times New Roman" w:cs="Times New Roman"/>
        </w:rPr>
        <w:t>and MT categorised as time from wrist movement</w:t>
      </w:r>
      <w:r w:rsidR="00D0016D" w:rsidRPr="009B2CDA">
        <w:rPr>
          <w:rFonts w:ascii="Times New Roman" w:hAnsi="Times New Roman" w:cs="Times New Roman"/>
        </w:rPr>
        <w:t xml:space="preserve"> </w:t>
      </w:r>
      <w:r w:rsidR="00D0016D" w:rsidRPr="00862598">
        <w:rPr>
          <w:rFonts w:ascii="Times New Roman" w:hAnsi="Times New Roman" w:cs="Times New Roman"/>
        </w:rPr>
        <w:t>initiation to contact</w:t>
      </w:r>
      <w:r w:rsidR="003505CB" w:rsidRPr="00862598">
        <w:rPr>
          <w:rFonts w:ascii="Times New Roman" w:hAnsi="Times New Roman" w:cs="Times New Roman"/>
        </w:rPr>
        <w:t>.</w:t>
      </w:r>
      <w:r w:rsidR="00274858" w:rsidRPr="00862598">
        <w:rPr>
          <w:rFonts w:ascii="Times New Roman" w:hAnsi="Times New Roman" w:cs="Times New Roman"/>
        </w:rPr>
        <w:t xml:space="preserve"> </w:t>
      </w:r>
      <w:r w:rsidR="009D22FC" w:rsidRPr="00862598">
        <w:rPr>
          <w:rFonts w:ascii="Times New Roman" w:hAnsi="Times New Roman" w:cs="Times New Roman"/>
        </w:rPr>
        <w:t>An average of the five trials collected was utilised for statistical analysis</w:t>
      </w:r>
      <w:r w:rsidR="00274858" w:rsidRPr="00862598">
        <w:rPr>
          <w:rFonts w:ascii="Times New Roman" w:hAnsi="Times New Roman" w:cs="Times New Roman"/>
        </w:rPr>
        <w:t xml:space="preserve"> (Cronbach’s Alpha ICC </w:t>
      </w:r>
      <w:r w:rsidR="00274858" w:rsidRPr="00862598">
        <w:rPr>
          <w:rFonts w:ascii="Times New Roman" w:eastAsia="Times New Roman" w:hAnsi="Times New Roman" w:cs="Times New Roman"/>
        </w:rPr>
        <w:t>RT: a = 0.78 and MT: a = 0.93)</w:t>
      </w:r>
      <w:r w:rsidR="009D22FC" w:rsidRPr="00862598">
        <w:rPr>
          <w:rFonts w:ascii="Times New Roman" w:hAnsi="Times New Roman" w:cs="Times New Roman"/>
        </w:rPr>
        <w:t>.</w:t>
      </w:r>
    </w:p>
    <w:p w14:paraId="10C28E89" w14:textId="4E93EEC5" w:rsidR="00D0016D" w:rsidRPr="009B2CDA" w:rsidRDefault="00D0016D" w:rsidP="00A33C2E">
      <w:pPr>
        <w:spacing w:line="480" w:lineRule="auto"/>
        <w:rPr>
          <w:rFonts w:ascii="Times New Roman" w:hAnsi="Times New Roman" w:cs="Times New Roman"/>
          <w:b/>
          <w:i/>
        </w:rPr>
      </w:pPr>
      <w:r w:rsidRPr="009B2CDA">
        <w:rPr>
          <w:rFonts w:ascii="Times New Roman" w:hAnsi="Times New Roman" w:cs="Times New Roman"/>
          <w:b/>
          <w:i/>
        </w:rPr>
        <w:t>Strength/functional assessments:</w:t>
      </w:r>
    </w:p>
    <w:p w14:paraId="469EAE17" w14:textId="4FB3929B" w:rsidR="003F1D97" w:rsidRPr="009B2CDA" w:rsidRDefault="0073795B" w:rsidP="00A33C2E">
      <w:pPr>
        <w:spacing w:line="480" w:lineRule="auto"/>
        <w:ind w:firstLine="720"/>
        <w:rPr>
          <w:rFonts w:ascii="Times New Roman" w:hAnsi="Times New Roman" w:cs="Times New Roman"/>
        </w:rPr>
      </w:pPr>
      <w:r w:rsidRPr="009B2CDA">
        <w:rPr>
          <w:rFonts w:ascii="Times New Roman" w:hAnsi="Times New Roman" w:cs="Times New Roman"/>
        </w:rPr>
        <w:t xml:space="preserve">The selected physical function and strength variables </w:t>
      </w:r>
      <w:r w:rsidR="003F2AA0" w:rsidRPr="009B2CDA">
        <w:rPr>
          <w:rFonts w:ascii="Times New Roman" w:hAnsi="Times New Roman" w:cs="Times New Roman"/>
        </w:rPr>
        <w:t xml:space="preserve">described in more detail in </w:t>
      </w:r>
      <w:r w:rsidR="00496424" w:rsidRPr="009B2CDA">
        <w:rPr>
          <w:rFonts w:ascii="Times New Roman" w:hAnsi="Times New Roman" w:cs="Times New Roman"/>
        </w:rPr>
        <w:t xml:space="preserve">Table 1 </w:t>
      </w:r>
      <w:r w:rsidRPr="009B2CDA">
        <w:rPr>
          <w:rFonts w:ascii="Times New Roman" w:hAnsi="Times New Roman" w:cs="Times New Roman"/>
        </w:rPr>
        <w:t xml:space="preserve">were </w:t>
      </w:r>
      <w:r w:rsidR="004E1431" w:rsidRPr="009B2CDA">
        <w:rPr>
          <w:rFonts w:ascii="Times New Roman" w:hAnsi="Times New Roman" w:cs="Times New Roman"/>
        </w:rPr>
        <w:t>one-legged balance (OLB</w:t>
      </w:r>
      <w:r w:rsidR="00BA785A" w:rsidRPr="009B2CDA">
        <w:rPr>
          <w:rFonts w:ascii="Times New Roman" w:hAnsi="Times New Roman" w:cs="Times New Roman"/>
        </w:rPr>
        <w:t xml:space="preserve"> </w:t>
      </w:r>
      <w:r w:rsidR="00BA785A"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{"citationItems":[{"id":"ITEM-1","itemData":{"DOI":"10.1007/s00776-009-1371-6","ISBN":"1436-2023","ISSN":"09492658","PMID":"19802686","abstract":"BACKGROUND: The one-leg standing (OLS) test is one of the balance tests used to diagnose musculoskeletal ambulation disability symptom complex (MARS), a condition newly defined by three professional Japanese medical societies in 2006 to help identify the symptoms of motor organ deterioration and establish preventive strategies. Although many studies have used the OLS test, none has shown conclusively that the test can be used as a practical marker of frailty among elderly people, especially in community settings. Based on the type of epidemiological study -- i.e., descriptive epidemiology and analytical epidemiology (observational and intervention studies) -- we reviewed evidence on three fundamental issues related to the OLS test: (1) testing procedures and reference values; (2) the associations between the OLS time and negative events; (3) improvement of the OLS time by intervention. These issues are key to any discussion of whether the OLS test can be used as a practical marker for predicting frailty in community-dwelling elderly populations. METHODS: Articles were collected from MEDLINE databases using the search terms \"one- leg standing\" and the other names included in the same category. RESULTS: Because various procedures are used to carry out the OLS test, the measured values for the OLS time varied widely from study to study. Some observational studies showed that the OLS time is related to negative events such as falls, declines in activity of daily living, and other morbidity. OLS times could be improved by several interventions. CONCLUSIONS: This review suggests that the OLS test can be a tool for predicting frailty in community-dwelling elderly populations. However, our review should be interpreted with caution because we did not confirm the evidence level of each of the studies we selected. Further research on this topic is needed.","author":[{"dropping-particle":"","family":"Michikawa","given":"Takehiro","non-dropping-particle":"","parse-names":false,"suffix":""},{"dropping-particle":"","family":"Nishiwaki","given":"Yuji","non-dropping-particle":"","parse-names":false,"suffix":""},{"dropping-particle":"","family":"Takebayashi","given":"Toru","non-dropping-particle":"","parse-names":false,"suffix":""},{"dropping-particle":"","family":"Toyama","given":"Yoshiaki","non-dropping-particle":"","parse-names":false,"suffix":""}],"container-title":"Journal of Orthopaedic Science","id":"ITEM-1","issue":"5","issued":{"date-parts":[["2009"]]},"page":"675-685","title":"One-leg standing test for elderly populations","type":"article-journal","volume":"14"},"uris":["http://www.mendeley.com/documents/?uuid=8ffb54da-a228-45fc-b82f-9f7b0940344c"]}],"mendeley":{"formattedCitation":"(Michikawa, Nishiwaki, Takebayashi, &amp; Toyama, 2009)","plainTextFormattedCitation":"(Michikawa, Nishiwaki, Takebayashi, &amp; Toyama, 2009)","previouslyFormattedCitation":"(Michikawa, Nishiwaki, Takebayashi, &amp; Toyama, 2009)"},"properties":{"noteIndex":0},"schema":"https://github.com/citation-style-language/schema/raw/master/csl-citation.json"}</w:instrText>
      </w:r>
      <w:r w:rsidR="00BA785A" w:rsidRPr="009B2CDA">
        <w:rPr>
          <w:rFonts w:ascii="Times New Roman" w:hAnsi="Times New Roman" w:cs="Times New Roman"/>
        </w:rPr>
        <w:fldChar w:fldCharType="separate"/>
      </w:r>
      <w:r w:rsidR="005B5832" w:rsidRPr="009B2CDA">
        <w:rPr>
          <w:rFonts w:ascii="Times New Roman" w:hAnsi="Times New Roman" w:cs="Times New Roman"/>
          <w:noProof/>
        </w:rPr>
        <w:t>(Michikawa, Nishiwaki, Takebayashi, &amp; Toyama, 2009)</w:t>
      </w:r>
      <w:r w:rsidR="00BA785A" w:rsidRPr="009B2CDA">
        <w:rPr>
          <w:rFonts w:ascii="Times New Roman" w:hAnsi="Times New Roman" w:cs="Times New Roman"/>
        </w:rPr>
        <w:fldChar w:fldCharType="end"/>
      </w:r>
      <w:r w:rsidR="004E1431" w:rsidRPr="009B2CDA">
        <w:rPr>
          <w:rFonts w:ascii="Times New Roman" w:hAnsi="Times New Roman" w:cs="Times New Roman"/>
        </w:rPr>
        <w:t>), sit-to-stand (STS</w:t>
      </w:r>
      <w:r w:rsidR="002E7500" w:rsidRPr="009B2CDA">
        <w:rPr>
          <w:rFonts w:ascii="Times New Roman" w:hAnsi="Times New Roman" w:cs="Times New Roman"/>
        </w:rPr>
        <w:t xml:space="preserve"> </w:t>
      </w:r>
      <w:r w:rsidR="002E7500"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{"citationItems":[{"id":"ITEM-1","itemData":{"DOI":"10.1080/02701367.1999.10608028","ISSN":"0270-1367","abstract":"Measuring lower body strength is critical in evaluating the functional performance of older adults. The purpose of this study was to assess the test-retest reliability and the criterion-related and...","author":[{"dropping-particle":"","family":"Jones","given":"C. Jessie","non-dropping-particle":"","parse-names":false,"suffix":""},{"dropping-particle":"","family":"Rikli","given":"Roberta E.","non-dropping-particle":"","parse-names":false,"suffix":""},{"dropping-particle":"","family":"Beam","given":"William C.","non-dropping-particle":"","parse-names":false,"suffix":""}],"container-title":"Research Quarterly for Exercise and Sport","id":"ITEM-1","issue":"2","issued":{"date-parts":[["1999","6"]]},"page":"113-119","publisher":"Taylor &amp; Francis Group","title":"A 30-s Chair-Stand Test as a Measure of Lower Body Strength in Community-Residing Older Adults","type":"article-journal","volume":"70"},"uris":["http://www.mendeley.com/documents/?uuid=307259da-3906-307e-b477-1a1efdfa2640"]}],"mendeley":{"formattedCitation":"(Jones, Rikli, &amp; Beam, 1999)","plainTextFormattedCitation":"(Jones, Rikli, &amp; Beam, 1999)","previouslyFormattedCitation":"(Jones, Rikli, &amp; Beam, 1999)"},"properties":{"noteIndex":0},"schema":"https://github.com/citation-style-language/schema/raw/master/csl-citation.json"}</w:instrText>
      </w:r>
      <w:r w:rsidR="002E7500" w:rsidRPr="009B2CDA">
        <w:rPr>
          <w:rFonts w:ascii="Times New Roman" w:hAnsi="Times New Roman" w:cs="Times New Roman"/>
        </w:rPr>
        <w:fldChar w:fldCharType="separate"/>
      </w:r>
      <w:r w:rsidR="005B5832" w:rsidRPr="009B2CDA">
        <w:rPr>
          <w:rFonts w:ascii="Times New Roman" w:hAnsi="Times New Roman" w:cs="Times New Roman"/>
          <w:noProof/>
        </w:rPr>
        <w:t>(Jones, Rikli, &amp; Beam, 1999)</w:t>
      </w:r>
      <w:r w:rsidR="002E7500" w:rsidRPr="009B2CDA">
        <w:rPr>
          <w:rFonts w:ascii="Times New Roman" w:hAnsi="Times New Roman" w:cs="Times New Roman"/>
        </w:rPr>
        <w:fldChar w:fldCharType="end"/>
      </w:r>
      <w:r w:rsidR="004E1431" w:rsidRPr="009B2CDA">
        <w:rPr>
          <w:rFonts w:ascii="Times New Roman" w:hAnsi="Times New Roman" w:cs="Times New Roman"/>
        </w:rPr>
        <w:t>)</w:t>
      </w:r>
      <w:r w:rsidR="0085570B" w:rsidRPr="009B2CDA">
        <w:rPr>
          <w:rFonts w:ascii="Times New Roman" w:hAnsi="Times New Roman" w:cs="Times New Roman"/>
        </w:rPr>
        <w:t>,</w:t>
      </w:r>
      <w:r w:rsidR="004E1431" w:rsidRPr="009B2CDA">
        <w:rPr>
          <w:rFonts w:ascii="Times New Roman" w:hAnsi="Times New Roman" w:cs="Times New Roman"/>
        </w:rPr>
        <w:t xml:space="preserve"> a </w:t>
      </w:r>
      <w:r w:rsidR="00E90BE4" w:rsidRPr="009B2CDA">
        <w:rPr>
          <w:rFonts w:ascii="Times New Roman" w:hAnsi="Times New Roman" w:cs="Times New Roman"/>
        </w:rPr>
        <w:t>P</w:t>
      </w:r>
      <w:r w:rsidR="004E1431" w:rsidRPr="009B2CDA">
        <w:rPr>
          <w:rFonts w:ascii="Times New Roman" w:hAnsi="Times New Roman" w:cs="Times New Roman"/>
        </w:rPr>
        <w:t xml:space="preserve">hysical </w:t>
      </w:r>
      <w:r w:rsidR="00E90BE4" w:rsidRPr="009B2CDA">
        <w:rPr>
          <w:rFonts w:ascii="Times New Roman" w:hAnsi="Times New Roman" w:cs="Times New Roman"/>
        </w:rPr>
        <w:t>A</w:t>
      </w:r>
      <w:r w:rsidR="004E1431" w:rsidRPr="009B2CDA">
        <w:rPr>
          <w:rFonts w:ascii="Times New Roman" w:hAnsi="Times New Roman" w:cs="Times New Roman"/>
        </w:rPr>
        <w:t xml:space="preserve">ctivity </w:t>
      </w:r>
      <w:r w:rsidR="00E90BE4" w:rsidRPr="009B2CDA">
        <w:rPr>
          <w:rFonts w:ascii="Times New Roman" w:hAnsi="Times New Roman" w:cs="Times New Roman"/>
        </w:rPr>
        <w:t>S</w:t>
      </w:r>
      <w:r w:rsidR="004E1431" w:rsidRPr="009B2CDA">
        <w:rPr>
          <w:rFonts w:ascii="Times New Roman" w:hAnsi="Times New Roman" w:cs="Times New Roman"/>
        </w:rPr>
        <w:t xml:space="preserve">cale for the </w:t>
      </w:r>
      <w:r w:rsidR="00E90BE4" w:rsidRPr="009B2CDA">
        <w:rPr>
          <w:rFonts w:ascii="Times New Roman" w:hAnsi="Times New Roman" w:cs="Times New Roman"/>
        </w:rPr>
        <w:t>E</w:t>
      </w:r>
      <w:r w:rsidR="004E1431" w:rsidRPr="009B2CDA">
        <w:rPr>
          <w:rFonts w:ascii="Times New Roman" w:hAnsi="Times New Roman" w:cs="Times New Roman"/>
        </w:rPr>
        <w:t>lderly (PAS</w:t>
      </w:r>
      <w:r w:rsidR="00A61C7A" w:rsidRPr="009B2CDA">
        <w:rPr>
          <w:rFonts w:ascii="Times New Roman" w:hAnsi="Times New Roman" w:cs="Times New Roman"/>
        </w:rPr>
        <w:t xml:space="preserve">E </w:t>
      </w:r>
      <w:r w:rsidR="00A61C7A"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{"citationItems":[{"id":"ITEM-1","itemData":{"ISSN":"0895-4356","PMID":"8437031","abstract":"A Physical Activity Scale for the Elderly (PASE) was evaluated in a sample of community-dwelling, older adults. Respondents were randomly assigned to complete the PASE by mail or telephone before or after a home visit assessment. Item weights for the PASE were derived by regressing a physical activity principal component score on responses to the PASE. The component score was based on 3-day motion sensor counts, a 3-day physical activity dairy and a global activity self-assessment. Test-retest reliability, assessed over a 3-7 week interval, was 0.75 (95% CI = 0.69-0.80). Reliability for mail administration (r = 0.84) was higher than for telephone administration (r = 0.68). Construct validity was established by correlating PASE scores with health status and physiologic measures. As hypothesized, PASE scores were positively associated with grip strength (r = 0.37), static balance (r = +0.33), leg strength (r = 0.25) and negatively correlated with resting heart rate (r = -0.13), age (r = -0.34) and perceived health status (r = -0.34); and overall Sickness Impact Profile score (r = -0.42). The PASE is a brief, easily scored, reliable and valid instrument for the assessment of physical activity in epidemiologic studies of older people.","author":[{"dropping-particle":"","family":"Washburn","given":"R A","non-dropping-particle":"","parse-names":false,"suffix":""},{"dropping-particle":"","family":"Smith","given":"K W","non-dropping-particle":"","parse-names":false,"suffix":""},{"dropping-particle":"","family":"Jette","given":"A M","non-dropping-particle":"","parse-names":false,"suffix":""},{"dropping-particle":"","family":"Janney","given":"C A","non-dropping-particle":"","parse-names":false,"suffix":""}],"container-title":"Journal of clinical epidemiology","id":"ITEM-1","issue":"2","issued":{"date-parts":[["1993","2"]]},"page":"153-62","title":"The Physical Activity Scale for the Elderly (PASE): development and evaluation.","type":"article-journal","volume":"46"},"uris":["http://www.mendeley.com/documents/?uuid=8081691b-e925-3a51-95c4-7bb53deed5be"]}],"mendeley":{"formattedCitation":"(Washburn, Smith, Jette, &amp; Janney, 1993)","plainTextFormattedCitation":"(Washburn, Smith, Jette, &amp; Janney, 1993)","previouslyFormattedCitation":"(Washburn, Smith, Jette, &amp; Janney, 1993)"},"properties":{"noteIndex":0},"schema":"https://github.com/citation-style-language/schema/raw/master/csl-citation.json"}</w:instrText>
      </w:r>
      <w:r w:rsidR="00A61C7A" w:rsidRPr="009B2CDA">
        <w:rPr>
          <w:rFonts w:ascii="Times New Roman" w:hAnsi="Times New Roman" w:cs="Times New Roman"/>
        </w:rPr>
        <w:fldChar w:fldCharType="separate"/>
      </w:r>
      <w:r w:rsidR="005B5832" w:rsidRPr="009B2CDA">
        <w:rPr>
          <w:rFonts w:ascii="Times New Roman" w:hAnsi="Times New Roman" w:cs="Times New Roman"/>
          <w:noProof/>
        </w:rPr>
        <w:t>(Washburn, Smith, Jette, &amp; Janney, 1993)</w:t>
      </w:r>
      <w:r w:rsidR="00A61C7A" w:rsidRPr="009B2CDA">
        <w:rPr>
          <w:rFonts w:ascii="Times New Roman" w:hAnsi="Times New Roman" w:cs="Times New Roman"/>
        </w:rPr>
        <w:fldChar w:fldCharType="end"/>
      </w:r>
      <w:r w:rsidR="004E1431" w:rsidRPr="009B2CDA">
        <w:rPr>
          <w:rFonts w:ascii="Times New Roman" w:hAnsi="Times New Roman" w:cs="Times New Roman"/>
        </w:rPr>
        <w:t>) score and fall</w:t>
      </w:r>
      <w:r w:rsidR="0085570B" w:rsidRPr="009B2CDA">
        <w:rPr>
          <w:rFonts w:ascii="Times New Roman" w:hAnsi="Times New Roman" w:cs="Times New Roman"/>
        </w:rPr>
        <w:t>s</w:t>
      </w:r>
      <w:r w:rsidR="004E1431" w:rsidRPr="009B2CDA">
        <w:rPr>
          <w:rFonts w:ascii="Times New Roman" w:hAnsi="Times New Roman" w:cs="Times New Roman"/>
        </w:rPr>
        <w:t xml:space="preserve"> risk.</w:t>
      </w:r>
      <w:r w:rsidR="003A2DE2" w:rsidRPr="009B2CDA">
        <w:rPr>
          <w:rFonts w:ascii="Times New Roman" w:hAnsi="Times New Roman" w:cs="Times New Roman"/>
        </w:rPr>
        <w:t xml:space="preserve"> </w:t>
      </w:r>
      <w:r w:rsidR="004E1431" w:rsidRPr="009B2CDA">
        <w:rPr>
          <w:rFonts w:ascii="Times New Roman" w:hAnsi="Times New Roman" w:cs="Times New Roman"/>
        </w:rPr>
        <w:t xml:space="preserve">Three maximal </w:t>
      </w:r>
      <w:r w:rsidR="0085570B" w:rsidRPr="009B2CDA">
        <w:rPr>
          <w:rFonts w:ascii="Times New Roman" w:hAnsi="Times New Roman" w:cs="Times New Roman"/>
        </w:rPr>
        <w:t>repetitions</w:t>
      </w:r>
      <w:r w:rsidR="004E1431" w:rsidRPr="009B2CDA">
        <w:rPr>
          <w:rFonts w:ascii="Times New Roman" w:hAnsi="Times New Roman" w:cs="Times New Roman"/>
        </w:rPr>
        <w:t xml:space="preserve"> of </w:t>
      </w:r>
      <w:r w:rsidRPr="009B2CDA">
        <w:rPr>
          <w:rFonts w:ascii="Times New Roman" w:hAnsi="Times New Roman" w:cs="Times New Roman"/>
        </w:rPr>
        <w:t>handgrip (HG</w:t>
      </w:r>
      <w:r w:rsidR="002E7500" w:rsidRPr="009B2CDA">
        <w:rPr>
          <w:rFonts w:ascii="Times New Roman" w:hAnsi="Times New Roman" w:cs="Times New Roman"/>
        </w:rPr>
        <w:t xml:space="preserve"> </w:t>
      </w:r>
      <w:r w:rsidR="002E7500"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{"citationItems":[{"id":"ITEM-1","itemData":{"DOI":"10.1016/S0894-1130(99)80030-1","ISSN":"08941130","PMID":"10192632","abstract":"The aim of this study was twofold: 1) to use estimates of random and systematic error to ascertain the test-retest reliability of grip strength measurements obtained with the Jamar hand dynamometer in healthy and disabled women, and 2) to determine the size of the change required to detect a genuine change in grip strength for accurate and meaningful clinical interpretation. Previous research has shown grip strength measurements obtained with a Jamar hand dynamometer from healthy and disabled subjects on different occasions to be reliable. However, the test-retest reliability has been based on correlation coefficients rather than on the actual size of the test-retest differences required to detect a genuine change in grip. The test-retest reliability of maximum grip strength measurements in 32 healthy women and painfree grip in 10 disabled women with nonspecific regional pain (NSRP) was determined. Reliability, based on estimates of systematic and random error, was high in both subject groups. There was no statistically significant systematic error between tests. Test-retest measurement error was ± 5.7 kg (12.5 lb) and ± 5.9 kg (13.0 lb) in healthy and disabled subjects, respectively, 95% of the time. In this population of healthy women and women with NSRP, any change in grip of less than 6 kg (13.2 lb) could have occurred by chance. The results of our study suggest that a change of more than 6 kg (13.2 lb) is necessary to detect a genuine change in grip strength 95% of the time.","author":[{"dropping-particle":"","family":"Nitschke","given":"Julie E.","non-dropping-particle":"","parse-names":false,"suffix":""},{"dropping-particle":"","family":"McMeeken","given":"Joan M.","non-dropping-particle":"","parse-names":false,"suffix":""},{"dropping-particle":"","family":"Burry","given":"Hugh C.","non-dropping-particle":"","parse-names":false,"suffix":""},{"dropping-particle":"","family":"Matyas","given":"Thomas A.","non-dropping-particle":"","parse-names":false,"suffix":""}],"container-title":"Journal of Hand Therapy","id":"ITEM-1","issue":"1","issued":{"date-parts":[["1999"]]},"page":"25-30","publisher":"Hanley &amp; Belfus, Inc.","title":"When is a change a genuine change?: A clinically meaningful interpretation of grip strength measurements in healthy and disabled women","type":"article-journal","volume":"12"},"uris":["http://www.mendeley.com/documents/?uuid=6c8df56c-f3fb-433e-8e7f-b76be5e64003"]}],"mendeley":{"formattedCitation":"(Nitschke, McMeeken, Burry, &amp; Matyas, 1999)","plainTextFormattedCitation":"(Nitschke, McMeeken, Burry, &amp; Matyas, 1999)","previouslyFormattedCitation":"(Nitschke, McMeeken, Burry, &amp; Matyas, 1999)"},"properties":{"noteIndex":0},"schema":"https://github.com/citation-style-language/schema/raw/master/csl-citation.json"}</w:instrText>
      </w:r>
      <w:r w:rsidR="002E7500" w:rsidRPr="009B2CDA">
        <w:rPr>
          <w:rFonts w:ascii="Times New Roman" w:hAnsi="Times New Roman" w:cs="Times New Roman"/>
        </w:rPr>
        <w:fldChar w:fldCharType="separate"/>
      </w:r>
      <w:r w:rsidR="005B5832" w:rsidRPr="009B2CDA">
        <w:rPr>
          <w:rFonts w:ascii="Times New Roman" w:hAnsi="Times New Roman" w:cs="Times New Roman"/>
          <w:noProof/>
        </w:rPr>
        <w:t>(Nitschke, McMeeken, Burry, &amp; Matyas, 1999)</w:t>
      </w:r>
      <w:r w:rsidR="002E7500" w:rsidRPr="009B2CDA">
        <w:rPr>
          <w:rFonts w:ascii="Times New Roman" w:hAnsi="Times New Roman" w:cs="Times New Roman"/>
        </w:rPr>
        <w:fldChar w:fldCharType="end"/>
      </w:r>
      <w:r w:rsidRPr="009B2CDA">
        <w:rPr>
          <w:rFonts w:ascii="Times New Roman" w:hAnsi="Times New Roman" w:cs="Times New Roman"/>
        </w:rPr>
        <w:t>), hand-held dynamometry (HHD) shoulder flexion (SF</w:t>
      </w:r>
      <w:r w:rsidR="00947A82" w:rsidRPr="009B2CDA">
        <w:rPr>
          <w:rFonts w:ascii="Times New Roman" w:hAnsi="Times New Roman" w:cs="Times New Roman"/>
        </w:rPr>
        <w:t xml:space="preserve"> </w:t>
      </w:r>
      <w:r w:rsidR="00947A82"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{"citationItems":[{"id":"ITEM-1","itemData":{"DOI":"10.1093/ptj/76.3.248","ISSN":"0031-9023","author":[{"dropping-particle":"","family":"Andrews","given":"A Williams","non-dropping-particle":"","parse-names":false,"suffix":""},{"dropping-particle":"","family":"Thomas","given":"Michael W","non-dropping-particle":"","parse-names":false,"suffix":""},{"dropping-particle":"","family":"Bohannon","given":"Richard W","non-dropping-particle":"","parse-names":false,"suffix":""}],"container-title":"Physical Therapy","id":"ITEM-1","issue":"3","issued":{"date-parts":[["1996","3","1"]]},"page":"248-259","publisher":"Oxford University Press","title":"Normative Values for Isometric Muscle Force Measurements Obtained With Hand-held Dynamometers","type":"article-journal","volume":"76"},"uris":["http://www.mendeley.com/documents/?uuid=965c46ae-49ec-36c0-818b-125a2eb5134e"]}],"mendeley":{"formattedCitation":"(Andrews, Thomas, &amp; Bohannon, 1996)","plainTextFormattedCitation":"(Andrews, Thomas, &amp; Bohannon, 1996)","previouslyFormattedCitation":"(Andrews, Thomas, &amp; Bohannon, 1996)"},"properties":{"noteIndex":0},"schema":"https://github.com/citation-style-language/schema/raw/master/csl-citation.json"}</w:instrText>
      </w:r>
      <w:r w:rsidR="00947A82" w:rsidRPr="009B2CDA">
        <w:rPr>
          <w:rFonts w:ascii="Times New Roman" w:hAnsi="Times New Roman" w:cs="Times New Roman"/>
        </w:rPr>
        <w:fldChar w:fldCharType="separate"/>
      </w:r>
      <w:r w:rsidR="005B5832" w:rsidRPr="009B2CDA">
        <w:rPr>
          <w:rFonts w:ascii="Times New Roman" w:hAnsi="Times New Roman" w:cs="Times New Roman"/>
          <w:noProof/>
        </w:rPr>
        <w:t>(Andrews, Thomas, &amp; Bohannon, 1996)</w:t>
      </w:r>
      <w:r w:rsidR="00947A82" w:rsidRPr="009B2CDA">
        <w:rPr>
          <w:rFonts w:ascii="Times New Roman" w:hAnsi="Times New Roman" w:cs="Times New Roman"/>
        </w:rPr>
        <w:fldChar w:fldCharType="end"/>
      </w:r>
      <w:r w:rsidRPr="009B2CDA">
        <w:rPr>
          <w:rFonts w:ascii="Times New Roman" w:hAnsi="Times New Roman" w:cs="Times New Roman"/>
        </w:rPr>
        <w:t xml:space="preserve">), </w:t>
      </w:r>
      <w:r w:rsidR="003116D3" w:rsidRPr="009B2CDA">
        <w:rPr>
          <w:rFonts w:ascii="Times New Roman" w:hAnsi="Times New Roman" w:cs="Times New Roman"/>
        </w:rPr>
        <w:t xml:space="preserve">and </w:t>
      </w:r>
      <w:r w:rsidRPr="009B2CDA">
        <w:rPr>
          <w:rFonts w:ascii="Times New Roman" w:hAnsi="Times New Roman" w:cs="Times New Roman"/>
        </w:rPr>
        <w:t>HHD elbow extension (EE</w:t>
      </w:r>
      <w:r w:rsidR="00947A82" w:rsidRPr="009B2CDA">
        <w:rPr>
          <w:rFonts w:ascii="Times New Roman" w:hAnsi="Times New Roman" w:cs="Times New Roman"/>
        </w:rPr>
        <w:t xml:space="preserve"> </w:t>
      </w:r>
      <w:r w:rsidR="00947A82"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{"citationItems":[{"id":"ITEM-1","itemData":{"DOI":"10.1093/ptj/76.3.248","ISSN":"0031-9023","author":[{"dropping-particle":"","family":"Andrews","given":"A Williams","non-dropping-particle":"","parse-names":false,"suffix":""},{"dropping-particle":"","family":"Thomas","given":"Michael W","non-dropping-particle":"","parse-names":false,"suffix":""},{"dropping-particle":"","family":"Bohannon","given":"Richard W","non-dropping-particle":"","parse-names":false,"suffix":""}],"container-title":"Physical Therapy","id":"ITEM-1","issue":"3","issued":{"date-parts":[["1996","3","1"]]},"page":"248-259","publisher":"Oxford University Press","title":"Normative Values for Isometric Muscle Force Measurements Obtained With Hand-held Dynamometers","type":"article-journal","volume":"76"},"uris":["http://www.mendeley.com/documents/?uuid=965c46ae-49ec-36c0-818b-125a2eb5134e"]}],"mendeley":{"formattedCitation":"(Andrews et al., 1996)","plainTextFormattedCitation":"(Andrews et al., 1996)","previouslyFormattedCitation":"(Andrews et al., 1996)"},"properties":{"noteIndex":0},"schema":"https://github.com/citation-style-language/schema/raw/master/csl-citation.json"}</w:instrText>
      </w:r>
      <w:r w:rsidR="00947A82" w:rsidRPr="009B2CDA">
        <w:rPr>
          <w:rFonts w:ascii="Times New Roman" w:hAnsi="Times New Roman" w:cs="Times New Roman"/>
        </w:rPr>
        <w:fldChar w:fldCharType="separate"/>
      </w:r>
      <w:r w:rsidR="00BB5C78" w:rsidRPr="009B2CDA">
        <w:rPr>
          <w:rFonts w:ascii="Times New Roman" w:hAnsi="Times New Roman" w:cs="Times New Roman"/>
          <w:noProof/>
        </w:rPr>
        <w:t>(Andrews et al., 1996)</w:t>
      </w:r>
      <w:r w:rsidR="00947A82" w:rsidRPr="009B2CDA">
        <w:rPr>
          <w:rFonts w:ascii="Times New Roman" w:hAnsi="Times New Roman" w:cs="Times New Roman"/>
        </w:rPr>
        <w:fldChar w:fldCharType="end"/>
      </w:r>
      <w:r w:rsidRPr="009B2CDA">
        <w:rPr>
          <w:rFonts w:ascii="Times New Roman" w:hAnsi="Times New Roman" w:cs="Times New Roman"/>
        </w:rPr>
        <w:t>)</w:t>
      </w:r>
      <w:r w:rsidR="004E1431" w:rsidRPr="009B2CDA">
        <w:rPr>
          <w:rFonts w:ascii="Times New Roman" w:hAnsi="Times New Roman" w:cs="Times New Roman"/>
        </w:rPr>
        <w:t xml:space="preserve"> were collected</w:t>
      </w:r>
      <w:r w:rsidR="008F083B" w:rsidRPr="009B2CDA">
        <w:rPr>
          <w:rFonts w:ascii="Times New Roman" w:hAnsi="Times New Roman" w:cs="Times New Roman"/>
        </w:rPr>
        <w:t>.</w:t>
      </w:r>
      <w:r w:rsidR="003A2DE2" w:rsidRPr="009B2CDA">
        <w:rPr>
          <w:rFonts w:ascii="Times New Roman" w:hAnsi="Times New Roman" w:cs="Times New Roman"/>
        </w:rPr>
        <w:t xml:space="preserve"> </w:t>
      </w:r>
      <w:r w:rsidR="008F083B" w:rsidRPr="009B2CDA">
        <w:rPr>
          <w:rFonts w:ascii="Times New Roman" w:hAnsi="Times New Roman" w:cs="Times New Roman"/>
        </w:rPr>
        <w:t>For the upper limb strength tests and OLB</w:t>
      </w:r>
      <w:r w:rsidR="005474EA" w:rsidRPr="009B2CDA">
        <w:rPr>
          <w:rFonts w:ascii="Times New Roman" w:hAnsi="Times New Roman" w:cs="Times New Roman"/>
        </w:rPr>
        <w:t xml:space="preserve"> a composite score of the left</w:t>
      </w:r>
      <w:r w:rsidR="00E47CF8" w:rsidRPr="009B2CDA">
        <w:rPr>
          <w:rFonts w:ascii="Times New Roman" w:hAnsi="Times New Roman" w:cs="Times New Roman"/>
        </w:rPr>
        <w:t>-</w:t>
      </w:r>
      <w:r w:rsidR="005474EA" w:rsidRPr="009B2CDA">
        <w:rPr>
          <w:rFonts w:ascii="Times New Roman" w:hAnsi="Times New Roman" w:cs="Times New Roman"/>
        </w:rPr>
        <w:t xml:space="preserve"> and </w:t>
      </w:r>
      <w:r w:rsidR="009B5509" w:rsidRPr="009B2CDA">
        <w:rPr>
          <w:rFonts w:ascii="Times New Roman" w:hAnsi="Times New Roman" w:cs="Times New Roman"/>
        </w:rPr>
        <w:t>right-side</w:t>
      </w:r>
      <w:r w:rsidR="005474EA" w:rsidRPr="009B2CDA">
        <w:rPr>
          <w:rFonts w:ascii="Times New Roman" w:hAnsi="Times New Roman" w:cs="Times New Roman"/>
        </w:rPr>
        <w:t xml:space="preserve"> </w:t>
      </w:r>
      <w:r w:rsidR="00B41BB1" w:rsidRPr="009B2CDA">
        <w:rPr>
          <w:rFonts w:ascii="Times New Roman" w:hAnsi="Times New Roman" w:cs="Times New Roman"/>
        </w:rPr>
        <w:t xml:space="preserve">average scores </w:t>
      </w:r>
      <w:r w:rsidR="005474EA" w:rsidRPr="009B2CDA">
        <w:rPr>
          <w:rFonts w:ascii="Times New Roman" w:hAnsi="Times New Roman" w:cs="Times New Roman"/>
        </w:rPr>
        <w:t>w</w:t>
      </w:r>
      <w:r w:rsidR="00B41BB1" w:rsidRPr="009B2CDA">
        <w:rPr>
          <w:rFonts w:ascii="Times New Roman" w:hAnsi="Times New Roman" w:cs="Times New Roman"/>
        </w:rPr>
        <w:t>ere used</w:t>
      </w:r>
      <w:r w:rsidR="005474EA" w:rsidRPr="009B2CDA">
        <w:rPr>
          <w:rFonts w:ascii="Times New Roman" w:hAnsi="Times New Roman" w:cs="Times New Roman"/>
        </w:rPr>
        <w:t xml:space="preserve"> for analysis</w:t>
      </w:r>
      <w:r w:rsidR="00496424" w:rsidRPr="009B2CDA">
        <w:rPr>
          <w:rFonts w:ascii="Times New Roman" w:hAnsi="Times New Roman" w:cs="Times New Roman"/>
        </w:rPr>
        <w:t>.</w:t>
      </w:r>
    </w:p>
    <w:p w14:paraId="65E7B38B" w14:textId="3DFA3592" w:rsidR="008275FD" w:rsidRPr="009B2CDA" w:rsidRDefault="008275FD" w:rsidP="00A33C2E">
      <w:pPr>
        <w:spacing w:line="480" w:lineRule="auto"/>
        <w:rPr>
          <w:rFonts w:ascii="Times New Roman" w:hAnsi="Times New Roman" w:cs="Times New Roman"/>
          <w:b/>
          <w:i/>
        </w:rPr>
      </w:pPr>
      <w:r w:rsidRPr="009B2CDA">
        <w:rPr>
          <w:rFonts w:ascii="Times New Roman" w:hAnsi="Times New Roman" w:cs="Times New Roman"/>
          <w:b/>
          <w:i/>
        </w:rPr>
        <w:lastRenderedPageBreak/>
        <w:t>Statistical analysis</w:t>
      </w:r>
    </w:p>
    <w:p w14:paraId="1164FF55" w14:textId="4B358067" w:rsidR="00532F31" w:rsidRPr="009B2CDA" w:rsidRDefault="00532F31" w:rsidP="005143F3">
      <w:pPr>
        <w:spacing w:line="480" w:lineRule="auto"/>
        <w:ind w:firstLine="360"/>
        <w:rPr>
          <w:rFonts w:ascii="Times New Roman" w:hAnsi="Times New Roman" w:cs="Times New Roman"/>
        </w:rPr>
      </w:pPr>
      <w:r w:rsidRPr="009B2CDA">
        <w:rPr>
          <w:rFonts w:ascii="Times New Roman" w:hAnsi="Times New Roman" w:cs="Times New Roman"/>
        </w:rPr>
        <w:t xml:space="preserve">Two separate analyses were conducted to model </w:t>
      </w:r>
      <w:r w:rsidR="001F4B4B" w:rsidRPr="009B2CDA">
        <w:rPr>
          <w:rFonts w:ascii="Times New Roman" w:hAnsi="Times New Roman" w:cs="Times New Roman"/>
        </w:rPr>
        <w:t>the dependent variables of RT</w:t>
      </w:r>
      <w:r w:rsidRPr="009B2CDA">
        <w:rPr>
          <w:rFonts w:ascii="Times New Roman" w:hAnsi="Times New Roman" w:cs="Times New Roman"/>
        </w:rPr>
        <w:t xml:space="preserve"> and </w:t>
      </w:r>
      <w:r w:rsidR="001F4B4B" w:rsidRPr="009B2CDA">
        <w:rPr>
          <w:rFonts w:ascii="Times New Roman" w:hAnsi="Times New Roman" w:cs="Times New Roman"/>
        </w:rPr>
        <w:t>MT</w:t>
      </w:r>
      <w:r w:rsidRPr="009B2CDA">
        <w:rPr>
          <w:rFonts w:ascii="Times New Roman" w:hAnsi="Times New Roman" w:cs="Times New Roman"/>
        </w:rPr>
        <w:t xml:space="preserve"> to establish which measures are the most significant predictors of </w:t>
      </w:r>
      <w:r w:rsidR="00466B28" w:rsidRPr="009B2CDA">
        <w:rPr>
          <w:rFonts w:ascii="Times New Roman" w:hAnsi="Times New Roman" w:cs="Times New Roman"/>
        </w:rPr>
        <w:t>RT and MT</w:t>
      </w:r>
      <w:r w:rsidRPr="009B2CDA">
        <w:rPr>
          <w:rFonts w:ascii="Times New Roman" w:hAnsi="Times New Roman" w:cs="Times New Roman"/>
        </w:rPr>
        <w:t xml:space="preserve"> in adults over the age of 60.</w:t>
      </w:r>
      <w:r w:rsidR="003A2DE2" w:rsidRPr="009B2CDA">
        <w:rPr>
          <w:rFonts w:ascii="Times New Roman" w:hAnsi="Times New Roman" w:cs="Times New Roman"/>
        </w:rPr>
        <w:t xml:space="preserve"> </w:t>
      </w:r>
      <w:r w:rsidRPr="009B2CDA">
        <w:rPr>
          <w:rFonts w:ascii="Times New Roman" w:hAnsi="Times New Roman" w:cs="Times New Roman"/>
        </w:rPr>
        <w:t xml:space="preserve">All variables were assessed for normality, </w:t>
      </w:r>
      <w:r w:rsidR="00ED7579" w:rsidRPr="009B2CDA">
        <w:rPr>
          <w:rFonts w:ascii="Times New Roman" w:hAnsi="Times New Roman" w:cs="Times New Roman"/>
        </w:rPr>
        <w:t>those with</w:t>
      </w:r>
      <w:r w:rsidRPr="009B2CDA">
        <w:rPr>
          <w:rFonts w:ascii="Times New Roman" w:hAnsi="Times New Roman" w:cs="Times New Roman"/>
        </w:rPr>
        <w:t xml:space="preserve"> a non-normal distribution w</w:t>
      </w:r>
      <w:r w:rsidR="001555DA" w:rsidRPr="009B2CDA">
        <w:rPr>
          <w:rFonts w:ascii="Times New Roman" w:hAnsi="Times New Roman" w:cs="Times New Roman"/>
        </w:rPr>
        <w:t>ere</w:t>
      </w:r>
      <w:r w:rsidRPr="009B2CDA">
        <w:rPr>
          <w:rFonts w:ascii="Times New Roman" w:hAnsi="Times New Roman" w:cs="Times New Roman"/>
        </w:rPr>
        <w:t xml:space="preserve"> </w:t>
      </w:r>
      <w:r w:rsidR="00ED7579" w:rsidRPr="009B2CDA">
        <w:rPr>
          <w:rFonts w:ascii="Times New Roman" w:hAnsi="Times New Roman" w:cs="Times New Roman"/>
        </w:rPr>
        <w:t xml:space="preserve">log </w:t>
      </w:r>
      <w:r w:rsidRPr="009B2CDA">
        <w:rPr>
          <w:rFonts w:ascii="Times New Roman" w:hAnsi="Times New Roman" w:cs="Times New Roman"/>
        </w:rPr>
        <w:t>transformed.</w:t>
      </w:r>
      <w:r w:rsidR="003A2DE2" w:rsidRPr="009B2CDA">
        <w:rPr>
          <w:rFonts w:ascii="Times New Roman" w:hAnsi="Times New Roman" w:cs="Times New Roman"/>
        </w:rPr>
        <w:t xml:space="preserve"> </w:t>
      </w:r>
      <w:r w:rsidRPr="009B2CDA">
        <w:rPr>
          <w:rFonts w:ascii="Times New Roman" w:hAnsi="Times New Roman" w:cs="Times New Roman"/>
        </w:rPr>
        <w:t>To check for multicollinearity, Pearson’s Correlation Coefficient analysis was utilized.</w:t>
      </w:r>
      <w:r w:rsidR="003A2DE2" w:rsidRPr="009B2CDA">
        <w:rPr>
          <w:rFonts w:ascii="Times New Roman" w:hAnsi="Times New Roman" w:cs="Times New Roman"/>
        </w:rPr>
        <w:t xml:space="preserve"> </w:t>
      </w:r>
      <w:r w:rsidRPr="009B2CDA">
        <w:rPr>
          <w:rFonts w:ascii="Times New Roman" w:hAnsi="Times New Roman" w:cs="Times New Roman"/>
        </w:rPr>
        <w:t xml:space="preserve">Independent variables </w:t>
      </w:r>
      <w:r w:rsidR="00466B28" w:rsidRPr="009B2CDA">
        <w:rPr>
          <w:rFonts w:ascii="Times New Roman" w:hAnsi="Times New Roman" w:cs="Times New Roman"/>
        </w:rPr>
        <w:t xml:space="preserve">(EE, HG, OLB, PASE, SF, STS, and number of falls) </w:t>
      </w:r>
      <w:r w:rsidRPr="009B2CDA">
        <w:rPr>
          <w:rFonts w:ascii="Times New Roman" w:hAnsi="Times New Roman" w:cs="Times New Roman"/>
        </w:rPr>
        <w:t>with a significant</w:t>
      </w:r>
      <w:r w:rsidRPr="009B2CDA">
        <w:rPr>
          <w:rFonts w:ascii="Times New Roman" w:hAnsi="Times New Roman" w:cs="Times New Roman"/>
          <w:i/>
        </w:rPr>
        <w:t xml:space="preserve"> r</w:t>
      </w:r>
      <w:r w:rsidRPr="009B2CDA">
        <w:rPr>
          <w:rFonts w:ascii="Times New Roman" w:hAnsi="Times New Roman" w:cs="Times New Roman"/>
        </w:rPr>
        <w:t xml:space="preserve"> value &gt;0.5 w</w:t>
      </w:r>
      <w:r w:rsidR="00ED7579" w:rsidRPr="009B2CDA">
        <w:rPr>
          <w:rFonts w:ascii="Times New Roman" w:hAnsi="Times New Roman" w:cs="Times New Roman"/>
        </w:rPr>
        <w:t>ere</w:t>
      </w:r>
      <w:r w:rsidR="00836F19" w:rsidRPr="009B2CDA">
        <w:rPr>
          <w:rFonts w:ascii="Times New Roman" w:hAnsi="Times New Roman" w:cs="Times New Roman"/>
        </w:rPr>
        <w:t xml:space="preserve"> identified for </w:t>
      </w:r>
      <w:r w:rsidRPr="009B2CDA">
        <w:rPr>
          <w:rFonts w:ascii="Times New Roman" w:hAnsi="Times New Roman" w:cs="Times New Roman"/>
        </w:rPr>
        <w:t>inclusion within the model.</w:t>
      </w:r>
      <w:r w:rsidR="003A2DE2" w:rsidRPr="009B2CDA">
        <w:rPr>
          <w:rFonts w:ascii="Times New Roman" w:hAnsi="Times New Roman" w:cs="Times New Roman"/>
        </w:rPr>
        <w:t xml:space="preserve"> </w:t>
      </w:r>
      <w:r w:rsidRPr="009B2CDA">
        <w:rPr>
          <w:rFonts w:ascii="Times New Roman" w:hAnsi="Times New Roman" w:cs="Times New Roman"/>
        </w:rPr>
        <w:t xml:space="preserve">Concurrently, bivariate linear regressions, between each </w:t>
      </w:r>
      <w:r w:rsidR="00E47CF8" w:rsidRPr="009B2CDA">
        <w:rPr>
          <w:rFonts w:ascii="Times New Roman" w:hAnsi="Times New Roman" w:cs="Times New Roman"/>
        </w:rPr>
        <w:t xml:space="preserve">independent </w:t>
      </w:r>
      <w:r w:rsidRPr="009B2CDA">
        <w:rPr>
          <w:rFonts w:ascii="Times New Roman" w:hAnsi="Times New Roman" w:cs="Times New Roman"/>
        </w:rPr>
        <w:t xml:space="preserve">variable and RT </w:t>
      </w:r>
      <w:r w:rsidR="00E47CF8" w:rsidRPr="009B2CDA">
        <w:rPr>
          <w:rFonts w:ascii="Times New Roman" w:hAnsi="Times New Roman" w:cs="Times New Roman"/>
        </w:rPr>
        <w:t xml:space="preserve">or </w:t>
      </w:r>
      <w:r w:rsidRPr="009B2CDA">
        <w:rPr>
          <w:rFonts w:ascii="Times New Roman" w:hAnsi="Times New Roman" w:cs="Times New Roman"/>
        </w:rPr>
        <w:t>MT were conducted</w:t>
      </w:r>
      <w:r w:rsidR="00E47CF8" w:rsidRPr="009B2CDA">
        <w:rPr>
          <w:rFonts w:ascii="Times New Roman" w:hAnsi="Times New Roman" w:cs="Times New Roman"/>
        </w:rPr>
        <w:t>;</w:t>
      </w:r>
      <w:r w:rsidRPr="009B2CDA">
        <w:rPr>
          <w:rFonts w:ascii="Times New Roman" w:hAnsi="Times New Roman" w:cs="Times New Roman"/>
        </w:rPr>
        <w:t xml:space="preserve"> variables with a</w:t>
      </w:r>
      <w:r w:rsidR="00E8438E" w:rsidRPr="009B2CDA">
        <w:rPr>
          <w:rFonts w:ascii="Times New Roman" w:hAnsi="Times New Roman" w:cs="Times New Roman"/>
        </w:rPr>
        <w:t xml:space="preserve"> criterion</w:t>
      </w:r>
      <w:r w:rsidRPr="009B2CDA">
        <w:rPr>
          <w:rFonts w:ascii="Times New Roman" w:hAnsi="Times New Roman" w:cs="Times New Roman"/>
        </w:rPr>
        <w:t xml:space="preserve"> relationship (</w:t>
      </w:r>
      <w:r w:rsidR="009969F3" w:rsidRPr="009B2CDA">
        <w:rPr>
          <w:rFonts w:ascii="Times New Roman" w:hAnsi="Times New Roman" w:cs="Times New Roman"/>
          <w:i/>
        </w:rPr>
        <w:t>P</w:t>
      </w:r>
      <w:r w:rsidRPr="009B2CDA">
        <w:rPr>
          <w:rFonts w:ascii="Times New Roman" w:hAnsi="Times New Roman" w:cs="Times New Roman"/>
        </w:rPr>
        <w:t xml:space="preserve">&lt;0.20) in the linear regressions and which </w:t>
      </w:r>
      <w:r w:rsidR="00365A01" w:rsidRPr="009B2CDA">
        <w:rPr>
          <w:rFonts w:ascii="Times New Roman" w:hAnsi="Times New Roman" w:cs="Times New Roman"/>
        </w:rPr>
        <w:t xml:space="preserve">did </w:t>
      </w:r>
      <w:r w:rsidRPr="009B2CDA">
        <w:rPr>
          <w:rFonts w:ascii="Times New Roman" w:hAnsi="Times New Roman" w:cs="Times New Roman"/>
        </w:rPr>
        <w:t>not violate multicollinearity assumptions w</w:t>
      </w:r>
      <w:r w:rsidR="00ED7579" w:rsidRPr="009B2CDA">
        <w:rPr>
          <w:rFonts w:ascii="Times New Roman" w:hAnsi="Times New Roman" w:cs="Times New Roman"/>
        </w:rPr>
        <w:t>ere included</w:t>
      </w:r>
      <w:r w:rsidRPr="009B2CDA">
        <w:rPr>
          <w:rFonts w:ascii="Times New Roman" w:hAnsi="Times New Roman" w:cs="Times New Roman"/>
        </w:rPr>
        <w:t xml:space="preserve"> in the multiple regression step-wise backward selection model.</w:t>
      </w:r>
      <w:r w:rsidR="003A2DE2" w:rsidRPr="009B2CDA">
        <w:rPr>
          <w:rFonts w:ascii="Times New Roman" w:hAnsi="Times New Roman" w:cs="Times New Roman"/>
        </w:rPr>
        <w:t xml:space="preserve"> </w:t>
      </w:r>
      <w:r w:rsidRPr="009B2CDA">
        <w:rPr>
          <w:rFonts w:ascii="Times New Roman" w:hAnsi="Times New Roman" w:cs="Times New Roman"/>
        </w:rPr>
        <w:t xml:space="preserve">Significance was set at </w:t>
      </w:r>
      <w:r w:rsidR="009969F3" w:rsidRPr="009B2CDA">
        <w:rPr>
          <w:rFonts w:ascii="Times New Roman" w:hAnsi="Times New Roman" w:cs="Times New Roman"/>
          <w:i/>
        </w:rPr>
        <w:t>P</w:t>
      </w:r>
      <w:r w:rsidRPr="009B2CDA">
        <w:rPr>
          <w:rFonts w:ascii="Times New Roman" w:hAnsi="Times New Roman" w:cs="Times New Roman"/>
        </w:rPr>
        <w:t>&lt;0.05 for the multiple regression analysis.</w:t>
      </w:r>
    </w:p>
    <w:p w14:paraId="78DA92B8" w14:textId="2F0E5196" w:rsidR="007428CB" w:rsidRPr="009B2CDA" w:rsidRDefault="007428CB" w:rsidP="005143F3">
      <w:pPr>
        <w:pStyle w:val="ListParagraph"/>
        <w:spacing w:line="480" w:lineRule="auto"/>
        <w:ind w:left="0"/>
        <w:jc w:val="center"/>
        <w:rPr>
          <w:rFonts w:ascii="Times New Roman" w:hAnsi="Times New Roman" w:cs="Times New Roman"/>
          <w:b/>
        </w:rPr>
      </w:pPr>
      <w:r w:rsidRPr="009B2CDA">
        <w:rPr>
          <w:rFonts w:ascii="Times New Roman" w:hAnsi="Times New Roman" w:cs="Times New Roman"/>
          <w:b/>
        </w:rPr>
        <w:t>Results</w:t>
      </w:r>
    </w:p>
    <w:p w14:paraId="0F53395C" w14:textId="270F4C74" w:rsidR="007428CB" w:rsidRPr="00862598" w:rsidRDefault="00483135" w:rsidP="005143F3">
      <w:pPr>
        <w:spacing w:line="480" w:lineRule="auto"/>
        <w:ind w:firstLine="720"/>
        <w:textAlignment w:val="baseline"/>
        <w:rPr>
          <w:rFonts w:ascii="Calibri" w:eastAsia="Times New Roman" w:hAnsi="Calibri" w:cs="Calibri"/>
          <w:color w:val="201F1E"/>
          <w:bdr w:val="none" w:sz="0" w:space="0" w:color="auto" w:frame="1"/>
        </w:rPr>
      </w:pPr>
      <w:r w:rsidRPr="009B2CDA">
        <w:rPr>
          <w:rFonts w:ascii="Times New Roman" w:hAnsi="Times New Roman" w:cs="Times New Roman"/>
        </w:rPr>
        <w:t>Mean p</w:t>
      </w:r>
      <w:r w:rsidR="009306D1" w:rsidRPr="009B2CDA">
        <w:rPr>
          <w:rFonts w:ascii="Times New Roman" w:hAnsi="Times New Roman" w:cs="Times New Roman"/>
        </w:rPr>
        <w:t>hysical function and strength variables</w:t>
      </w:r>
      <w:r w:rsidRPr="009B2CDA">
        <w:rPr>
          <w:rFonts w:ascii="Times New Roman" w:hAnsi="Times New Roman" w:cs="Times New Roman"/>
        </w:rPr>
        <w:t xml:space="preserve"> </w:t>
      </w:r>
      <w:r w:rsidR="007D15B5" w:rsidRPr="009B2CDA">
        <w:rPr>
          <w:rFonts w:ascii="Times New Roman" w:hAnsi="Times New Roman" w:cs="Times New Roman"/>
        </w:rPr>
        <w:t xml:space="preserve">and bivariate regression results </w:t>
      </w:r>
      <w:r w:rsidRPr="009B2CDA">
        <w:rPr>
          <w:rFonts w:ascii="Times New Roman" w:hAnsi="Times New Roman" w:cs="Times New Roman"/>
        </w:rPr>
        <w:t>are reported in Table 2</w:t>
      </w:r>
      <w:r w:rsidR="003001CD" w:rsidRPr="009B2CDA">
        <w:rPr>
          <w:rFonts w:ascii="Times New Roman" w:hAnsi="Times New Roman" w:cs="Times New Roman"/>
        </w:rPr>
        <w:t xml:space="preserve">. </w:t>
      </w:r>
      <w:r w:rsidR="005143F3" w:rsidRPr="00862598">
        <w:rPr>
          <w:rFonts w:ascii="Times New Roman" w:hAnsi="Times New Roman" w:cs="Times New Roman"/>
        </w:rPr>
        <w:t xml:space="preserve">The range of RT </w:t>
      </w:r>
      <w:r w:rsidR="00521536" w:rsidRPr="00862598">
        <w:rPr>
          <w:rFonts w:ascii="Times New Roman" w:hAnsi="Times New Roman" w:cs="Times New Roman"/>
        </w:rPr>
        <w:t xml:space="preserve">shown in this cohort </w:t>
      </w:r>
      <w:r w:rsidR="005143F3" w:rsidRPr="00862598">
        <w:rPr>
          <w:rFonts w:ascii="Times New Roman" w:hAnsi="Times New Roman" w:cs="Times New Roman"/>
        </w:rPr>
        <w:t xml:space="preserve">was </w:t>
      </w:r>
      <w:r w:rsidR="005143F3" w:rsidRPr="00862598">
        <w:rPr>
          <w:rFonts w:ascii="Times New Roman" w:eastAsia="Times New Roman" w:hAnsi="Times New Roman" w:cs="Times New Roman"/>
          <w:color w:val="201F1E"/>
          <w:bdr w:val="none" w:sz="0" w:space="0" w:color="auto" w:frame="1"/>
        </w:rPr>
        <w:t>0.126 – 0.298 ms</w:t>
      </w:r>
      <w:r w:rsidR="00521536" w:rsidRPr="00862598">
        <w:rPr>
          <w:rFonts w:ascii="Times New Roman" w:eastAsia="Times New Roman" w:hAnsi="Times New Roman" w:cs="Times New Roman"/>
          <w:color w:val="201F1E"/>
          <w:bdr w:val="none" w:sz="0" w:space="0" w:color="auto" w:frame="1"/>
        </w:rPr>
        <w:t xml:space="preserve"> and</w:t>
      </w:r>
      <w:r w:rsidR="005143F3" w:rsidRPr="00862598">
        <w:rPr>
          <w:rFonts w:ascii="Times New Roman" w:eastAsia="Times New Roman" w:hAnsi="Times New Roman" w:cs="Times New Roman"/>
          <w:color w:val="201F1E"/>
          <w:bdr w:val="none" w:sz="0" w:space="0" w:color="auto" w:frame="1"/>
        </w:rPr>
        <w:t xml:space="preserve"> for MT the range exhibited was 0.178 – 0.686 ms.</w:t>
      </w:r>
      <w:r w:rsidR="005143F3" w:rsidRPr="00862598">
        <w:rPr>
          <w:rFonts w:ascii="Calibri" w:eastAsia="Times New Roman" w:hAnsi="Calibri" w:cs="Calibri"/>
          <w:color w:val="201F1E"/>
          <w:bdr w:val="none" w:sz="0" w:space="0" w:color="auto" w:frame="1"/>
        </w:rPr>
        <w:t xml:space="preserve"> </w:t>
      </w:r>
      <w:r w:rsidR="0097242C" w:rsidRPr="00862598">
        <w:rPr>
          <w:rFonts w:ascii="Times New Roman" w:hAnsi="Times New Roman" w:cs="Times New Roman"/>
        </w:rPr>
        <w:t>Significant</w:t>
      </w:r>
      <w:r w:rsidR="007D15B5" w:rsidRPr="00862598">
        <w:rPr>
          <w:rFonts w:ascii="Times New Roman" w:hAnsi="Times New Roman" w:cs="Times New Roman"/>
        </w:rPr>
        <w:t xml:space="preserve"> models</w:t>
      </w:r>
      <w:r w:rsidR="0097242C" w:rsidRPr="00862598">
        <w:rPr>
          <w:rFonts w:ascii="Times New Roman" w:hAnsi="Times New Roman" w:cs="Times New Roman"/>
        </w:rPr>
        <w:t xml:space="preserve"> </w:t>
      </w:r>
      <w:r w:rsidR="00380A09" w:rsidRPr="00862598">
        <w:rPr>
          <w:rFonts w:ascii="Times New Roman" w:hAnsi="Times New Roman" w:cs="Times New Roman"/>
        </w:rPr>
        <w:t xml:space="preserve">(Figure 2) </w:t>
      </w:r>
      <w:r w:rsidR="0097242C" w:rsidRPr="00862598">
        <w:rPr>
          <w:rFonts w:ascii="Times New Roman" w:hAnsi="Times New Roman" w:cs="Times New Roman"/>
        </w:rPr>
        <w:t>were found</w:t>
      </w:r>
      <w:r w:rsidR="00214D97" w:rsidRPr="00862598">
        <w:rPr>
          <w:rFonts w:ascii="Times New Roman" w:hAnsi="Times New Roman" w:cs="Times New Roman"/>
        </w:rPr>
        <w:t xml:space="preserve"> </w:t>
      </w:r>
      <w:r w:rsidR="00C429B7" w:rsidRPr="00862598">
        <w:rPr>
          <w:rFonts w:ascii="Times New Roman" w:hAnsi="Times New Roman" w:cs="Times New Roman"/>
        </w:rPr>
        <w:t>for both RT (</w:t>
      </w:r>
      <w:r w:rsidR="009473F5" w:rsidRPr="00862598">
        <w:rPr>
          <w:rFonts w:ascii="Times New Roman" w:hAnsi="Times New Roman" w:cs="Times New Roman"/>
        </w:rPr>
        <w:t>r</w:t>
      </w:r>
      <w:r w:rsidR="009473F5" w:rsidRPr="00862598">
        <w:rPr>
          <w:rFonts w:ascii="Times New Roman" w:hAnsi="Times New Roman" w:cs="Times New Roman"/>
          <w:vertAlign w:val="superscript"/>
        </w:rPr>
        <w:t>2</w:t>
      </w:r>
      <w:r w:rsidR="009473F5" w:rsidRPr="00862598">
        <w:rPr>
          <w:rFonts w:ascii="Times New Roman" w:hAnsi="Times New Roman" w:cs="Times New Roman"/>
        </w:rPr>
        <w:t xml:space="preserve"> = .08, </w:t>
      </w:r>
      <w:r w:rsidR="009969F3" w:rsidRPr="00862598">
        <w:rPr>
          <w:rFonts w:ascii="Times New Roman" w:hAnsi="Times New Roman" w:cs="Times New Roman"/>
          <w:i/>
        </w:rPr>
        <w:t>P</w:t>
      </w:r>
      <w:r w:rsidR="00C429B7" w:rsidRPr="00862598">
        <w:rPr>
          <w:rFonts w:ascii="Times New Roman" w:hAnsi="Times New Roman" w:cs="Times New Roman"/>
        </w:rPr>
        <w:t xml:space="preserve"> = 0.0</w:t>
      </w:r>
      <w:r w:rsidR="009C6C0E" w:rsidRPr="00862598">
        <w:rPr>
          <w:rFonts w:ascii="Times New Roman" w:hAnsi="Times New Roman" w:cs="Times New Roman"/>
        </w:rPr>
        <w:t>13</w:t>
      </w:r>
      <w:r w:rsidR="00C429B7" w:rsidRPr="00862598">
        <w:rPr>
          <w:rFonts w:ascii="Times New Roman" w:hAnsi="Times New Roman" w:cs="Times New Roman"/>
        </w:rPr>
        <w:t>) and MT (</w:t>
      </w:r>
      <w:r w:rsidR="009473F5" w:rsidRPr="00862598">
        <w:rPr>
          <w:rFonts w:ascii="Times New Roman" w:hAnsi="Times New Roman" w:cs="Times New Roman"/>
        </w:rPr>
        <w:t>r</w:t>
      </w:r>
      <w:r w:rsidR="009473F5" w:rsidRPr="00862598">
        <w:rPr>
          <w:rFonts w:ascii="Times New Roman" w:hAnsi="Times New Roman" w:cs="Times New Roman"/>
          <w:vertAlign w:val="superscript"/>
        </w:rPr>
        <w:t>2</w:t>
      </w:r>
      <w:r w:rsidR="009473F5" w:rsidRPr="00862598">
        <w:rPr>
          <w:rFonts w:ascii="Times New Roman" w:hAnsi="Times New Roman" w:cs="Times New Roman"/>
        </w:rPr>
        <w:t xml:space="preserve"> = .06, </w:t>
      </w:r>
      <w:r w:rsidR="009969F3" w:rsidRPr="00862598">
        <w:rPr>
          <w:rFonts w:ascii="Times New Roman" w:hAnsi="Times New Roman" w:cs="Times New Roman"/>
          <w:i/>
        </w:rPr>
        <w:t xml:space="preserve">P </w:t>
      </w:r>
      <w:r w:rsidR="00C429B7" w:rsidRPr="00862598">
        <w:rPr>
          <w:rFonts w:ascii="Times New Roman" w:hAnsi="Times New Roman" w:cs="Times New Roman"/>
        </w:rPr>
        <w:t>= .036). Faster RT was associated with stronger HG (Beta = -.</w:t>
      </w:r>
      <w:r w:rsidR="002425BE" w:rsidRPr="00862598">
        <w:rPr>
          <w:rFonts w:ascii="Times New Roman" w:hAnsi="Times New Roman" w:cs="Times New Roman"/>
        </w:rPr>
        <w:t>00</w:t>
      </w:r>
      <w:r w:rsidR="00C429B7" w:rsidRPr="00862598">
        <w:rPr>
          <w:rFonts w:ascii="Times New Roman" w:hAnsi="Times New Roman" w:cs="Times New Roman"/>
        </w:rPr>
        <w:t>2</w:t>
      </w:r>
      <w:r w:rsidR="008844DA" w:rsidRPr="00862598">
        <w:rPr>
          <w:rFonts w:ascii="Times New Roman" w:hAnsi="Times New Roman" w:cs="Times New Roman"/>
        </w:rPr>
        <w:t xml:space="preserve">, </w:t>
      </w:r>
      <w:r w:rsidR="009969F3" w:rsidRPr="00862598">
        <w:rPr>
          <w:rFonts w:ascii="Times New Roman" w:hAnsi="Times New Roman" w:cs="Times New Roman"/>
          <w:i/>
        </w:rPr>
        <w:t>P</w:t>
      </w:r>
      <w:r w:rsidR="00C429B7" w:rsidRPr="00862598">
        <w:rPr>
          <w:rFonts w:ascii="Times New Roman" w:hAnsi="Times New Roman" w:cs="Times New Roman"/>
        </w:rPr>
        <w:t xml:space="preserve"> = .0</w:t>
      </w:r>
      <w:r w:rsidR="009C6C0E" w:rsidRPr="00862598">
        <w:rPr>
          <w:rFonts w:ascii="Times New Roman" w:hAnsi="Times New Roman" w:cs="Times New Roman"/>
        </w:rPr>
        <w:t>1</w:t>
      </w:r>
      <w:r w:rsidR="00C429B7" w:rsidRPr="00862598">
        <w:rPr>
          <w:rFonts w:ascii="Times New Roman" w:hAnsi="Times New Roman" w:cs="Times New Roman"/>
        </w:rPr>
        <w:t>3), accounting for</w:t>
      </w:r>
      <w:r w:rsidR="009C6C0E" w:rsidRPr="00862598">
        <w:rPr>
          <w:rFonts w:ascii="Times New Roman" w:hAnsi="Times New Roman" w:cs="Times New Roman"/>
        </w:rPr>
        <w:t xml:space="preserve"> 8</w:t>
      </w:r>
      <w:r w:rsidR="00C429B7" w:rsidRPr="00862598">
        <w:rPr>
          <w:rFonts w:ascii="Times New Roman" w:hAnsi="Times New Roman" w:cs="Times New Roman"/>
        </w:rPr>
        <w:t xml:space="preserve">% of the variance in RT. </w:t>
      </w:r>
      <w:r w:rsidR="00C21B01" w:rsidRPr="00862598">
        <w:rPr>
          <w:rFonts w:ascii="Times New Roman" w:hAnsi="Times New Roman" w:cs="Times New Roman"/>
        </w:rPr>
        <w:t>Having a stronger HG by five-kilograms resulted in a tenth-of-a-second reduction in RT</w:t>
      </w:r>
      <w:r w:rsidR="00ED0FFE" w:rsidRPr="00862598">
        <w:rPr>
          <w:rFonts w:ascii="Times New Roman" w:hAnsi="Times New Roman" w:cs="Times New Roman"/>
        </w:rPr>
        <w:t xml:space="preserve">. </w:t>
      </w:r>
      <w:r w:rsidR="00C429B7" w:rsidRPr="00862598">
        <w:rPr>
          <w:rFonts w:ascii="Times New Roman" w:hAnsi="Times New Roman" w:cs="Times New Roman"/>
        </w:rPr>
        <w:t xml:space="preserve">Additionally, </w:t>
      </w:r>
      <w:r w:rsidR="00DF6E78" w:rsidRPr="00862598">
        <w:rPr>
          <w:rFonts w:ascii="Times New Roman" w:hAnsi="Times New Roman" w:cs="Times New Roman"/>
        </w:rPr>
        <w:t>participants</w:t>
      </w:r>
      <w:r w:rsidR="00C429B7" w:rsidRPr="00862598">
        <w:rPr>
          <w:rFonts w:ascii="Times New Roman" w:hAnsi="Times New Roman" w:cs="Times New Roman"/>
        </w:rPr>
        <w:t xml:space="preserve"> with stronger SF (Beta = -.</w:t>
      </w:r>
      <w:r w:rsidR="003104EF" w:rsidRPr="00862598">
        <w:rPr>
          <w:rFonts w:ascii="Times New Roman" w:hAnsi="Times New Roman" w:cs="Times New Roman"/>
        </w:rPr>
        <w:t>04</w:t>
      </w:r>
      <w:r w:rsidR="00C429B7" w:rsidRPr="00862598">
        <w:rPr>
          <w:rFonts w:ascii="Times New Roman" w:hAnsi="Times New Roman" w:cs="Times New Roman"/>
        </w:rPr>
        <w:t>,</w:t>
      </w:r>
      <w:r w:rsidR="009473F5" w:rsidRPr="00862598">
        <w:rPr>
          <w:rFonts w:ascii="Times New Roman" w:hAnsi="Times New Roman" w:cs="Times New Roman"/>
        </w:rPr>
        <w:t xml:space="preserve"> </w:t>
      </w:r>
      <w:r w:rsidR="009969F3" w:rsidRPr="00862598">
        <w:rPr>
          <w:rFonts w:ascii="Times New Roman" w:hAnsi="Times New Roman" w:cs="Times New Roman"/>
          <w:i/>
        </w:rPr>
        <w:t>P</w:t>
      </w:r>
      <w:r w:rsidR="00C429B7" w:rsidRPr="00862598">
        <w:rPr>
          <w:rFonts w:ascii="Times New Roman" w:hAnsi="Times New Roman" w:cs="Times New Roman"/>
        </w:rPr>
        <w:t xml:space="preserve"> = .036) had faster MT, with the model explaining </w:t>
      </w:r>
      <w:r w:rsidR="008844DA" w:rsidRPr="00862598">
        <w:rPr>
          <w:rFonts w:ascii="Times New Roman" w:hAnsi="Times New Roman" w:cs="Times New Roman"/>
        </w:rPr>
        <w:t>6</w:t>
      </w:r>
      <w:r w:rsidR="00C429B7" w:rsidRPr="00862598">
        <w:rPr>
          <w:rFonts w:ascii="Times New Roman" w:hAnsi="Times New Roman" w:cs="Times New Roman"/>
        </w:rPr>
        <w:t>% of the variance.</w:t>
      </w:r>
      <w:r w:rsidR="00ED0FFE" w:rsidRPr="00862598">
        <w:rPr>
          <w:rFonts w:ascii="Times New Roman" w:hAnsi="Times New Roman" w:cs="Times New Roman"/>
        </w:rPr>
        <w:t xml:space="preserve"> </w:t>
      </w:r>
      <w:r w:rsidR="00B83472" w:rsidRPr="00862598">
        <w:rPr>
          <w:rFonts w:ascii="Times New Roman" w:hAnsi="Times New Roman" w:cs="Times New Roman"/>
        </w:rPr>
        <w:t>Stronger SF strength by one-kilogram resulted in a decrease in MT by 4%</w:t>
      </w:r>
      <w:r w:rsidR="00ED0FFE" w:rsidRPr="00862598">
        <w:rPr>
          <w:rFonts w:ascii="Times New Roman" w:hAnsi="Times New Roman" w:cs="Times New Roman"/>
        </w:rPr>
        <w:t xml:space="preserve">. </w:t>
      </w:r>
      <w:r w:rsidR="00E71CD4" w:rsidRPr="00862598">
        <w:rPr>
          <w:rFonts w:ascii="Times New Roman" w:eastAsia="Times New Roman" w:hAnsi="Times New Roman" w:cs="Times New Roman"/>
          <w:bdr w:val="none" w:sz="0" w:space="0" w:color="auto" w:frame="1"/>
        </w:rPr>
        <w:t>For both models (RT and MT), age was not a confounding factor.</w:t>
      </w:r>
    </w:p>
    <w:p w14:paraId="6511B33A" w14:textId="4E197438" w:rsidR="007428CB" w:rsidRPr="009B2CDA" w:rsidRDefault="007428CB" w:rsidP="005143F3">
      <w:pPr>
        <w:spacing w:line="480" w:lineRule="auto"/>
        <w:jc w:val="center"/>
        <w:rPr>
          <w:rFonts w:ascii="Times New Roman" w:hAnsi="Times New Roman" w:cs="Times New Roman"/>
          <w:b/>
        </w:rPr>
      </w:pPr>
      <w:r w:rsidRPr="009B2CDA">
        <w:rPr>
          <w:rFonts w:ascii="Times New Roman" w:hAnsi="Times New Roman" w:cs="Times New Roman"/>
          <w:b/>
        </w:rPr>
        <w:t>Discussion</w:t>
      </w:r>
    </w:p>
    <w:p w14:paraId="0624FD60" w14:textId="281CACD4" w:rsidR="00941161" w:rsidRPr="00862598" w:rsidRDefault="00FE7A01" w:rsidP="005143F3">
      <w:pPr>
        <w:spacing w:line="480" w:lineRule="auto"/>
        <w:ind w:firstLine="720"/>
        <w:rPr>
          <w:rFonts w:ascii="Times New Roman" w:hAnsi="Times New Roman" w:cs="Times New Roman"/>
        </w:rPr>
      </w:pPr>
      <w:r w:rsidRPr="009B2CDA">
        <w:rPr>
          <w:rFonts w:ascii="Times New Roman" w:hAnsi="Times New Roman" w:cs="Times New Roman"/>
        </w:rPr>
        <w:t xml:space="preserve">This study provides insight into the relationship of </w:t>
      </w:r>
      <w:r w:rsidR="0018252C" w:rsidRPr="009B2CDA">
        <w:rPr>
          <w:rFonts w:ascii="Times New Roman" w:hAnsi="Times New Roman" w:cs="Times New Roman"/>
        </w:rPr>
        <w:t xml:space="preserve">muscle </w:t>
      </w:r>
      <w:r w:rsidRPr="009B2CDA">
        <w:rPr>
          <w:rFonts w:ascii="Times New Roman" w:hAnsi="Times New Roman" w:cs="Times New Roman"/>
        </w:rPr>
        <w:t xml:space="preserve">strength and physical </w:t>
      </w:r>
      <w:r w:rsidR="0018252C" w:rsidRPr="009B2CDA">
        <w:rPr>
          <w:rFonts w:ascii="Times New Roman" w:hAnsi="Times New Roman" w:cs="Times New Roman"/>
        </w:rPr>
        <w:t>function</w:t>
      </w:r>
      <w:r w:rsidRPr="009B2CDA">
        <w:rPr>
          <w:rFonts w:ascii="Times New Roman" w:hAnsi="Times New Roman" w:cs="Times New Roman"/>
        </w:rPr>
        <w:t xml:space="preserve"> to RT and MT during a task simulating rapid </w:t>
      </w:r>
      <w:r w:rsidR="00AB641F" w:rsidRPr="009B2CDA">
        <w:rPr>
          <w:rFonts w:ascii="Times New Roman" w:hAnsi="Times New Roman" w:cs="Times New Roman"/>
        </w:rPr>
        <w:t>protective arm responses</w:t>
      </w:r>
      <w:r w:rsidR="00AB3734">
        <w:rPr>
          <w:rFonts w:ascii="Times New Roman" w:hAnsi="Times New Roman" w:cs="Times New Roman"/>
        </w:rPr>
        <w:t xml:space="preserve"> similar to the movement </w:t>
      </w:r>
      <w:r w:rsidR="00AB3734">
        <w:rPr>
          <w:rFonts w:ascii="Times New Roman" w:hAnsi="Times New Roman" w:cs="Times New Roman"/>
        </w:rPr>
        <w:lastRenderedPageBreak/>
        <w:t>required to land and control a forward fall on outstretched hands</w:t>
      </w:r>
      <w:r w:rsidRPr="009B2CDA">
        <w:rPr>
          <w:rFonts w:ascii="Times New Roman" w:hAnsi="Times New Roman" w:cs="Times New Roman"/>
        </w:rPr>
        <w:t xml:space="preserve">. </w:t>
      </w:r>
      <w:r w:rsidR="005738F4" w:rsidRPr="009B2CDA">
        <w:rPr>
          <w:rFonts w:ascii="Times New Roman" w:hAnsi="Times New Roman" w:cs="Times New Roman"/>
        </w:rPr>
        <w:t xml:space="preserve">The </w:t>
      </w:r>
      <w:r w:rsidR="00AB3734">
        <w:rPr>
          <w:rFonts w:ascii="Times New Roman" w:hAnsi="Times New Roman" w:cs="Times New Roman"/>
        </w:rPr>
        <w:t xml:space="preserve">group mean </w:t>
      </w:r>
      <w:r w:rsidR="005738F4" w:rsidRPr="009B2CDA">
        <w:rPr>
          <w:rFonts w:ascii="Times New Roman" w:hAnsi="Times New Roman" w:cs="Times New Roman"/>
        </w:rPr>
        <w:t xml:space="preserve">RT and MT reported in this study are </w:t>
      </w:r>
      <w:r w:rsidR="00AB3734">
        <w:rPr>
          <w:rFonts w:ascii="Times New Roman" w:hAnsi="Times New Roman" w:cs="Times New Roman"/>
        </w:rPr>
        <w:t xml:space="preserve">congruent with </w:t>
      </w:r>
      <w:r w:rsidR="005738F4" w:rsidRPr="009B2CDA">
        <w:rPr>
          <w:rFonts w:ascii="Times New Roman" w:hAnsi="Times New Roman" w:cs="Times New Roman"/>
        </w:rPr>
        <w:t>those of previous research</w:t>
      </w:r>
      <w:r w:rsidR="00CE65D8" w:rsidRPr="009B2CDA">
        <w:rPr>
          <w:rFonts w:ascii="Times New Roman" w:hAnsi="Times New Roman" w:cs="Times New Roman"/>
        </w:rPr>
        <w:t xml:space="preserve"> investigating</w:t>
      </w:r>
      <w:r w:rsidR="005738F4" w:rsidRPr="009B2CDA">
        <w:rPr>
          <w:rFonts w:ascii="Times New Roman" w:hAnsi="Times New Roman" w:cs="Times New Roman"/>
        </w:rPr>
        <w:t xml:space="preserve"> </w:t>
      </w:r>
      <w:r w:rsidR="005738F4" w:rsidRPr="00862598">
        <w:rPr>
          <w:rFonts w:ascii="Times New Roman" w:hAnsi="Times New Roman" w:cs="Times New Roman"/>
        </w:rPr>
        <w:t xml:space="preserve">older </w:t>
      </w:r>
      <w:r w:rsidR="00781A80" w:rsidRPr="00862598">
        <w:rPr>
          <w:rFonts w:ascii="Times New Roman" w:hAnsi="Times New Roman" w:cs="Times New Roman"/>
        </w:rPr>
        <w:t>female participants</w:t>
      </w:r>
      <w:r w:rsidR="00576CAD" w:rsidRPr="009B2CDA">
        <w:rPr>
          <w:rFonts w:ascii="Times New Roman" w:hAnsi="Times New Roman" w:cs="Times New Roman"/>
        </w:rPr>
        <w:t xml:space="preserve"> of a similar age</w:t>
      </w:r>
      <w:r w:rsidR="005738F4" w:rsidRPr="009B2CDA">
        <w:rPr>
          <w:rFonts w:ascii="Times New Roman" w:hAnsi="Times New Roman" w:cs="Times New Roman"/>
        </w:rPr>
        <w:t xml:space="preserve"> </w:t>
      </w:r>
      <w:r w:rsidR="00A241B1" w:rsidRPr="009B2CDA">
        <w:rPr>
          <w:rFonts w:ascii="Times New Roman" w:hAnsi="Times New Roman" w:cs="Times New Roman"/>
        </w:rPr>
        <w:fldChar w:fldCharType="begin" w:fldLock="1"/>
      </w:r>
      <w:r w:rsidR="00035D59" w:rsidRPr="009B2CDA">
        <w:rPr>
          <w:rFonts w:ascii="Times New Roman" w:hAnsi="Times New Roman" w:cs="Times New Roman"/>
        </w:rPr>
        <w:instrText>ADDIN CSL_CITATION {"citationItems":[{"id":"ITEM-1","itemData":{"DOI":"60/12/1553 [pii]","ISBN":"1079-5006 (Print)\\n1079-5006 (Linking)","ISSN":"1079-5006","PMID":"16424287","abstract":"BACKGROUND: Risk for hip fracture during a fall is reduced by contacting the ground first with the outstretched hands. However, it is unclear whether the time required for young and elderly individuals to move the hands into a protective position exceeds that available during a typical fall. METHODS: We tested whether young (n = 30; aged 18-35 years) and elderly women (n = 30; aged 70-88 years) differed in the time required to move their hands into a protective position for breaking a fall. Participants stood either facing or sideways to shoulder-height targets (simulating forward and sideways falls, respectively), which they were instructed to contact as quickly as possible after hearing an aural go cue. Total contact time was partitioned into reaction time and movement time. RESULTS: Young women contacted the targets faster than elderly women in both forward (530 +/- 60 vs 615 +/- 88 ms; p &lt;.001) and sideways trials (658 +/- 80 vs 799 +/- 145 ms; p &lt;.001). This difference was due to faster movement times for young participants. There was no difference between groups in reaction time. CONCLUSIONS: Previous studies have shown that during actual falls from standing, wrist and pelvis contact occur at 680 +/- 116 and 715 +/- 160 ms, respectively. Comparing these values to our results suggests that the typical elderly woman should be able to move her hands quickly enough to break a forward fall, but not a sideways fall.","author":[{"dropping-particle":"","family":"Robinovitch","given":"Stephen N","non-dropping-particle":"","parse-names":false,"suffix":""},{"dropping-particle":"","family":"Normandin","given":"Sarah C","non-dropping-particle":"","parse-names":false,"suffix":""},{"dropping-particle":"","family":"Stotz","given":"Paula","non-dropping-particle":"","parse-names":false,"suffix":""},{"dropping-particle":"","family":"Maurer","given":"Jessica D","non-dropping-particle":"","parse-names":false,"suffix":""}],"container-title":"The journals of gerontology. Series A, Biological sciences and medical sciences","id":"ITEM-1","issue":"12","issued":{"date-parts":[["2005"]]},"page":"1553-1557","title":"Time requirement for young and elderly women to move into a position for breaking a fall with outstretched hands.","type":"article-journal","volume":"60"},"uris":["http://www.mendeley.com/documents/?uuid=4d42e289-8bff-4c16-af86-25c47e9f82c8"]},{"id":"ITEM-2","itemData":{"DOI":"10.1093/gerona/56.9.M584","ISSN":"1079-5006","author":[{"dropping-particle":"","family":"DeGoede","given":"K. M.","non-dropping-particle":"","parse-names":false,"suffix":""},{"dropping-particle":"","family":"Ashton-Miller","given":"J. A.","non-dropping-particle":"","parse-names":false,"suffix":""},{"dropping-particle":"","family":"Liao","given":"J. M.","non-dropping-particle":"","parse-names":false,"suffix":""},{"dropping-particle":"","family":"Alexander","given":"N. B.","non-dropping-particle":"","parse-names":false,"suffix":""}],"container-title":"The Journals of Gerontology Series A: Biological Sciences and Medical Sciences","id":"ITEM-2","issue":"9","issued":{"date-parts":[["2001","9","1"]]},"page":"M584-M588","publisher":"Oxford University Press","title":"How quickly can healthy adults move their hands to intercept an approaching object? Age and gender effects","type":"article-journal","volume":"56"},"uris":["http://www.mendeley.com/documents/?uuid=b6e49141-3166-3e5c-964c-cc89ac938775"]}],"mendeley":{"formattedCitation":"(K. M. DeGoede et al., 2001; Robinovitch et al., 2005)","manualFormatting":"(DeGoede et al., 2001; Robinovitch et al., 2005)","plainTextFormattedCitation":"(K. M. DeGoede et al., 2001; Robinovitch et al., 2005)","previouslyFormattedCitation":"(K. M. DeGoede et al., 2001; Robinovitch et al., 2005)"},"properties":{"noteIndex":0},"schema":"https://github.com/citation-style-language/schema/raw/master/csl-citation.json"}</w:instrText>
      </w:r>
      <w:r w:rsidR="00A241B1" w:rsidRPr="009B2CDA">
        <w:rPr>
          <w:rFonts w:ascii="Times New Roman" w:hAnsi="Times New Roman" w:cs="Times New Roman"/>
        </w:rPr>
        <w:fldChar w:fldCharType="separate"/>
      </w:r>
      <w:r w:rsidR="005B5832" w:rsidRPr="009B2CDA">
        <w:rPr>
          <w:rFonts w:ascii="Times New Roman" w:hAnsi="Times New Roman" w:cs="Times New Roman"/>
          <w:noProof/>
        </w:rPr>
        <w:t>(DeGoede et al., 2001; Robinovitch et al., 2005)</w:t>
      </w:r>
      <w:r w:rsidR="00A241B1" w:rsidRPr="009B2CDA">
        <w:rPr>
          <w:rFonts w:ascii="Times New Roman" w:hAnsi="Times New Roman" w:cs="Times New Roman"/>
        </w:rPr>
        <w:fldChar w:fldCharType="end"/>
      </w:r>
      <w:r w:rsidR="005738F4" w:rsidRPr="009B2CDA">
        <w:rPr>
          <w:rFonts w:ascii="Times New Roman" w:hAnsi="Times New Roman" w:cs="Times New Roman"/>
        </w:rPr>
        <w:t>.</w:t>
      </w:r>
      <w:r w:rsidR="006436D7" w:rsidRPr="009B2CDA">
        <w:rPr>
          <w:rFonts w:ascii="Times New Roman" w:hAnsi="Times New Roman" w:cs="Times New Roman"/>
        </w:rPr>
        <w:t xml:space="preserve"> </w:t>
      </w:r>
      <w:r w:rsidR="0018252C" w:rsidRPr="009B2CDA">
        <w:rPr>
          <w:rFonts w:ascii="Times New Roman" w:hAnsi="Times New Roman" w:cs="Times New Roman"/>
        </w:rPr>
        <w:t xml:space="preserve">To our knowledge, only three previous </w:t>
      </w:r>
      <w:r w:rsidR="00824824" w:rsidRPr="009B2CDA">
        <w:rPr>
          <w:rFonts w:ascii="Times New Roman" w:hAnsi="Times New Roman" w:cs="Times New Roman"/>
        </w:rPr>
        <w:t>studies have examined the RT and MT component</w:t>
      </w:r>
      <w:r w:rsidR="00B01497" w:rsidRPr="009B2CDA">
        <w:rPr>
          <w:rFonts w:ascii="Times New Roman" w:hAnsi="Times New Roman" w:cs="Times New Roman"/>
        </w:rPr>
        <w:t>s</w:t>
      </w:r>
      <w:r w:rsidR="00824824" w:rsidRPr="009B2CDA">
        <w:rPr>
          <w:rFonts w:ascii="Times New Roman" w:hAnsi="Times New Roman" w:cs="Times New Roman"/>
        </w:rPr>
        <w:t xml:space="preserve"> of </w:t>
      </w:r>
      <w:r w:rsidR="00B550F9" w:rsidRPr="009B2CDA">
        <w:rPr>
          <w:rFonts w:ascii="Times New Roman" w:hAnsi="Times New Roman" w:cs="Times New Roman"/>
        </w:rPr>
        <w:t xml:space="preserve">pre-impact </w:t>
      </w:r>
      <w:r w:rsidR="00AB641F" w:rsidRPr="009B2CDA">
        <w:rPr>
          <w:rFonts w:ascii="Times New Roman" w:hAnsi="Times New Roman" w:cs="Times New Roman"/>
        </w:rPr>
        <w:t xml:space="preserve">protective </w:t>
      </w:r>
      <w:r w:rsidR="00824824" w:rsidRPr="009B2CDA">
        <w:rPr>
          <w:rFonts w:ascii="Times New Roman" w:hAnsi="Times New Roman" w:cs="Times New Roman"/>
        </w:rPr>
        <w:t>arm responses associated with fall arrest capacity</w:t>
      </w:r>
      <w:r w:rsidR="0018252C" w:rsidRPr="009B2CDA">
        <w:rPr>
          <w:rFonts w:ascii="Times New Roman" w:hAnsi="Times New Roman" w:cs="Times New Roman"/>
        </w:rPr>
        <w:t xml:space="preserve"> in older adults</w:t>
      </w:r>
      <w:r w:rsidR="002666B8" w:rsidRPr="009B2CDA">
        <w:rPr>
          <w:rFonts w:ascii="Times New Roman" w:hAnsi="Times New Roman" w:cs="Times New Roman"/>
        </w:rPr>
        <w:t xml:space="preserve"> </w:t>
      </w:r>
      <w:r w:rsidR="002F13F8" w:rsidRPr="009B2CDA">
        <w:rPr>
          <w:rFonts w:ascii="Times New Roman" w:hAnsi="Times New Roman" w:cs="Times New Roman"/>
        </w:rPr>
        <w:fldChar w:fldCharType="begin" w:fldLock="1"/>
      </w:r>
      <w:r w:rsidR="00B84FB4" w:rsidRPr="009B2CDA">
        <w:rPr>
          <w:rFonts w:ascii="Times New Roman" w:hAnsi="Times New Roman" w:cs="Times New Roman"/>
        </w:rPr>
        <w:instrText>ADDIN CSL_CITATION {"citationItems":[{"id":"ITEM-1","itemData":{"DOI":"60/12/1553 [pii]","ISBN":"1079-5006 (Print)\\n1079-5006 (Linking)","ISSN":"1079-5006","PMID":"16424287","abstract":"BACKGROUND: Risk for hip fracture during a fall is reduced by contacting the ground first with the outstretched hands. However, it is unclear whether the time required for young and elderly individuals to move the hands into a protective position exceeds that available during a typical fall. METHODS: We tested whether young (n = 30; aged 18-35 years) and elderly women (n = 30; aged 70-88 years) differed in the time required to move their hands into a protective position for breaking a fall. Participants stood either facing or sideways to shoulder-height targets (simulating forward and sideways falls, respectively), which they were instructed to contact as quickly as possible after hearing an aural go cue. Total contact time was partitioned into reaction time and movement time. RESULTS: Young women contacted the targets faster than elderly women in both forward (530 +/- 60 vs 615 +/- 88 ms; p &lt;.001) and sideways trials (658 +/- 80 vs 799 +/- 145 ms; p &lt;.001). This difference was due to faster movement times for young participants. There was no difference between groups in reaction time. CONCLUSIONS: Previous studies have shown that during actual falls from standing, wrist and pelvis contact occur at 680 +/- 116 and 715 +/- 160 ms, respectively. Comparing these values to our results suggests that the typical elderly woman should be able to move her hands quickly enough to break a forward fall, but not a sideways fall.","author":[{"dropping-particle":"","family":"Robinovitch","given":"Stephen N","non-dropping-particle":"","parse-names":false,"suffix":""},{"dropping-particle":"","family":"Normandin","given":"Sarah C","non-dropping-particle":"","parse-names":false,"suffix":""},{"dropping-particle":"","family":"Stotz","given":"Paula","non-dropping-particle":"","parse-names":false,"suffix":""},{"dropping-particle":"","family":"Maurer","given":"Jessica D","non-dropping-particle":"","parse-names":false,"suffix":""}],"container-title":"The journals of gerontology. Series A, Biological sciences and medical sciences","id":"ITEM-1","issue":"12","issued":{"date-parts":[["2005"]]},"page":"1553-1557","title":"Time requirement for young and elderly women to move into a position for breaking a fall with outstretched hands.","type":"article-journal","volume":"60"},"uris":["http://www.mendeley.com/documents/?uuid=4d42e289-8bff-4c16-af86-25c47e9f82c8"]},{"id":"ITEM-2","itemData":{"DOI":"10.1016/S0268-0033(03)00005-6","ISBN":"0268-0033","ISSN":"02680033","PMID":"12689781","abstract":"Objective. This study tried to isolate critical biomechanical factors in fall arrests using the upper extremity during simulated forward falls. This study also attempted to find the differences in those factors between young and old age groups. Background. The role of the upper extremity is not well defined despite its primary usage as a local shock absorber during fall impact. Design. Comparative study in which two age groups underwent motion analysis. Methods. Ten healthy older males (mean age, 66.4 years) and 10 young males (mean age, 24.1 years) volunteered to perform self-initiated and cable-released falls at selected falling distances, while the joint motion and impact forces at the hand were recorded. Results. Significant age differences were demonstrated in joint kinematics and impact force parameters at close distances. Excessive reflexive responses of the upper extremity in cable-released falls for the older adults resulted in 10-15 times higher peak impact forces and 2-3 times shorter body braking time than in self-initiated falls. Conclusions. Pre-impact activities of the upper extremity predispose the post-impact response during fall arrests. Suppressing excessive pre-impact reflexive activation of the arms could efficiently decrease the risk of fall-related injuries, which calls for securing sufficient arm movement time. Any fall prevention strategy that can increase arm movement time would be effective against injuries of the upper extremity during falling in the older adults.Relevance The findings will help to understand underlying mechanisms of fall arrest using the upper extremity for prevention of fall-related fractures. ?? 2003 Elsevier Science Ltd. All rights reserved.","author":[{"dropping-particle":"","family":"Kim","given":"Kyu Jung","non-dropping-particle":"","parse-names":false,"suffix":""},{"dropping-particle":"","family":"Ashton-Miller","given":"James A.","non-dropping-particle":"","parse-names":false,"suffix":""}],"container-title":"Clinical Biomechanics","id":"ITEM-2","issue":"4","issued":{"date-parts":[["2003"]]},"page":"311-318","title":"Biomechanics of fall arrest using the upper extremity: Age differences","type":"article-journal","volume":"18"},"uris":["http://www.mendeley.com/documents/?uuid=6abd56db-e6bd-43ec-af5d-7fc998b5d941"]},{"id":"ITEM-3","itemData":{"DOI":"10.1093/gerona/56.9.M584","ISSN":"1079-5006","author":[{"dropping-particle":"","family":"DeGoede","given":"K. M.","non-dropping-particle":"","parse-names":false,"suffix":""},{"dropping-particle":"","family":"Ashton-Miller","given":"J. A.","non-dropping-particle":"","parse-names":false,"suffix":""},{"dropping-particle":"","family":"Liao","given":"J. M.","non-dropping-particle":"","parse-names":false,"suffix":""},{"dropping-particle":"","family":"Alexander","given":"N. B.","non-dropping-particle":"","parse-names":false,"suffix":""}],"container-title":"The Journals of Gerontology Series A: Biological Sciences and Medical Sciences","id":"ITEM-3","issue":"9","issued":{"date-parts":[["2001","9","1"]]},"page":"M584-M588","publisher":"Oxford University Press","title":"How quickly can healthy adults move their hands to intercept an approaching object? Age and gender effects","type":"article-journal","volume":"56"},"uris":["http://www.mendeley.com/documents/?uuid=b6e49141-3166-3e5c-964c-cc89ac938775"]}],"mendeley":{"formattedCitation":"(K. M. DeGoede et al., 2001; Kim &amp; Ashton-Miller, 2003; Robinovitch et al., 2005)","manualFormatting":"(DeGoede et al., 2001; Kim &amp; Ashton-Miller, 2003; Robinovitch et al., 2005)","plainTextFormattedCitation":"(K. M. DeGoede et al., 2001; Kim &amp; Ashton-Miller, 2003; Robinovitch et al., 2005)","previouslyFormattedCitation":"(K. M. DeGoede et al., 2001; Kim &amp; Ashton-Miller, 2003; Robinovitch et al., 2005)"},"properties":{"noteIndex":0},"schema":"https://github.com/citation-style-language/schema/raw/master/csl-citation.json"}</w:instrText>
      </w:r>
      <w:r w:rsidR="002F13F8" w:rsidRPr="009B2CDA">
        <w:rPr>
          <w:rFonts w:ascii="Times New Roman" w:hAnsi="Times New Roman" w:cs="Times New Roman"/>
        </w:rPr>
        <w:fldChar w:fldCharType="separate"/>
      </w:r>
      <w:r w:rsidR="005B5832" w:rsidRPr="009B2CDA">
        <w:rPr>
          <w:rFonts w:ascii="Times New Roman" w:hAnsi="Times New Roman" w:cs="Times New Roman"/>
          <w:noProof/>
        </w:rPr>
        <w:t>(DeGoede et al., 2001; Kim &amp; Ashton-Miller, 2003; Robinovitch et al., 2005)</w:t>
      </w:r>
      <w:r w:rsidR="002F13F8" w:rsidRPr="009B2CDA">
        <w:rPr>
          <w:rFonts w:ascii="Times New Roman" w:hAnsi="Times New Roman" w:cs="Times New Roman"/>
        </w:rPr>
        <w:fldChar w:fldCharType="end"/>
      </w:r>
      <w:r w:rsidR="00824824" w:rsidRPr="009B2CDA">
        <w:rPr>
          <w:rFonts w:ascii="Times New Roman" w:hAnsi="Times New Roman" w:cs="Times New Roman"/>
        </w:rPr>
        <w:t>.</w:t>
      </w:r>
      <w:r w:rsidR="003A2DE2" w:rsidRPr="009B2CDA">
        <w:rPr>
          <w:rFonts w:ascii="Times New Roman" w:hAnsi="Times New Roman" w:cs="Times New Roman"/>
        </w:rPr>
        <w:t xml:space="preserve"> </w:t>
      </w:r>
      <w:r w:rsidR="0072208E" w:rsidRPr="00862598">
        <w:rPr>
          <w:rFonts w:ascii="Times New Roman" w:hAnsi="Times New Roman" w:cs="Times New Roman"/>
        </w:rPr>
        <w:t xml:space="preserve">This study examined the relationship of strength and physical function to an older </w:t>
      </w:r>
      <w:r w:rsidR="001710BB" w:rsidRPr="00862598">
        <w:rPr>
          <w:rFonts w:ascii="Times New Roman" w:hAnsi="Times New Roman" w:cs="Times New Roman"/>
        </w:rPr>
        <w:t>female participant</w:t>
      </w:r>
      <w:r w:rsidR="0072208E" w:rsidRPr="00862598">
        <w:rPr>
          <w:rFonts w:ascii="Times New Roman" w:hAnsi="Times New Roman" w:cs="Times New Roman"/>
        </w:rPr>
        <w:t>’s RT and MT capabilities</w:t>
      </w:r>
      <w:r w:rsidR="00824824" w:rsidRPr="00862598">
        <w:rPr>
          <w:rFonts w:ascii="Times New Roman" w:hAnsi="Times New Roman" w:cs="Times New Roman"/>
        </w:rPr>
        <w:t xml:space="preserve">. </w:t>
      </w:r>
    </w:p>
    <w:p w14:paraId="69A6AF5E" w14:textId="6FBA913A" w:rsidR="001A37CA" w:rsidRPr="009B2CDA" w:rsidRDefault="00824824" w:rsidP="00A33C2E">
      <w:pPr>
        <w:spacing w:line="480" w:lineRule="auto"/>
        <w:ind w:firstLine="720"/>
        <w:rPr>
          <w:rFonts w:ascii="Times New Roman" w:hAnsi="Times New Roman" w:cs="Times New Roman"/>
        </w:rPr>
      </w:pPr>
      <w:r w:rsidRPr="009B2CDA">
        <w:rPr>
          <w:rFonts w:ascii="Times New Roman" w:hAnsi="Times New Roman" w:cs="Times New Roman"/>
        </w:rPr>
        <w:t xml:space="preserve">Age-related reductions in muscular strength have been well documented, with upper extremity strength seeing a decrease of over 30% from the second to eighth decade in </w:t>
      </w:r>
      <w:r w:rsidR="00DF6E78" w:rsidRPr="00862598">
        <w:rPr>
          <w:rFonts w:ascii="Times New Roman" w:hAnsi="Times New Roman" w:cs="Times New Roman"/>
        </w:rPr>
        <w:t>female participants</w:t>
      </w:r>
      <w:r w:rsidRPr="00862598">
        <w:rPr>
          <w:rFonts w:ascii="Times New Roman" w:hAnsi="Times New Roman" w:cs="Times New Roman"/>
        </w:rPr>
        <w:t xml:space="preserve"> </w:t>
      </w:r>
      <w:r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{"citationItems":[{"id":"ITEM-1","itemData":{"DOI":"10.1093/gerona/52A.5.B267","ISBN":"1079-5006 (Print)\\r1079-5006 (Linking)","ISSN":"10795006","PMID":"9310077","abstract":"Cross-sectional and longitudinal age-associated reductions in power and isometric strength are described for the upper extremities. Over a 25-year period, repeated measures were taken approximately every 2 years from men and women in the Baltimore Longitudinal Study of Aging (BLSA). The longitudinal measures covered an average 9.6 years, range 1-25 years for men and an average 4.6 years, range 1-8 years for women. Strength and power declined beginning by age 40 in both women and men. Thereafter, power declined about 10% more than strength in men, while no significant differences were found in women. Age had a statistically independent influence on strength and power measures after adjusting for gender, height, weight, caloric expenditure, and muscle mass. Twenty-five-year longitudinal analyses in men confirmed the declines observed cross-sectionally, while no changes were observed in women over the 4-5 years of longitudinal data available. Further longitudinal studies are needed to understand the relationships between strength and power losses with age in women. The differences between power and strength changes with age in men argue for the importance of factors other than strength affecting power.","author":[{"dropping-particle":"","family":"Metter","given":"E. Jeffrey","non-dropping-particle":"","parse-names":false,"suffix":""},{"dropping-particle":"","family":"Conwit","given":"Robin","non-dropping-particle":"","parse-names":false,"suffix":""},{"dropping-particle":"","family":"Tobin","given":"Jordan","non-dropping-particle":"","parse-names":false,"suffix":""},{"dropping-particle":"","family":"Fozard","given":"James L.","non-dropping-particle":"","parse-names":false,"suffix":""}],"container-title":"Journals of Gerontology - Series A Biological Sciences and Medical Sciences","id":"ITEM-1","issue":"5","issued":{"date-parts":[["1997"]]},"page":"267-276","title":"Age-associated loss of power and strength in the upper extremities in women and men","type":"article-journal","volume":"52"},"uris":["http://www.mendeley.com/documents/?uuid=ac3c0742-1d9b-4daf-afb5-8a122767c143"]}],"mendeley":{"formattedCitation":"(Metter, Conwit, Tobin, &amp; Fozard, 1997)","plainTextFormattedCitation":"(Metter, Conwit, Tobin, &amp; Fozard, 1997)","previouslyFormattedCitation":"(Metter, Conwit, Tobin, &amp; Fozard, 1997)"},"properties":{"noteIndex":0},"schema":"https://github.com/citation-style-language/schema/raw/master/csl-citation.json"}</w:instrText>
      </w:r>
      <w:r w:rsidRPr="009B2CDA">
        <w:rPr>
          <w:rFonts w:ascii="Times New Roman" w:hAnsi="Times New Roman" w:cs="Times New Roman"/>
        </w:rPr>
        <w:fldChar w:fldCharType="separate"/>
      </w:r>
      <w:r w:rsidR="005B5832" w:rsidRPr="009B2CDA">
        <w:rPr>
          <w:rFonts w:ascii="Times New Roman" w:hAnsi="Times New Roman" w:cs="Times New Roman"/>
          <w:noProof/>
        </w:rPr>
        <w:t>(Metter, Conwit, Tobin, &amp; Fozard, 1997)</w:t>
      </w:r>
      <w:r w:rsidRPr="009B2CDA">
        <w:rPr>
          <w:rFonts w:ascii="Times New Roman" w:hAnsi="Times New Roman" w:cs="Times New Roman"/>
        </w:rPr>
        <w:fldChar w:fldCharType="end"/>
      </w:r>
      <w:r w:rsidRPr="009B2CDA">
        <w:rPr>
          <w:rFonts w:ascii="Times New Roman" w:hAnsi="Times New Roman" w:cs="Times New Roman"/>
        </w:rPr>
        <w:t>. Similarly, age-related declines in performance of RT and MT have also been shown</w:t>
      </w:r>
      <w:r w:rsidR="00C56C0F" w:rsidRPr="009B2CDA">
        <w:rPr>
          <w:rFonts w:ascii="Times New Roman" w:hAnsi="Times New Roman" w:cs="Times New Roman"/>
        </w:rPr>
        <w:t xml:space="preserve"> in </w:t>
      </w:r>
      <w:r w:rsidR="00DF6E78" w:rsidRPr="00862598">
        <w:rPr>
          <w:rFonts w:ascii="Times New Roman" w:hAnsi="Times New Roman" w:cs="Times New Roman"/>
        </w:rPr>
        <w:t>female participants</w:t>
      </w:r>
      <w:r w:rsidR="00C56C0F" w:rsidRPr="00862598">
        <w:rPr>
          <w:rFonts w:ascii="Times New Roman" w:hAnsi="Times New Roman" w:cs="Times New Roman"/>
        </w:rPr>
        <w:t xml:space="preserve"> from the second to eight</w:t>
      </w:r>
      <w:r w:rsidR="00CC0F10" w:rsidRPr="00862598">
        <w:rPr>
          <w:rFonts w:ascii="Times New Roman" w:hAnsi="Times New Roman" w:cs="Times New Roman"/>
        </w:rPr>
        <w:t>h</w:t>
      </w:r>
      <w:r w:rsidR="00C56C0F" w:rsidRPr="00862598">
        <w:rPr>
          <w:rFonts w:ascii="Times New Roman" w:hAnsi="Times New Roman" w:cs="Times New Roman"/>
        </w:rPr>
        <w:t xml:space="preserve"> decade of 51% and 48% respectively</w:t>
      </w:r>
      <w:r w:rsidRPr="00862598">
        <w:rPr>
          <w:rFonts w:ascii="Times New Roman" w:hAnsi="Times New Roman" w:cs="Times New Roman"/>
        </w:rPr>
        <w:t xml:space="preserve"> </w:t>
      </w:r>
      <w:r w:rsidRPr="00862598">
        <w:rPr>
          <w:rFonts w:ascii="Times New Roman" w:hAnsi="Times New Roman" w:cs="Times New Roman"/>
        </w:rPr>
        <w:fldChar w:fldCharType="begin" w:fldLock="1"/>
      </w:r>
      <w:r w:rsidR="005B5832" w:rsidRPr="00862598">
        <w:rPr>
          <w:rFonts w:ascii="Times New Roman" w:hAnsi="Times New Roman" w:cs="Times New Roman"/>
        </w:rPr>
        <w:instrText>ADDIN CSL_CITATION {"citationItems":[{"id":"ITEM-1","itemData":{"DOI":"10.1093/geronj/17.4.385","ISSN":"0022-1422","author":[{"dropping-particle":"","family":"Hodgkins","given":"J.","non-dropping-particle":"","parse-names":false,"suffix":""}],"container-title":"Journal of Gerontology","id":"ITEM-1","issue":"4","issued":{"date-parts":[["1962","10","1"]]},"page":"385-389","publisher":"Oxford Academic","title":"Influence of age on the speed of reaction and movement in females","type":"article-journal","volume":"17"},"uris":["http://www.mendeley.com/documents/?uuid=d01d71b9-fe41-3f97-9444-55bb805491bb"]}],"mendeley":{"formattedCitation":"(Hodgkins, 1962)","plainTextFormattedCitation":"(Hodgkins, 1962)","previouslyFormattedCitation":"(Hodgkins, 1962)"},"properties":{"noteIndex":0},"schema":"https://github.com/citation-style-language/schema/raw/master/csl-citation.json"}</w:instrText>
      </w:r>
      <w:r w:rsidRPr="00862598">
        <w:rPr>
          <w:rFonts w:ascii="Times New Roman" w:hAnsi="Times New Roman" w:cs="Times New Roman"/>
        </w:rPr>
        <w:fldChar w:fldCharType="separate"/>
      </w:r>
      <w:r w:rsidR="00BB5C78" w:rsidRPr="00862598">
        <w:rPr>
          <w:rFonts w:ascii="Times New Roman" w:hAnsi="Times New Roman" w:cs="Times New Roman"/>
          <w:noProof/>
        </w:rPr>
        <w:t>(Hodgkins, 1962)</w:t>
      </w:r>
      <w:r w:rsidRPr="00862598">
        <w:rPr>
          <w:rFonts w:ascii="Times New Roman" w:hAnsi="Times New Roman" w:cs="Times New Roman"/>
        </w:rPr>
        <w:fldChar w:fldCharType="end"/>
      </w:r>
      <w:r w:rsidRPr="00862598">
        <w:rPr>
          <w:rFonts w:ascii="Times New Roman" w:hAnsi="Times New Roman" w:cs="Times New Roman"/>
        </w:rPr>
        <w:t xml:space="preserve">. </w:t>
      </w:r>
      <w:r w:rsidR="00F94DAC" w:rsidRPr="00862598">
        <w:rPr>
          <w:rFonts w:ascii="Times New Roman" w:hAnsi="Times New Roman" w:cs="Times New Roman"/>
        </w:rPr>
        <w:t>Within this study</w:t>
      </w:r>
      <w:r w:rsidR="00F14575" w:rsidRPr="00862598">
        <w:rPr>
          <w:rFonts w:ascii="Times New Roman" w:hAnsi="Times New Roman" w:cs="Times New Roman"/>
        </w:rPr>
        <w:t xml:space="preserve"> cohort</w:t>
      </w:r>
      <w:r w:rsidR="00F94DAC" w:rsidRPr="00862598">
        <w:rPr>
          <w:rFonts w:ascii="Times New Roman" w:hAnsi="Times New Roman" w:cs="Times New Roman"/>
        </w:rPr>
        <w:t>, age was not related to RT and MT</w:t>
      </w:r>
      <w:r w:rsidR="00F14575" w:rsidRPr="00862598">
        <w:rPr>
          <w:rFonts w:ascii="Times New Roman" w:hAnsi="Times New Roman" w:cs="Times New Roman"/>
        </w:rPr>
        <w:t xml:space="preserve">, when added to the best fit regression models it did not have a confounding effect. </w:t>
      </w:r>
      <w:r w:rsidR="001A37CA" w:rsidRPr="00862598">
        <w:rPr>
          <w:rFonts w:ascii="Times New Roman" w:hAnsi="Times New Roman" w:cs="Times New Roman"/>
        </w:rPr>
        <w:t>RT is reflective of neurocognitive processing and responses. Within th</w:t>
      </w:r>
      <w:r w:rsidR="00043FB5" w:rsidRPr="00862598">
        <w:rPr>
          <w:rFonts w:ascii="Times New Roman" w:hAnsi="Times New Roman" w:cs="Times New Roman"/>
        </w:rPr>
        <w:t>e present sample</w:t>
      </w:r>
      <w:r w:rsidR="001A37CA" w:rsidRPr="00862598">
        <w:rPr>
          <w:rFonts w:ascii="Times New Roman" w:hAnsi="Times New Roman" w:cs="Times New Roman"/>
        </w:rPr>
        <w:t xml:space="preserve">, </w:t>
      </w:r>
      <w:r w:rsidR="00A76B1F" w:rsidRPr="00862598">
        <w:rPr>
          <w:rFonts w:ascii="Times New Roman" w:hAnsi="Times New Roman" w:cs="Times New Roman"/>
        </w:rPr>
        <w:t xml:space="preserve">faster </w:t>
      </w:r>
      <w:r w:rsidR="00794261" w:rsidRPr="00862598">
        <w:rPr>
          <w:rFonts w:ascii="Times New Roman" w:hAnsi="Times New Roman" w:cs="Times New Roman"/>
        </w:rPr>
        <w:t xml:space="preserve">RT </w:t>
      </w:r>
      <w:r w:rsidR="001A37CA" w:rsidRPr="00862598">
        <w:rPr>
          <w:rFonts w:ascii="Times New Roman" w:hAnsi="Times New Roman" w:cs="Times New Roman"/>
        </w:rPr>
        <w:t xml:space="preserve">was </w:t>
      </w:r>
      <w:r w:rsidR="008F4387" w:rsidRPr="00862598">
        <w:rPr>
          <w:rFonts w:ascii="Times New Roman" w:hAnsi="Times New Roman" w:cs="Times New Roman"/>
        </w:rPr>
        <w:t>associated with</w:t>
      </w:r>
      <w:r w:rsidR="00794261" w:rsidRPr="00862598">
        <w:rPr>
          <w:rFonts w:ascii="Times New Roman" w:hAnsi="Times New Roman" w:cs="Times New Roman"/>
        </w:rPr>
        <w:t xml:space="preserve"> </w:t>
      </w:r>
      <w:r w:rsidR="00A76B1F" w:rsidRPr="00862598">
        <w:rPr>
          <w:rFonts w:ascii="Times New Roman" w:hAnsi="Times New Roman" w:cs="Times New Roman"/>
        </w:rPr>
        <w:t>st</w:t>
      </w:r>
      <w:r w:rsidR="00A76B1F" w:rsidRPr="009B2CDA">
        <w:rPr>
          <w:rFonts w:ascii="Times New Roman" w:hAnsi="Times New Roman" w:cs="Times New Roman"/>
        </w:rPr>
        <w:t xml:space="preserve">ronger </w:t>
      </w:r>
      <w:r w:rsidR="001A37CA" w:rsidRPr="009B2CDA">
        <w:rPr>
          <w:rFonts w:ascii="Times New Roman" w:hAnsi="Times New Roman" w:cs="Times New Roman"/>
        </w:rPr>
        <w:t xml:space="preserve">handgrip, </w:t>
      </w:r>
      <w:r w:rsidR="00794261" w:rsidRPr="009B2CDA">
        <w:rPr>
          <w:rFonts w:ascii="Times New Roman" w:hAnsi="Times New Roman" w:cs="Times New Roman"/>
        </w:rPr>
        <w:t xml:space="preserve">a global functional measure of strength </w:t>
      </w:r>
      <w:r w:rsidR="00A241B1"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{"citationItems":[{"id":"ITEM-1","itemData":{"DOI":"10.1007/s40279-018-0952-y","ISSN":"0112-1642","author":[{"dropping-particle":"","family":"McGrath","given":"Ryan P.","non-dropping-particle":"","parse-names":false,"suffix":""},{"dropping-particle":"","family":"Kraemer","given":"William J.","non-dropping-particle":"","parse-names":false,"suffix":""},{"dropping-particle":"Al","family":"Snih","given":"Soham","non-dropping-particle":"","parse-names":false,"suffix":""},{"dropping-particle":"","family":"Peterson","given":"Mark D.","non-dropping-particle":"","parse-names":false,"suffix":""}],"container-title":"Sports Medicine","id":"ITEM-1","issued":{"date-parts":[["2018","6","26"]]},"page":"1-8","publisher":"Springer International Publishing","title":"Handgrip strength and health in aging adults","type":"article-journal"},"uris":["http://www.mendeley.com/documents/?uuid=60ec0dab-32a7-3c94-bfa6-2e49e3bd5189"]}],"mendeley":{"formattedCitation":"(McGrath, Kraemer, Snih, &amp; Peterson, 2018)","plainTextFormattedCitation":"(McGrath, Kraemer, Snih, &amp; Peterson, 2018)","previouslyFormattedCitation":"(McGrath, Kraemer, Snih, &amp; Peterson, 2018)"},"properties":{"noteIndex":0},"schema":"https://github.com/citation-style-language/schema/raw/master/csl-citation.json"}</w:instrText>
      </w:r>
      <w:r w:rsidR="00A241B1" w:rsidRPr="009B2CDA">
        <w:rPr>
          <w:rFonts w:ascii="Times New Roman" w:hAnsi="Times New Roman" w:cs="Times New Roman"/>
        </w:rPr>
        <w:fldChar w:fldCharType="separate"/>
      </w:r>
      <w:r w:rsidR="005B5832" w:rsidRPr="009B2CDA">
        <w:rPr>
          <w:rFonts w:ascii="Times New Roman" w:hAnsi="Times New Roman" w:cs="Times New Roman"/>
          <w:noProof/>
        </w:rPr>
        <w:t>(McGrath, Kraemer, Snih, &amp; Peterson, 2018)</w:t>
      </w:r>
      <w:r w:rsidR="00A241B1" w:rsidRPr="009B2CDA">
        <w:rPr>
          <w:rFonts w:ascii="Times New Roman" w:hAnsi="Times New Roman" w:cs="Times New Roman"/>
        </w:rPr>
        <w:fldChar w:fldCharType="end"/>
      </w:r>
      <w:r w:rsidR="001A37CA" w:rsidRPr="009B2CDA">
        <w:rPr>
          <w:rFonts w:ascii="Times New Roman" w:hAnsi="Times New Roman" w:cs="Times New Roman"/>
        </w:rPr>
        <w:t>.</w:t>
      </w:r>
      <w:r w:rsidR="003A2DE2" w:rsidRPr="009B2CDA">
        <w:rPr>
          <w:rFonts w:ascii="Times New Roman" w:hAnsi="Times New Roman" w:cs="Times New Roman"/>
        </w:rPr>
        <w:t xml:space="preserve"> </w:t>
      </w:r>
      <w:r w:rsidR="001A37CA" w:rsidRPr="009B2CDA">
        <w:rPr>
          <w:rFonts w:ascii="Times New Roman" w:hAnsi="Times New Roman" w:cs="Times New Roman"/>
        </w:rPr>
        <w:t xml:space="preserve">HG has been strongly associated with an individual’s </w:t>
      </w:r>
      <w:r w:rsidR="00845E29" w:rsidRPr="009B2CDA">
        <w:rPr>
          <w:rFonts w:ascii="Times New Roman" w:hAnsi="Times New Roman" w:cs="Times New Roman"/>
        </w:rPr>
        <w:t xml:space="preserve">physical function, </w:t>
      </w:r>
      <w:r w:rsidR="001A37CA" w:rsidRPr="009B2CDA">
        <w:rPr>
          <w:rFonts w:ascii="Times New Roman" w:hAnsi="Times New Roman" w:cs="Times New Roman"/>
        </w:rPr>
        <w:t>cognitive function</w:t>
      </w:r>
      <w:r w:rsidR="00855EA8" w:rsidRPr="009B2CDA">
        <w:rPr>
          <w:rFonts w:ascii="Times New Roman" w:hAnsi="Times New Roman" w:cs="Times New Roman"/>
        </w:rPr>
        <w:t xml:space="preserve">, </w:t>
      </w:r>
      <w:r w:rsidR="00FC396E" w:rsidRPr="009B2CDA">
        <w:rPr>
          <w:rFonts w:ascii="Times New Roman" w:hAnsi="Times New Roman" w:cs="Times New Roman"/>
        </w:rPr>
        <w:t>mobility</w:t>
      </w:r>
      <w:r w:rsidR="00633B9D" w:rsidRPr="009B2CDA">
        <w:rPr>
          <w:rFonts w:ascii="Times New Roman" w:hAnsi="Times New Roman" w:cs="Times New Roman"/>
        </w:rPr>
        <w:t xml:space="preserve"> </w:t>
      </w:r>
      <w:r w:rsidR="00855EA8" w:rsidRPr="009B2CDA">
        <w:rPr>
          <w:rFonts w:ascii="Times New Roman" w:hAnsi="Times New Roman" w:cs="Times New Roman"/>
        </w:rPr>
        <w:t>and mortality</w:t>
      </w:r>
      <w:r w:rsidR="00633B9D" w:rsidRPr="009B2CDA">
        <w:rPr>
          <w:rFonts w:ascii="Times New Roman" w:hAnsi="Times New Roman" w:cs="Times New Roman"/>
        </w:rPr>
        <w:t xml:space="preserve"> </w:t>
      </w:r>
      <w:r w:rsidR="002D6A91"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{"citationItems":[{"id":"ITEM-1","itemData":{"DOI":"10.1111/ggi.12508","ISSN":"14441586","author":[{"dropping-particle":"","family":"Rijk","given":"Joke M","non-dropping-particle":"","parse-names":false,"suffix":""},{"dropping-particle":"","family":"Roos","given":"Paul RKM","non-dropping-particle":"","parse-names":false,"suffix":""},{"dropping-particle":"","family":"Deckx","given":"Laura","non-dropping-particle":"","parse-names":false,"suffix":""},{"dropping-particle":"","family":"Akker","given":"Marjan","non-dropping-particle":"van den","parse-names":false,"suffix":""},{"dropping-particle":"","family":"Buntinx","given":"Frank","non-dropping-particle":"","parse-names":false,"suffix":""}],"container-title":"Geriatrics &amp; Gerontology International","id":"ITEM-1","issue":"1","issued":{"date-parts":[["2016","1","1"]]},"page":"5-20","publisher":"Wiley/Blackwell (10.1111)","title":"Prognostic value of handgrip strength in people aged 60 years and older: A systematic review and meta-analysis","type":"article-journal","volume":"16"},"uris":["http://www.mendeley.com/documents/?uuid=53710488-3c04-350b-8cae-da3600ed15ea"]}],"mendeley":{"formattedCitation":"(Rijk, Roos, Deckx, van den Akker, &amp; Buntinx, 2016)","plainTextFormattedCitation":"(Rijk, Roos, Deckx, van den Akker, &amp; Buntinx, 2016)","previouslyFormattedCitation":"(Rijk, Roos, Deckx, van den Akker, &amp; Buntinx, 2016)"},"properties":{"noteIndex":0},"schema":"https://github.com/citation-style-language/schema/raw/master/csl-citation.json"}</w:instrText>
      </w:r>
      <w:r w:rsidR="002D6A91" w:rsidRPr="009B2CDA">
        <w:rPr>
          <w:rFonts w:ascii="Times New Roman" w:hAnsi="Times New Roman" w:cs="Times New Roman"/>
        </w:rPr>
        <w:fldChar w:fldCharType="separate"/>
      </w:r>
      <w:r w:rsidR="005B5832" w:rsidRPr="009B2CDA">
        <w:rPr>
          <w:rFonts w:ascii="Times New Roman" w:hAnsi="Times New Roman" w:cs="Times New Roman"/>
          <w:noProof/>
        </w:rPr>
        <w:t>(Rijk, Roos, Deckx, van den Akker, &amp; Buntinx, 2016)</w:t>
      </w:r>
      <w:r w:rsidR="002D6A91" w:rsidRPr="009B2CDA">
        <w:rPr>
          <w:rFonts w:ascii="Times New Roman" w:hAnsi="Times New Roman" w:cs="Times New Roman"/>
        </w:rPr>
        <w:fldChar w:fldCharType="end"/>
      </w:r>
      <w:r w:rsidR="00633B9D" w:rsidRPr="009B2CDA">
        <w:rPr>
          <w:rFonts w:ascii="Times New Roman" w:hAnsi="Times New Roman" w:cs="Times New Roman"/>
        </w:rPr>
        <w:t>.</w:t>
      </w:r>
      <w:r w:rsidR="00855EA8" w:rsidRPr="009B2CDA">
        <w:rPr>
          <w:rFonts w:ascii="Times New Roman" w:hAnsi="Times New Roman" w:cs="Times New Roman"/>
        </w:rPr>
        <w:t xml:space="preserve"> </w:t>
      </w:r>
      <w:r w:rsidR="00F03D00" w:rsidRPr="009B2CDA">
        <w:rPr>
          <w:rFonts w:ascii="Times New Roman" w:hAnsi="Times New Roman" w:cs="Times New Roman"/>
        </w:rPr>
        <w:t>The findings of this study suggest</w:t>
      </w:r>
      <w:r w:rsidR="00043FB5" w:rsidRPr="009B2CDA">
        <w:rPr>
          <w:rFonts w:ascii="Times New Roman" w:hAnsi="Times New Roman" w:cs="Times New Roman"/>
        </w:rPr>
        <w:t xml:space="preserve"> that</w:t>
      </w:r>
      <w:r w:rsidR="00F03D00" w:rsidRPr="009B2CDA">
        <w:rPr>
          <w:rFonts w:ascii="Times New Roman" w:hAnsi="Times New Roman" w:cs="Times New Roman"/>
        </w:rPr>
        <w:t xml:space="preserve"> </w:t>
      </w:r>
      <w:r w:rsidR="00F03D00" w:rsidRPr="00862598">
        <w:rPr>
          <w:rFonts w:ascii="Times New Roman" w:hAnsi="Times New Roman" w:cs="Times New Roman"/>
        </w:rPr>
        <w:t>i</w:t>
      </w:r>
      <w:r w:rsidR="00671496" w:rsidRPr="00862598">
        <w:rPr>
          <w:rFonts w:ascii="Times New Roman" w:hAnsi="Times New Roman" w:cs="Times New Roman"/>
        </w:rPr>
        <w:t>n</w:t>
      </w:r>
      <w:r w:rsidR="00F03D00" w:rsidRPr="00862598">
        <w:rPr>
          <w:rFonts w:ascii="Times New Roman" w:hAnsi="Times New Roman" w:cs="Times New Roman"/>
        </w:rPr>
        <w:t xml:space="preserve"> older </w:t>
      </w:r>
      <w:r w:rsidR="00DF6E78" w:rsidRPr="00862598">
        <w:rPr>
          <w:rFonts w:ascii="Times New Roman" w:hAnsi="Times New Roman" w:cs="Times New Roman"/>
        </w:rPr>
        <w:t>participants</w:t>
      </w:r>
      <w:r w:rsidR="00F03D00" w:rsidRPr="00862598">
        <w:rPr>
          <w:rFonts w:ascii="Times New Roman" w:hAnsi="Times New Roman" w:cs="Times New Roman"/>
        </w:rPr>
        <w:t xml:space="preserve"> </w:t>
      </w:r>
      <w:r w:rsidR="00671496" w:rsidRPr="00862598">
        <w:rPr>
          <w:rFonts w:ascii="Times New Roman" w:hAnsi="Times New Roman" w:cs="Times New Roman"/>
        </w:rPr>
        <w:t>a higher HG, by</w:t>
      </w:r>
      <w:r w:rsidR="00ED1646" w:rsidRPr="00862598">
        <w:rPr>
          <w:rFonts w:ascii="Times New Roman" w:hAnsi="Times New Roman" w:cs="Times New Roman"/>
        </w:rPr>
        <w:t xml:space="preserve"> five-kilogram</w:t>
      </w:r>
      <w:r w:rsidR="00671496" w:rsidRPr="00862598">
        <w:rPr>
          <w:rFonts w:ascii="Times New Roman" w:hAnsi="Times New Roman" w:cs="Times New Roman"/>
        </w:rPr>
        <w:t>s, is related to</w:t>
      </w:r>
      <w:r w:rsidR="00F03D00" w:rsidRPr="00862598">
        <w:rPr>
          <w:rFonts w:ascii="Times New Roman" w:hAnsi="Times New Roman" w:cs="Times New Roman"/>
        </w:rPr>
        <w:t xml:space="preserve"> a tenth</w:t>
      </w:r>
      <w:r w:rsidR="00D254A1" w:rsidRPr="00862598">
        <w:rPr>
          <w:rFonts w:ascii="Times New Roman" w:hAnsi="Times New Roman" w:cs="Times New Roman"/>
        </w:rPr>
        <w:t>-</w:t>
      </w:r>
      <w:r w:rsidR="00F03D00" w:rsidRPr="00862598">
        <w:rPr>
          <w:rFonts w:ascii="Times New Roman" w:hAnsi="Times New Roman" w:cs="Times New Roman"/>
        </w:rPr>
        <w:t>of</w:t>
      </w:r>
      <w:r w:rsidR="00D254A1" w:rsidRPr="00862598">
        <w:rPr>
          <w:rFonts w:ascii="Times New Roman" w:hAnsi="Times New Roman" w:cs="Times New Roman"/>
        </w:rPr>
        <w:t>-</w:t>
      </w:r>
      <w:r w:rsidR="00F03D00" w:rsidRPr="00862598">
        <w:rPr>
          <w:rFonts w:ascii="Times New Roman" w:hAnsi="Times New Roman" w:cs="Times New Roman"/>
        </w:rPr>
        <w:t>a</w:t>
      </w:r>
      <w:r w:rsidR="00D254A1" w:rsidRPr="00862598">
        <w:rPr>
          <w:rFonts w:ascii="Times New Roman" w:hAnsi="Times New Roman" w:cs="Times New Roman"/>
        </w:rPr>
        <w:t>-</w:t>
      </w:r>
      <w:r w:rsidR="00F03D00" w:rsidRPr="00862598">
        <w:rPr>
          <w:rFonts w:ascii="Times New Roman" w:hAnsi="Times New Roman" w:cs="Times New Roman"/>
        </w:rPr>
        <w:t>s</w:t>
      </w:r>
      <w:r w:rsidR="00F03D00" w:rsidRPr="009B2CDA">
        <w:rPr>
          <w:rFonts w:ascii="Times New Roman" w:hAnsi="Times New Roman" w:cs="Times New Roman"/>
        </w:rPr>
        <w:t>econd reduction in RT</w:t>
      </w:r>
      <w:r w:rsidR="00172320" w:rsidRPr="009B2CDA">
        <w:rPr>
          <w:rFonts w:ascii="Times New Roman" w:hAnsi="Times New Roman" w:cs="Times New Roman"/>
        </w:rPr>
        <w:t>. Given the limited time window</w:t>
      </w:r>
      <w:r w:rsidR="00F07D7A" w:rsidRPr="009B2CDA">
        <w:rPr>
          <w:rFonts w:ascii="Times New Roman" w:hAnsi="Times New Roman" w:cs="Times New Roman"/>
        </w:rPr>
        <w:t xml:space="preserve"> to implement pre-impact strategies, approximately 680 ms to hand impact </w:t>
      </w:r>
      <w:r w:rsidR="00F07D7A"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{"citationItems":[{"id":"ITEM-1","itemData":{"DOI":"https://doi.org/10.1016/S0021-9290(97)00114-0","abstract":"Simple energy considerations suggest that any fall from standing height has the potential to cause hip fracture. However, only 1—2% of falls among the elderly actually result in hip fracture, and less than 10% cause serious injury. This suggests that highly effective movement strategies exist for preventing injury during a fall. To determine the nature of these, we measured body segment movements as subjects (aged 22—35 yr) stood upon a gymnasium mattress and attempted to prevent themselves from falling after the mattress was made to translate abruptly. Subjects were more than twice as likely to fall after anterior translations of the feet, when compared to posterior or lateral translations. In falls which resulted in impact to the pelvis, a complex sequence of upper extremity movements allowed subjects to impact their wrist at nearly the same instant as the pelvis (average time interval between contacts\"38 ms), suggesting a sharing of contact energy between the two body parts. Finally, marked trunk rotation was exhibited in falls due to lateral (but not anterior or posterior) perturbations, resulting in the avoidance of impact to the lateral aspect of the hip. These results suggest that body segment movements during falls, rather than being random and unpredictable, involve a repeatable series of responses which facilitate safe landing.","author":[{"dropping-particle":"","family":"Hsiao","given":"E T","non-dropping-particle":"","parse-names":false,"suffix":""},{"dropping-particle":"","family":"Robinovitch","given":"S N","non-dropping-particle":"","parse-names":false,"suffix":""}],"container-title":"Journal of Biomechanics 31","id":"ITEM-1","issued":{"date-parts":[["1998"]]},"page":"1-9","title":"Common protective movements govern unexpected falls from standing height","type":"article-journal","volume":"31"},"uris":["http://www.mendeley.com/documents/?uuid=c0c08b58-bd4e-4543-be8c-2c681cef19c6"]}],"mendeley":{"formattedCitation":"(Hsiao &amp; Robinovitch, 1998)","plainTextFormattedCitation":"(Hsiao &amp; Robinovitch, 1998)","previouslyFormattedCitation":"(Hsiao &amp; Robinovitch, 1998)"},"properties":{"noteIndex":0},"schema":"https://github.com/citation-style-language/schema/raw/master/csl-citation.json"}</w:instrText>
      </w:r>
      <w:r w:rsidR="00F07D7A" w:rsidRPr="009B2CDA">
        <w:rPr>
          <w:rFonts w:ascii="Times New Roman" w:hAnsi="Times New Roman" w:cs="Times New Roman"/>
        </w:rPr>
        <w:fldChar w:fldCharType="separate"/>
      </w:r>
      <w:r w:rsidR="005B5832" w:rsidRPr="009B2CDA">
        <w:rPr>
          <w:rFonts w:ascii="Times New Roman" w:hAnsi="Times New Roman" w:cs="Times New Roman"/>
          <w:noProof/>
        </w:rPr>
        <w:t>(Hsiao &amp; Robinovitch, 1998)</w:t>
      </w:r>
      <w:r w:rsidR="00F07D7A" w:rsidRPr="009B2CDA">
        <w:rPr>
          <w:rFonts w:ascii="Times New Roman" w:hAnsi="Times New Roman" w:cs="Times New Roman"/>
        </w:rPr>
        <w:fldChar w:fldCharType="end"/>
      </w:r>
      <w:r w:rsidR="00F07D7A" w:rsidRPr="009B2CDA">
        <w:rPr>
          <w:rFonts w:ascii="Times New Roman" w:hAnsi="Times New Roman" w:cs="Times New Roman"/>
        </w:rPr>
        <w:t>,</w:t>
      </w:r>
      <w:r w:rsidR="00334286" w:rsidRPr="009B2CDA">
        <w:rPr>
          <w:rFonts w:ascii="Times New Roman" w:hAnsi="Times New Roman" w:cs="Times New Roman"/>
        </w:rPr>
        <w:t xml:space="preserve"> sm</w:t>
      </w:r>
      <w:r w:rsidR="00575E5E" w:rsidRPr="009B2CDA">
        <w:rPr>
          <w:rFonts w:ascii="Times New Roman" w:hAnsi="Times New Roman" w:cs="Times New Roman"/>
        </w:rPr>
        <w:t xml:space="preserve">all improvements in RT could be the difference between a successful and unsuccessful </w:t>
      </w:r>
      <w:r w:rsidR="00AE219B" w:rsidRPr="009B2CDA">
        <w:rPr>
          <w:rFonts w:ascii="Times New Roman" w:hAnsi="Times New Roman" w:cs="Times New Roman"/>
        </w:rPr>
        <w:t xml:space="preserve">pre-impact </w:t>
      </w:r>
      <w:r w:rsidR="00575E5E" w:rsidRPr="009B2CDA">
        <w:rPr>
          <w:rFonts w:ascii="Times New Roman" w:hAnsi="Times New Roman" w:cs="Times New Roman"/>
        </w:rPr>
        <w:t>arm response</w:t>
      </w:r>
      <w:r w:rsidR="00CE582C" w:rsidRPr="009B2CDA">
        <w:rPr>
          <w:rFonts w:ascii="Times New Roman" w:hAnsi="Times New Roman" w:cs="Times New Roman"/>
        </w:rPr>
        <w:t xml:space="preserve"> following a balance perturbation</w:t>
      </w:r>
      <w:r w:rsidR="00575E5E" w:rsidRPr="009B2CDA">
        <w:rPr>
          <w:rFonts w:ascii="Times New Roman" w:hAnsi="Times New Roman" w:cs="Times New Roman"/>
        </w:rPr>
        <w:t>.</w:t>
      </w:r>
      <w:r w:rsidR="00AE219B" w:rsidRPr="009B2CDA">
        <w:rPr>
          <w:rFonts w:ascii="Times New Roman" w:hAnsi="Times New Roman" w:cs="Times New Roman"/>
        </w:rPr>
        <w:t xml:space="preserve"> </w:t>
      </w:r>
      <w:r w:rsidR="00A00BC4" w:rsidRPr="009B2CDA">
        <w:rPr>
          <w:rFonts w:ascii="Times New Roman" w:hAnsi="Times New Roman" w:cs="Times New Roman"/>
        </w:rPr>
        <w:t>De</w:t>
      </w:r>
      <w:r w:rsidR="00C02408" w:rsidRPr="009B2CDA">
        <w:rPr>
          <w:rFonts w:ascii="Times New Roman" w:hAnsi="Times New Roman" w:cs="Times New Roman"/>
        </w:rPr>
        <w:t xml:space="preserve">creasing an individual’s RT increases the amount of time available to implement a pre-impact strategy </w:t>
      </w:r>
      <w:r w:rsidR="00552092"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{"citationItems":[{"id":"ITEM-1","itemData":{"DOI":"10.1016/S0268-0033(03)00005-6","ISBN":"0268-0033","ISSN":"02680033","PMID":"12689781","abstract":"Objective. This study tried to isolate critical biomechanical factors in fall arrests using the upper extremity during simulated forward falls. This study also attempted to find the differences in those factors between young and old age groups. Background. The role of the upper extremity is not well defined despite its primary usage as a local shock absorber during fall impact. Design. Comparative study in which two age groups underwent motion analysis. Methods. Ten healthy older males (mean age, 66.4 years) and 10 young males (mean age, 24.1 years) volunteered to perform self-initiated and cable-released falls at selected falling distances, while the joint motion and impact forces at the hand were recorded. Results. Significant age differences were demonstrated in joint kinematics and impact force parameters at close distances. Excessive reflexive responses of the upper extremity in cable-released falls for the older adults resulted in 10-15 times higher peak impact forces and 2-3 times shorter body braking time than in self-initiated falls. Conclusions. Pre-impact activities of the upper extremity predispose the post-impact response during fall arrests. Suppressing excessive pre-impact reflexive activation of the arms could efficiently decrease the risk of fall-related injuries, which calls for securing sufficient arm movement time. Any fall prevention strategy that can increase arm movement time would be effective against injuries of the upper extremity during falling in the older adults.Relevance The findings will help to understand underlying mechanisms of fall arrest using the upper extremity for prevention of fall-related fractures. ?? 2003 Elsevier Science Ltd. All rights reserved.","author":[{"dropping-particle":"","family":"Kim","given":"Kyu Jung","non-dropping-particle":"","parse-names":false,"suffix":""},{"dropping-particle":"","family":"Ashton-Miller","given":"James A.","non-dropping-particle":"","parse-names":false,"suffix":""}],"container-title":"Clinical Biomechanics","id":"ITEM-1","issue":"4","issued":{"date-parts":[["2003"]]},"page":"311-318","title":"Biomechanics of fall arrest using the upper extremity: Age differences","type":"article-journal","volume":"18"},"uris":["http://www.mendeley.com/documents/?uuid=6abd56db-e6bd-43ec-af5d-7fc998b5d941"]}],"mendeley":{"formattedCitation":"(Kim &amp; Ashton-Miller, 2003)","plainTextFormattedCitation":"(Kim &amp; Ashton-Miller, 2003)","previouslyFormattedCitation":"(Kim &amp; Ashton-Miller, 2003)"},"properties":{"noteIndex":0},"schema":"https://github.com/citation-style-language/schema/raw/master/csl-citation.json"}</w:instrText>
      </w:r>
      <w:r w:rsidR="00552092" w:rsidRPr="009B2CDA">
        <w:rPr>
          <w:rFonts w:ascii="Times New Roman" w:hAnsi="Times New Roman" w:cs="Times New Roman"/>
        </w:rPr>
        <w:fldChar w:fldCharType="separate"/>
      </w:r>
      <w:r w:rsidR="005B5832" w:rsidRPr="009B2CDA">
        <w:rPr>
          <w:rFonts w:ascii="Times New Roman" w:hAnsi="Times New Roman" w:cs="Times New Roman"/>
          <w:noProof/>
        </w:rPr>
        <w:t>(Kim &amp; Ashton-Miller, 2003)</w:t>
      </w:r>
      <w:r w:rsidR="00552092" w:rsidRPr="009B2CDA">
        <w:rPr>
          <w:rFonts w:ascii="Times New Roman" w:hAnsi="Times New Roman" w:cs="Times New Roman"/>
        </w:rPr>
        <w:fldChar w:fldCharType="end"/>
      </w:r>
      <w:r w:rsidR="00C02408" w:rsidRPr="009B2CDA">
        <w:rPr>
          <w:rFonts w:ascii="Times New Roman" w:hAnsi="Times New Roman" w:cs="Times New Roman"/>
        </w:rPr>
        <w:t xml:space="preserve">. </w:t>
      </w:r>
      <w:r w:rsidR="00AE219B" w:rsidRPr="009B2CDA">
        <w:rPr>
          <w:rFonts w:ascii="Times New Roman" w:hAnsi="Times New Roman" w:cs="Times New Roman"/>
        </w:rPr>
        <w:t xml:space="preserve">Given the evidence </w:t>
      </w:r>
      <w:r w:rsidR="00043FB5" w:rsidRPr="009B2CDA">
        <w:rPr>
          <w:rFonts w:ascii="Times New Roman" w:hAnsi="Times New Roman" w:cs="Times New Roman"/>
        </w:rPr>
        <w:t xml:space="preserve">supporting </w:t>
      </w:r>
      <w:r w:rsidR="00AE219B" w:rsidRPr="009B2CDA">
        <w:rPr>
          <w:rFonts w:ascii="Times New Roman" w:hAnsi="Times New Roman" w:cs="Times New Roman"/>
        </w:rPr>
        <w:t>the relationship of pre-</w:t>
      </w:r>
      <w:r w:rsidR="00AE219B" w:rsidRPr="009B2CDA">
        <w:rPr>
          <w:rFonts w:ascii="Times New Roman" w:hAnsi="Times New Roman" w:cs="Times New Roman"/>
        </w:rPr>
        <w:lastRenderedPageBreak/>
        <w:t xml:space="preserve">impact strategies to post-impact responses </w:t>
      </w:r>
      <w:r w:rsidR="00CB5E58" w:rsidRPr="009B2CDA">
        <w:rPr>
          <w:rFonts w:ascii="Times New Roman" w:hAnsi="Times New Roman" w:cs="Times New Roman"/>
        </w:rPr>
        <w:t xml:space="preserve">to </w:t>
      </w:r>
      <w:r w:rsidR="00BD045E" w:rsidRPr="009B2CDA">
        <w:rPr>
          <w:rFonts w:ascii="Times New Roman" w:hAnsi="Times New Roman" w:cs="Times New Roman"/>
        </w:rPr>
        <w:t>enable effective neuromuscular strategies and manage</w:t>
      </w:r>
      <w:r w:rsidR="00CB5E58" w:rsidRPr="009B2CDA">
        <w:rPr>
          <w:rFonts w:ascii="Times New Roman" w:hAnsi="Times New Roman" w:cs="Times New Roman"/>
        </w:rPr>
        <w:t xml:space="preserve"> impact forces </w:t>
      </w:r>
      <w:r w:rsidR="00AE219B" w:rsidRPr="009B2CDA">
        <w:rPr>
          <w:rFonts w:ascii="Times New Roman" w:hAnsi="Times New Roman" w:cs="Times New Roman"/>
        </w:rPr>
        <w:fldChar w:fldCharType="begin" w:fldLock="1"/>
      </w:r>
      <w:r w:rsidR="00035D59" w:rsidRPr="009B2CDA">
        <w:rPr>
          <w:rFonts w:ascii="Times New Roman" w:hAnsi="Times New Roman" w:cs="Times New Roman"/>
        </w:rPr>
        <w:instrText>ADDIN CSL_CITATION {"citationItems":[{"id":"ITEM-1","itemData":{"DOI":"10.1016/S0021-9290(03)00034-4","ISBN":"0021-9290","ISSN":"00219290","PMID":"12757814","abstract":"Although the epidemiology of fall-related injuries is well established for the elderly population over 65 years of age, the biomechanics of how, when and why injuries do and do not occur when arresting a fall have received relatively little attention. This paper reviews the epidemiological literature in the MEDLINE data base pertinent to the biomechanics of fall-related injuries, including data on fall rates, fall-related injury rates, fall directions and types of injuries available. It also covers primary sources not listed on MEDLINE, along with the pertinent biomechanics literature. Many falls in older adults are in a forward direction, and as a result the upper extremities are one of the most commonly injured structures, presumably in protecting the head and torso. In this review emphasis is placed on what is, and what is not, known of the biomechanical factors that determine the impact forces and injury risk associated with upper extremity injuries in forward falls. While decreased bone mineral density may be contributory, it is not a reliable predictor of fracture risk. Evidence is presented that fall-related impact forces can be reduced by appropriate volitional arrest strategies. Further theoretical and experimental research is needed to identify appropriate fall-arrest strategies for the elderly, as well as the physical capacities and skills required to do so. Inexpensive interventions might then be developed to teach safe fall-arrest techniques to older individuals. © 2003 Elsevier Science Ltd. All rights reserved.","author":[{"dropping-particle":"","family":"DeGoede","given":"K. M.","non-dropping-particle":"","parse-names":false,"suffix":""},{"dropping-particle":"","family":"Ashton-Miller","given":"J. A.","non-dropping-particle":"","parse-names":false,"suffix":""},{"dropping-particle":"","family":"Schultz","given":"A. B.","non-dropping-particle":"","parse-names":false,"suffix":""}],"container-title":"Journal of Biomechanics","id":"ITEM-1","issue":"7","issued":{"date-parts":[["2003"]]},"page":"1043-1053","title":"Fall-related upper body injuries in the older adult: A review of the biomechanical issues","type":"article-journal","volume":"36"},"uris":["http://www.mendeley.com/documents/?uuid=e06d0119-b0bd-4a42-bc7f-571040611ee1"]},{"id":"ITEM-2","itemData":{"DOI":"10.1016/S0268-0033(03)00005-6","ISBN":"0268-0033","ISSN":"02680033","PMID":"12689781","abstract":"Objective. This study tried to isolate critical biomechanical factors in fall arrests using the upper extremity during simulated forward falls. This study also attempted to find the differences in those factors between young and old age groups. Background. The role of the upper extremity is not well defined despite its primary usage as a local shock absorber during fall impact. Design. Comparative study in which two age groups underwent motion analysis. Methods. Ten healthy older males (mean age, 66.4 years) and 10 young males (mean age, 24.1 years) volunteered to perform self-initiated and cable-released falls at selected falling distances, while the joint motion and impact forces at the hand were recorded. Results. Significant age differences were demonstrated in joint kinematics and impact force parameters at close distances. Excessive reflexive responses of the upper extremity in cable-released falls for the older adults resulted in 10-15 times higher peak impact forces and 2-3 times shorter body braking time than in self-initiated falls. Conclusions. Pre-impact activities of the upper extremity predispose the post-impact response during fall arrests. Suppressing excessive pre-impact reflexive activation of the arms could efficiently decrease the risk of fall-related injuries, which calls for securing sufficient arm movement time. Any fall prevention strategy that can increase arm movement time would be effective against injuries of the upper extremity during falling in the older adults.Relevance The findings will help to understand underlying mechanisms of fall arrest using the upper extremity for prevention of fall-related fractures. ?? 2003 Elsevier Science Ltd. All rights reserved.","author":[{"dropping-particle":"","family":"Kim","given":"Kyu Jung","non-dropping-particle":"","parse-names":false,"suffix":""},{"dropping-particle":"","family":"Ashton-Miller","given":"James A.","non-dropping-particle":"","parse-names":false,"suffix":""}],"container-title":"Clinical Biomechanics","id":"ITEM-2","issue":"4","issued":{"date-parts":[["2003"]]},"page":"311-318","title":"Biomechanics of fall arrest using the upper extremity: Age differences","type":"article-journal","volume":"18"},"uris":["http://www.mendeley.com/documents/?uuid=6abd56db-e6bd-43ec-af5d-7fc998b5d941"]}],"mendeley":{"formattedCitation":"(K. M. DeGoede et al., 2003; Kim &amp; Ashton-Miller, 2003)","manualFormatting":"(DeGoede et al., 2003; Kim &amp; Ashton-Miller, 2003)","plainTextFormattedCitation":"(K. M. DeGoede et al., 2003; Kim &amp; Ashton-Miller, 2003)","previouslyFormattedCitation":"(K. M. DeGoede et al., 2003; Kim &amp; Ashton-Miller, 2003)"},"properties":{"noteIndex":0},"schema":"https://github.com/citation-style-language/schema/raw/master/csl-citation.json"}</w:instrText>
      </w:r>
      <w:r w:rsidR="00AE219B" w:rsidRPr="009B2CDA">
        <w:rPr>
          <w:rFonts w:ascii="Times New Roman" w:hAnsi="Times New Roman" w:cs="Times New Roman"/>
        </w:rPr>
        <w:fldChar w:fldCharType="separate"/>
      </w:r>
      <w:r w:rsidR="005B5832" w:rsidRPr="009B2CDA">
        <w:rPr>
          <w:rFonts w:ascii="Times New Roman" w:hAnsi="Times New Roman" w:cs="Times New Roman"/>
          <w:noProof/>
        </w:rPr>
        <w:t>(DeGoede et al., 2003; Kim &amp; Ashton-Miller, 2003)</w:t>
      </w:r>
      <w:r w:rsidR="00AE219B" w:rsidRPr="009B2CDA">
        <w:rPr>
          <w:rFonts w:ascii="Times New Roman" w:hAnsi="Times New Roman" w:cs="Times New Roman"/>
        </w:rPr>
        <w:fldChar w:fldCharType="end"/>
      </w:r>
      <w:r w:rsidR="00AE219B" w:rsidRPr="009B2CDA">
        <w:rPr>
          <w:rFonts w:ascii="Times New Roman" w:hAnsi="Times New Roman" w:cs="Times New Roman"/>
        </w:rPr>
        <w:t xml:space="preserve">, having a successful pre-impact response </w:t>
      </w:r>
      <w:r w:rsidR="00047662" w:rsidRPr="009B2CDA">
        <w:rPr>
          <w:rFonts w:ascii="Times New Roman" w:hAnsi="Times New Roman" w:cs="Times New Roman"/>
        </w:rPr>
        <w:t>is necessary to mitigate injuries generated at impact to the upper limb, head or trunk</w:t>
      </w:r>
      <w:r w:rsidR="00552092" w:rsidRPr="009B2CDA">
        <w:rPr>
          <w:rFonts w:ascii="Times New Roman" w:hAnsi="Times New Roman" w:cs="Times New Roman"/>
        </w:rPr>
        <w:t xml:space="preserve"> </w:t>
      </w:r>
      <w:r w:rsidR="00552092" w:rsidRPr="009B2CDA">
        <w:rPr>
          <w:rFonts w:ascii="Times New Roman" w:hAnsi="Times New Roman" w:cs="Times New Roman"/>
        </w:rPr>
        <w:fldChar w:fldCharType="begin" w:fldLock="1"/>
      </w:r>
      <w:r w:rsidR="00035D59" w:rsidRPr="009B2CDA">
        <w:rPr>
          <w:rFonts w:ascii="Times New Roman" w:hAnsi="Times New Roman" w:cs="Times New Roman"/>
        </w:rPr>
        <w:instrText>ADDIN CSL_CITATION {"citationItems":[{"id":"ITEM-1","itemData":{"DOI":"10.1016/S0021-9290(03)00034-4","ISBN":"0021-9290","ISSN":"00219290","PMID":"12757814","abstract":"Although the epidemiology of fall-related injuries is well established for the elderly population over 65 years of age, the biomechanics of how, when and why injuries do and do not occur when arresting a fall have received relatively little attention. This paper reviews the epidemiological literature in the MEDLINE data base pertinent to the biomechanics of fall-related injuries, including data on fall rates, fall-related injury rates, fall directions and types of injuries available. It also covers primary sources not listed on MEDLINE, along with the pertinent biomechanics literature. Many falls in older adults are in a forward direction, and as a result the upper extremities are one of the most commonly injured structures, presumably in protecting the head and torso. In this review emphasis is placed on what is, and what is not, known of the biomechanical factors that determine the impact forces and injury risk associated with upper extremity injuries in forward falls. While decreased bone mineral density may be contributory, it is not a reliable predictor of fracture risk. Evidence is presented that fall-related impact forces can be reduced by appropriate volitional arrest strategies. Further theoretical and experimental research is needed to identify appropriate fall-arrest strategies for the elderly, as well as the physical capacities and skills required to do so. Inexpensive interventions might then be developed to teach safe fall-arrest techniques to older individuals. © 2003 Elsevier Science Ltd. All rights reserved.","author":[{"dropping-particle":"","family":"DeGoede","given":"K. M.","non-dropping-particle":"","parse-names":false,"suffix":""},{"dropping-particle":"","family":"Ashton-Miller","given":"J. A.","non-dropping-particle":"","parse-names":false,"suffix":""},{"dropping-particle":"","family":"Schultz","given":"A. B.","non-dropping-particle":"","parse-names":false,"suffix":""}],"container-title":"Journal of Biomechanics","id":"ITEM-1","issue":"7","issued":{"date-parts":[["2003"]]},"page":"1043-1053","title":"Fall-related upper body injuries in the older adult: A review of the biomechanical issues","type":"article-journal","volume":"36"},"uris":["http://www.mendeley.com/documents/?uuid=e06d0119-b0bd-4a42-bc7f-571040611ee1"]},{"id":"ITEM-2","itemData":{"DOI":"10.1016/S0268-0033(03)00005-6","ISBN":"0268-0033","ISSN":"02680033","PMID":"12689781","abstract":"Objective. This study tried to isolate critical biomechanical factors in fall arrests using the upper extremity during simulated forward falls. This study also attempted to find the differences in those factors between young and old age groups. Background. The role of the upper extremity is not well defined despite its primary usage as a local shock absorber during fall impact. Design. Comparative study in which two age groups underwent motion analysis. Methods. Ten healthy older males (mean age, 66.4 years) and 10 young males (mean age, 24.1 years) volunteered to perform self-initiated and cable-released falls at selected falling distances, while the joint motion and impact forces at the hand were recorded. Results. Significant age differences were demonstrated in joint kinematics and impact force parameters at close distances. Excessive reflexive responses of the upper extremity in cable-released falls for the older adults resulted in 10-15 times higher peak impact forces and 2-3 times shorter body braking time than in self-initiated falls. Conclusions. Pre-impact activities of the upper extremity predispose the post-impact response during fall arrests. Suppressing excessive pre-impact reflexive activation of the arms could efficiently decrease the risk of fall-related injuries, which calls for securing sufficient arm movement time. Any fall prevention strategy that can increase arm movement time would be effective against injuries of the upper extremity during falling in the older adults.Relevance The findings will help to understand underlying mechanisms of fall arrest using the upper extremity for prevention of fall-related fractures. ?? 2003 Elsevier Science Ltd. All rights reserved.","author":[{"dropping-particle":"","family":"Kim","given":"Kyu Jung","non-dropping-particle":"","parse-names":false,"suffix":""},{"dropping-particle":"","family":"Ashton-Miller","given":"James A.","non-dropping-particle":"","parse-names":false,"suffix":""}],"container-title":"Clinical Biomechanics","id":"ITEM-2","issue":"4","issued":{"date-parts":[["2003"]]},"page":"311-318","title":"Biomechanics of fall arrest using the upper extremity: Age differences","type":"article-journal","volume":"18"},"uris":["http://www.mendeley.com/documents/?uuid=6abd56db-e6bd-43ec-af5d-7fc998b5d941"]}],"mendeley":{"formattedCitation":"(K. M. DeGoede et al., 2003; Kim &amp; Ashton-Miller, 2003)","manualFormatting":"(DeGoede et al., 2003; Kim &amp; Ashton-Miller, 2003)","plainTextFormattedCitation":"(K. M. DeGoede et al., 2003; Kim &amp; Ashton-Miller, 2003)","previouslyFormattedCitation":"(K. M. DeGoede et al., 2003; Kim &amp; Ashton-Miller, 2003)"},"properties":{"noteIndex":0},"schema":"https://github.com/citation-style-language/schema/raw/master/csl-citation.json"}</w:instrText>
      </w:r>
      <w:r w:rsidR="00552092" w:rsidRPr="009B2CDA">
        <w:rPr>
          <w:rFonts w:ascii="Times New Roman" w:hAnsi="Times New Roman" w:cs="Times New Roman"/>
        </w:rPr>
        <w:fldChar w:fldCharType="separate"/>
      </w:r>
      <w:r w:rsidR="005B5832" w:rsidRPr="009B2CDA">
        <w:rPr>
          <w:rFonts w:ascii="Times New Roman" w:hAnsi="Times New Roman" w:cs="Times New Roman"/>
          <w:noProof/>
        </w:rPr>
        <w:t>(DeGoede et al., 2003; Kim &amp; Ashton-Miller, 2003)</w:t>
      </w:r>
      <w:r w:rsidR="00552092" w:rsidRPr="009B2CDA">
        <w:rPr>
          <w:rFonts w:ascii="Times New Roman" w:hAnsi="Times New Roman" w:cs="Times New Roman"/>
        </w:rPr>
        <w:fldChar w:fldCharType="end"/>
      </w:r>
      <w:r w:rsidR="00047662" w:rsidRPr="009B2CDA">
        <w:rPr>
          <w:rFonts w:ascii="Times New Roman" w:hAnsi="Times New Roman" w:cs="Times New Roman"/>
        </w:rPr>
        <w:t>.</w:t>
      </w:r>
    </w:p>
    <w:p w14:paraId="2E345965" w14:textId="7A82D2B7" w:rsidR="00A94C63" w:rsidRPr="009B2CDA" w:rsidRDefault="00824824" w:rsidP="00A33C2E">
      <w:pPr>
        <w:spacing w:line="480" w:lineRule="auto"/>
        <w:ind w:firstLine="720"/>
        <w:rPr>
          <w:rFonts w:ascii="Times New Roman" w:hAnsi="Times New Roman" w:cs="Times New Roman"/>
        </w:rPr>
      </w:pPr>
      <w:r w:rsidRPr="009B2CDA">
        <w:rPr>
          <w:rFonts w:ascii="Times New Roman" w:hAnsi="Times New Roman" w:cs="Times New Roman"/>
        </w:rPr>
        <w:t xml:space="preserve">SF strength </w:t>
      </w:r>
      <w:r w:rsidR="00755CCA" w:rsidRPr="00862598">
        <w:rPr>
          <w:rFonts w:ascii="Times New Roman" w:hAnsi="Times New Roman" w:cs="Times New Roman"/>
        </w:rPr>
        <w:t>was related to</w:t>
      </w:r>
      <w:r w:rsidRPr="00862598">
        <w:rPr>
          <w:rFonts w:ascii="Times New Roman" w:hAnsi="Times New Roman" w:cs="Times New Roman"/>
        </w:rPr>
        <w:t xml:space="preserve"> </w:t>
      </w:r>
      <w:r w:rsidR="00D0016D" w:rsidRPr="00862598">
        <w:rPr>
          <w:rFonts w:ascii="Times New Roman" w:hAnsi="Times New Roman" w:cs="Times New Roman"/>
        </w:rPr>
        <w:t>MT</w:t>
      </w:r>
      <w:r w:rsidRPr="00862598">
        <w:rPr>
          <w:rFonts w:ascii="Times New Roman" w:hAnsi="Times New Roman" w:cs="Times New Roman"/>
        </w:rPr>
        <w:t xml:space="preserve"> in the community</w:t>
      </w:r>
      <w:r w:rsidR="00334286" w:rsidRPr="00862598">
        <w:rPr>
          <w:rFonts w:ascii="Times New Roman" w:hAnsi="Times New Roman" w:cs="Times New Roman"/>
        </w:rPr>
        <w:t>-</w:t>
      </w:r>
      <w:r w:rsidRPr="00862598">
        <w:rPr>
          <w:rFonts w:ascii="Times New Roman" w:hAnsi="Times New Roman" w:cs="Times New Roman"/>
        </w:rPr>
        <w:t xml:space="preserve">dwelling older </w:t>
      </w:r>
      <w:r w:rsidR="00DF6E78" w:rsidRPr="00862598">
        <w:rPr>
          <w:rFonts w:ascii="Times New Roman" w:hAnsi="Times New Roman" w:cs="Times New Roman"/>
        </w:rPr>
        <w:t>participants</w:t>
      </w:r>
      <w:r w:rsidRPr="00862598">
        <w:rPr>
          <w:rFonts w:ascii="Times New Roman" w:hAnsi="Times New Roman" w:cs="Times New Roman"/>
        </w:rPr>
        <w:t xml:space="preserve"> </w:t>
      </w:r>
      <w:r w:rsidR="00334286" w:rsidRPr="00862598">
        <w:rPr>
          <w:rFonts w:ascii="Times New Roman" w:hAnsi="Times New Roman" w:cs="Times New Roman"/>
        </w:rPr>
        <w:t>who participated</w:t>
      </w:r>
      <w:r w:rsidRPr="00862598">
        <w:rPr>
          <w:rFonts w:ascii="Times New Roman" w:hAnsi="Times New Roman" w:cs="Times New Roman"/>
        </w:rPr>
        <w:t xml:space="preserve"> in this study</w:t>
      </w:r>
      <w:r w:rsidR="00034364" w:rsidRPr="00862598">
        <w:rPr>
          <w:rFonts w:ascii="Times New Roman" w:hAnsi="Times New Roman" w:cs="Times New Roman"/>
        </w:rPr>
        <w:t>,</w:t>
      </w:r>
      <w:r w:rsidR="00BE7825" w:rsidRPr="00862598">
        <w:rPr>
          <w:rFonts w:ascii="Times New Roman" w:hAnsi="Times New Roman" w:cs="Times New Roman"/>
        </w:rPr>
        <w:t xml:space="preserve"> accounting for </w:t>
      </w:r>
      <w:r w:rsidR="00640BF5" w:rsidRPr="00862598">
        <w:rPr>
          <w:rFonts w:ascii="Times New Roman" w:hAnsi="Times New Roman" w:cs="Times New Roman"/>
        </w:rPr>
        <w:t>only</w:t>
      </w:r>
      <w:r w:rsidR="00BE7825" w:rsidRPr="00862598">
        <w:rPr>
          <w:rFonts w:ascii="Times New Roman" w:hAnsi="Times New Roman" w:cs="Times New Roman"/>
        </w:rPr>
        <w:t xml:space="preserve"> 5</w:t>
      </w:r>
      <w:r w:rsidR="00BE7825" w:rsidRPr="009B2CDA">
        <w:rPr>
          <w:rFonts w:ascii="Times New Roman" w:hAnsi="Times New Roman" w:cs="Times New Roman"/>
        </w:rPr>
        <w:t>% of the variance in overall MT. Previous research has shown a</w:t>
      </w:r>
      <w:r w:rsidR="00334286" w:rsidRPr="009B2CDA">
        <w:rPr>
          <w:rFonts w:ascii="Times New Roman" w:hAnsi="Times New Roman" w:cs="Times New Roman"/>
        </w:rPr>
        <w:t xml:space="preserve"> significant inverse</w:t>
      </w:r>
      <w:r w:rsidR="00BE7825" w:rsidRPr="009B2CDA">
        <w:rPr>
          <w:rFonts w:ascii="Times New Roman" w:hAnsi="Times New Roman" w:cs="Times New Roman"/>
        </w:rPr>
        <w:t xml:space="preserve"> relationship between SF </w:t>
      </w:r>
      <w:r w:rsidR="00C56C0F" w:rsidRPr="009B2CDA">
        <w:rPr>
          <w:rFonts w:ascii="Times New Roman" w:hAnsi="Times New Roman" w:cs="Times New Roman"/>
        </w:rPr>
        <w:t xml:space="preserve">strength </w:t>
      </w:r>
      <w:r w:rsidR="00043FB5" w:rsidRPr="009B2CDA">
        <w:rPr>
          <w:rFonts w:ascii="Times New Roman" w:hAnsi="Times New Roman" w:cs="Times New Roman"/>
        </w:rPr>
        <w:t xml:space="preserve">and MT </w:t>
      </w:r>
      <w:r w:rsidR="00BE7825" w:rsidRPr="009B2CDA">
        <w:rPr>
          <w:rFonts w:ascii="Times New Roman" w:hAnsi="Times New Roman" w:cs="Times New Roman"/>
        </w:rPr>
        <w:t>(</w:t>
      </w:r>
      <w:r w:rsidR="00BE7825" w:rsidRPr="009B2CDA">
        <w:rPr>
          <w:rFonts w:ascii="Times New Roman" w:hAnsi="Times New Roman" w:cs="Times New Roman"/>
          <w:i/>
        </w:rPr>
        <w:t>r</w:t>
      </w:r>
      <w:r w:rsidR="00BE7825" w:rsidRPr="009B2CDA">
        <w:rPr>
          <w:rFonts w:ascii="Times New Roman" w:hAnsi="Times New Roman" w:cs="Times New Roman"/>
        </w:rPr>
        <w:t xml:space="preserve"> = -.0487)</w:t>
      </w:r>
      <w:r w:rsidR="00D37B47" w:rsidRPr="009B2CDA">
        <w:rPr>
          <w:rFonts w:ascii="Times New Roman" w:hAnsi="Times New Roman" w:cs="Times New Roman"/>
        </w:rPr>
        <w:t xml:space="preserve"> in </w:t>
      </w:r>
      <w:r w:rsidR="00DF6E78" w:rsidRPr="00862598">
        <w:rPr>
          <w:rFonts w:ascii="Times New Roman" w:hAnsi="Times New Roman" w:cs="Times New Roman"/>
        </w:rPr>
        <w:t>female participants</w:t>
      </w:r>
      <w:r w:rsidR="00BE7825" w:rsidRPr="009B2CDA">
        <w:rPr>
          <w:rFonts w:ascii="Times New Roman" w:hAnsi="Times New Roman" w:cs="Times New Roman"/>
        </w:rPr>
        <w:t xml:space="preserve"> </w:t>
      </w:r>
      <w:r w:rsidR="00C56C0F" w:rsidRPr="009B2CDA">
        <w:rPr>
          <w:rFonts w:ascii="Times New Roman" w:hAnsi="Times New Roman" w:cs="Times New Roman"/>
        </w:rPr>
        <w:t xml:space="preserve">during a forward fall </w:t>
      </w:r>
      <w:r w:rsidR="006B5B59" w:rsidRPr="009B2CDA">
        <w:rPr>
          <w:rFonts w:ascii="Times New Roman" w:hAnsi="Times New Roman" w:cs="Times New Roman"/>
        </w:rPr>
        <w:t xml:space="preserve">protective </w:t>
      </w:r>
      <w:r w:rsidR="00C56C0F" w:rsidRPr="009B2CDA">
        <w:rPr>
          <w:rFonts w:ascii="Times New Roman" w:hAnsi="Times New Roman" w:cs="Times New Roman"/>
        </w:rPr>
        <w:t xml:space="preserve">arm response simulation </w:t>
      </w:r>
      <w:r w:rsidR="00BE7825"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{"citationItems":[{"id":"ITEM-1","itemData":{"DOI":"60/12/1553 [pii]","ISBN":"1079-5006 (Print)\\n1079-5006 (Linking)","ISSN":"1079-5006","PMID":"16424287","abstract":"BACKGROUND: Risk for hip fracture during a fall is reduced by contacting the ground first with the outstretched hands. However, it is unclear whether the time required for young and elderly individuals to move the hands into a protective position exceeds that available during a typical fall. METHODS: We tested whether young (n = 30; aged 18-35 years) and elderly women (n = 30; aged 70-88 years) differed in the time required to move their hands into a protective position for breaking a fall. Participants stood either facing or sideways to shoulder-height targets (simulating forward and sideways falls, respectively), which they were instructed to contact as quickly as possible after hearing an aural go cue. Total contact time was partitioned into reaction time and movement time. RESULTS: Young women contacted the targets faster than elderly women in both forward (530 +/- 60 vs 615 +/- 88 ms; p &lt;.001) and sideways trials (658 +/- 80 vs 799 +/- 145 ms; p &lt;.001). This difference was due to faster movement times for young participants. There was no difference between groups in reaction time. CONCLUSIONS: Previous studies have shown that during actual falls from standing, wrist and pelvis contact occur at 680 +/- 116 and 715 +/- 160 ms, respectively. Comparing these values to our results suggests that the typical elderly woman should be able to move her hands quickly enough to break a forward fall, but not a sideways fall.","author":[{"dropping-particle":"","family":"Robinovitch","given":"Stephen N","non-dropping-particle":"","parse-names":false,"suffix":""},{"dropping-particle":"","family":"Normandin","given":"Sarah C","non-dropping-particle":"","parse-names":false,"suffix":""},{"dropping-particle":"","family":"Stotz","given":"Paula","non-dropping-particle":"","parse-names":false,"suffix":""},{"dropping-particle":"","family":"Maurer","given":"Jessica D","non-dropping-particle":"","parse-names":false,"suffix":""}],"container-title":"The journals of gerontology. Series A, Biological sciences and medical sciences","id":"ITEM-1","issue":"12","issued":{"date-parts":[["2005"]]},"page":"1553-1557","title":"Time requirement for young and elderly women to move into a position for breaking a fall with outstretched hands.","type":"article-journal","volume":"60"},"uris":["http://www.mendeley.com/documents/?uuid=4d42e289-8bff-4c16-af86-25c47e9f82c8"]}],"mendeley":{"formattedCitation":"(Robinovitch et al., 2005)","plainTextFormattedCitation":"(Robinovitch et al., 2005)","previouslyFormattedCitation":"(Robinovitch et al., 2005)"},"properties":{"noteIndex":0},"schema":"https://github.com/citation-style-language/schema/raw/master/csl-citation.json"}</w:instrText>
      </w:r>
      <w:r w:rsidR="00BE7825" w:rsidRPr="009B2CDA">
        <w:rPr>
          <w:rFonts w:ascii="Times New Roman" w:hAnsi="Times New Roman" w:cs="Times New Roman"/>
        </w:rPr>
        <w:fldChar w:fldCharType="separate"/>
      </w:r>
      <w:r w:rsidR="00BB5C78" w:rsidRPr="009B2CDA">
        <w:rPr>
          <w:rFonts w:ascii="Times New Roman" w:hAnsi="Times New Roman" w:cs="Times New Roman"/>
          <w:noProof/>
        </w:rPr>
        <w:t>(Robinovitch et al., 2005)</w:t>
      </w:r>
      <w:r w:rsidR="00BE7825" w:rsidRPr="009B2CDA">
        <w:rPr>
          <w:rFonts w:ascii="Times New Roman" w:hAnsi="Times New Roman" w:cs="Times New Roman"/>
        </w:rPr>
        <w:fldChar w:fldCharType="end"/>
      </w:r>
      <w:r w:rsidR="00BE7825" w:rsidRPr="009B2CDA">
        <w:rPr>
          <w:rFonts w:ascii="Times New Roman" w:hAnsi="Times New Roman" w:cs="Times New Roman"/>
        </w:rPr>
        <w:t xml:space="preserve">. </w:t>
      </w:r>
      <w:r w:rsidR="006436D7" w:rsidRPr="009B2CDA">
        <w:rPr>
          <w:rFonts w:ascii="Times New Roman" w:hAnsi="Times New Roman" w:cs="Times New Roman"/>
        </w:rPr>
        <w:t>T</w:t>
      </w:r>
      <w:r w:rsidR="00BE7825" w:rsidRPr="009B2CDA">
        <w:rPr>
          <w:rFonts w:ascii="Times New Roman" w:hAnsi="Times New Roman" w:cs="Times New Roman"/>
        </w:rPr>
        <w:t>he muscle groups assessed during the SF strength assessment are the same muscles activated during the</w:t>
      </w:r>
      <w:r w:rsidR="00D0016D" w:rsidRPr="009B2CDA">
        <w:rPr>
          <w:rFonts w:ascii="Times New Roman" w:hAnsi="Times New Roman" w:cs="Times New Roman"/>
        </w:rPr>
        <w:t xml:space="preserve"> primary movement </w:t>
      </w:r>
      <w:r w:rsidRPr="009B2CDA">
        <w:rPr>
          <w:rFonts w:ascii="Times New Roman" w:hAnsi="Times New Roman" w:cs="Times New Roman"/>
        </w:rPr>
        <w:t xml:space="preserve">pattern </w:t>
      </w:r>
      <w:r w:rsidR="00043FB5" w:rsidRPr="009B2CDA">
        <w:rPr>
          <w:rFonts w:ascii="Times New Roman" w:hAnsi="Times New Roman" w:cs="Times New Roman"/>
        </w:rPr>
        <w:t>of</w:t>
      </w:r>
      <w:r w:rsidR="00D0016D" w:rsidRPr="009B2CDA">
        <w:rPr>
          <w:rFonts w:ascii="Times New Roman" w:hAnsi="Times New Roman" w:cs="Times New Roman"/>
        </w:rPr>
        <w:t xml:space="preserve"> </w:t>
      </w:r>
      <w:r w:rsidR="00F4730F" w:rsidRPr="009B2CDA">
        <w:rPr>
          <w:rFonts w:ascii="Times New Roman" w:hAnsi="Times New Roman" w:cs="Times New Roman"/>
        </w:rPr>
        <w:t>mov</w:t>
      </w:r>
      <w:r w:rsidR="00043FB5" w:rsidRPr="009B2CDA">
        <w:rPr>
          <w:rFonts w:ascii="Times New Roman" w:hAnsi="Times New Roman" w:cs="Times New Roman"/>
        </w:rPr>
        <w:t>ing</w:t>
      </w:r>
      <w:r w:rsidR="00D0016D" w:rsidRPr="009B2CDA">
        <w:rPr>
          <w:rFonts w:ascii="Times New Roman" w:hAnsi="Times New Roman" w:cs="Times New Roman"/>
        </w:rPr>
        <w:t xml:space="preserve"> the arms into the </w:t>
      </w:r>
      <w:r w:rsidR="0021031D" w:rsidRPr="009B2CDA">
        <w:rPr>
          <w:rFonts w:ascii="Times New Roman" w:hAnsi="Times New Roman" w:cs="Times New Roman"/>
        </w:rPr>
        <w:t xml:space="preserve">pre-impact </w:t>
      </w:r>
      <w:r w:rsidR="00D0016D" w:rsidRPr="009B2CDA">
        <w:rPr>
          <w:rFonts w:ascii="Times New Roman" w:hAnsi="Times New Roman" w:cs="Times New Roman"/>
        </w:rPr>
        <w:t>brac</w:t>
      </w:r>
      <w:r w:rsidRPr="009B2CDA">
        <w:rPr>
          <w:rFonts w:ascii="Times New Roman" w:hAnsi="Times New Roman" w:cs="Times New Roman"/>
        </w:rPr>
        <w:t>e</w:t>
      </w:r>
      <w:r w:rsidR="00F4730F" w:rsidRPr="009B2CDA">
        <w:rPr>
          <w:rFonts w:ascii="Times New Roman" w:hAnsi="Times New Roman" w:cs="Times New Roman"/>
        </w:rPr>
        <w:t xml:space="preserve"> position</w:t>
      </w:r>
      <w:r w:rsidRPr="009B2CDA">
        <w:rPr>
          <w:rFonts w:ascii="Times New Roman" w:hAnsi="Times New Roman" w:cs="Times New Roman"/>
        </w:rPr>
        <w:t xml:space="preserve"> </w:t>
      </w:r>
      <w:r w:rsidR="00CB5A2B" w:rsidRPr="009B2CDA">
        <w:rPr>
          <w:rFonts w:ascii="Times New Roman" w:hAnsi="Times New Roman" w:cs="Times New Roman"/>
        </w:rPr>
        <w:t xml:space="preserve">in preparation for </w:t>
      </w:r>
      <w:r w:rsidRPr="009B2CDA">
        <w:rPr>
          <w:rFonts w:ascii="Times New Roman" w:hAnsi="Times New Roman" w:cs="Times New Roman"/>
        </w:rPr>
        <w:t>a forward fall</w:t>
      </w:r>
      <w:r w:rsidR="00CB5A2B" w:rsidRPr="009B2CDA">
        <w:rPr>
          <w:rFonts w:ascii="Times New Roman" w:hAnsi="Times New Roman" w:cs="Times New Roman"/>
        </w:rPr>
        <w:t xml:space="preserve"> impact</w:t>
      </w:r>
      <w:r w:rsidR="009C0BA4">
        <w:rPr>
          <w:rFonts w:ascii="Times New Roman" w:hAnsi="Times New Roman" w:cs="Times New Roman"/>
        </w:rPr>
        <w:t xml:space="preserve"> </w:t>
      </w:r>
      <w:r w:rsidR="009C0BA4">
        <w:rPr>
          <w:rFonts w:ascii="Times New Roman" w:hAnsi="Times New Roman" w:cs="Times New Roman"/>
        </w:rPr>
        <w:fldChar w:fldCharType="begin" w:fldLock="1"/>
      </w:r>
      <w:r w:rsidR="009F77E5">
        <w:rPr>
          <w:rFonts w:ascii="Times New Roman" w:hAnsi="Times New Roman" w:cs="Times New Roman"/>
        </w:rPr>
        <w:instrText>ADDIN CSL_CITATION {"citationItems":[{"id":"ITEM-1","itemData":{"DOI":"10.1016/j.jelekin.2016.08.001","ISSN":"10506411","author":[{"dropping-particle":"","family":"Lattimer","given":"Lauren J.","non-dropping-particle":"","parse-names":false,"suffix":""},{"dropping-particle":"","family":"Lanovaz","given":"Joel L.","non-dropping-particle":"","parse-names":false,"suffix":""},{"dropping-particle":"","family":"Farthing","given":"Jonathan P.","non-dropping-particle":"","parse-names":false,"suffix":""},{"dropping-particle":"","family":"Madill","given":"Stéphanie","non-dropping-particle":"","parse-names":false,"suffix":""},{"dropping-particle":"","family":"Kim","given":"Soo","non-dropping-particle":"","parse-names":false,"suffix":""},{"dropping-particle":"","family":"Arnold","given":"Cathy","non-dropping-particle":"","parse-names":false,"suffix":""}],"container-title":"Journal of Electromyography and Kinesiology","id":"ITEM-1","issued":{"date-parts":[["2016","10"]]},"page":"231-237","title":"Upper limb and trunk muscle activation during an unexpected descent on the outstretched hands in young and older women","type":"article-journal","volume":"30"},"uris":["http://www.mendeley.com/documents/?uuid=91528576-8b2e-3f27-83f1-19f9b8c224e1"]}],"mendeley":{"formattedCitation":"(Lattimer et al., 2016)","plainTextFormattedCitation":"(Lattimer et al., 2016)","previouslyFormattedCitation":"(Lattimer et al., 2016)"},"properties":{"noteIndex":0},"schema":"https://github.com/citation-style-language/schema/raw/master/csl-citation.json"}</w:instrText>
      </w:r>
      <w:r w:rsidR="009C0BA4">
        <w:rPr>
          <w:rFonts w:ascii="Times New Roman" w:hAnsi="Times New Roman" w:cs="Times New Roman"/>
        </w:rPr>
        <w:fldChar w:fldCharType="separate"/>
      </w:r>
      <w:r w:rsidR="009C0BA4" w:rsidRPr="009C0BA4">
        <w:rPr>
          <w:rFonts w:ascii="Times New Roman" w:hAnsi="Times New Roman" w:cs="Times New Roman"/>
          <w:noProof/>
        </w:rPr>
        <w:t>(Lattimer et al., 2016)</w:t>
      </w:r>
      <w:r w:rsidR="009C0BA4">
        <w:rPr>
          <w:rFonts w:ascii="Times New Roman" w:hAnsi="Times New Roman" w:cs="Times New Roman"/>
        </w:rPr>
        <w:fldChar w:fldCharType="end"/>
      </w:r>
      <w:r w:rsidR="00D0016D" w:rsidRPr="009B2CDA">
        <w:rPr>
          <w:rFonts w:ascii="Times New Roman" w:hAnsi="Times New Roman" w:cs="Times New Roman"/>
        </w:rPr>
        <w:t>.</w:t>
      </w:r>
      <w:r w:rsidRPr="009B2CDA">
        <w:rPr>
          <w:rFonts w:ascii="Times New Roman" w:hAnsi="Times New Roman" w:cs="Times New Roman"/>
        </w:rPr>
        <w:t xml:space="preserve"> </w:t>
      </w:r>
      <w:r w:rsidR="00FD2B77" w:rsidRPr="00862598">
        <w:rPr>
          <w:rFonts w:ascii="Times New Roman" w:hAnsi="Times New Roman" w:cs="Times New Roman"/>
        </w:rPr>
        <w:t>The participants in this study with stronger SF strength exhibited faster MT, this relationship indicated a stronger SF by one-kilogram was associated to a decrease in MT by 4%.</w:t>
      </w:r>
      <w:r w:rsidR="00BE7825" w:rsidRPr="00862598">
        <w:rPr>
          <w:rFonts w:ascii="Times New Roman" w:hAnsi="Times New Roman" w:cs="Times New Roman"/>
        </w:rPr>
        <w:t xml:space="preserve"> This may have </w:t>
      </w:r>
      <w:r w:rsidR="00D026E6" w:rsidRPr="00862598">
        <w:rPr>
          <w:rFonts w:ascii="Times New Roman" w:hAnsi="Times New Roman" w:cs="Times New Roman"/>
        </w:rPr>
        <w:t>potential</w:t>
      </w:r>
      <w:r w:rsidR="00BE7825" w:rsidRPr="009B2CDA">
        <w:rPr>
          <w:rFonts w:ascii="Times New Roman" w:hAnsi="Times New Roman" w:cs="Times New Roman"/>
        </w:rPr>
        <w:t xml:space="preserve"> imp</w:t>
      </w:r>
      <w:r w:rsidR="00334286" w:rsidRPr="009B2CDA">
        <w:rPr>
          <w:rFonts w:ascii="Times New Roman" w:hAnsi="Times New Roman" w:cs="Times New Roman"/>
        </w:rPr>
        <w:t>lications</w:t>
      </w:r>
      <w:r w:rsidR="00BE7825" w:rsidRPr="009B2CDA">
        <w:rPr>
          <w:rFonts w:ascii="Times New Roman" w:hAnsi="Times New Roman" w:cs="Times New Roman"/>
        </w:rPr>
        <w:t xml:space="preserve"> for those engaging in fall prevention program</w:t>
      </w:r>
      <w:r w:rsidR="00A018EB" w:rsidRPr="009B2CDA">
        <w:rPr>
          <w:rFonts w:ascii="Times New Roman" w:hAnsi="Times New Roman" w:cs="Times New Roman"/>
        </w:rPr>
        <w:t xml:space="preserve"> prescription</w:t>
      </w:r>
      <w:r w:rsidR="00BE7825" w:rsidRPr="009B2CDA">
        <w:rPr>
          <w:rFonts w:ascii="Times New Roman" w:hAnsi="Times New Roman" w:cs="Times New Roman"/>
        </w:rPr>
        <w:t xml:space="preserve"> with an upper extremity strength training component. </w:t>
      </w:r>
      <w:r w:rsidR="0021031D" w:rsidRPr="009B2CDA">
        <w:rPr>
          <w:rFonts w:ascii="Times New Roman" w:hAnsi="Times New Roman" w:cs="Times New Roman"/>
        </w:rPr>
        <w:t xml:space="preserve">Implementing SF strength exercises into a fall prevention programming routine may have a positive impact on an older </w:t>
      </w:r>
      <w:r w:rsidR="00DF6E78" w:rsidRPr="00862598">
        <w:rPr>
          <w:rFonts w:ascii="Times New Roman" w:hAnsi="Times New Roman" w:cs="Times New Roman"/>
        </w:rPr>
        <w:t>female participant</w:t>
      </w:r>
      <w:r w:rsidR="0021031D" w:rsidRPr="00862598">
        <w:rPr>
          <w:rFonts w:ascii="Times New Roman" w:hAnsi="Times New Roman" w:cs="Times New Roman"/>
        </w:rPr>
        <w:t>’s</w:t>
      </w:r>
      <w:r w:rsidR="0021031D" w:rsidRPr="009B2CDA">
        <w:rPr>
          <w:rFonts w:ascii="Times New Roman" w:hAnsi="Times New Roman" w:cs="Times New Roman"/>
        </w:rPr>
        <w:t xml:space="preserve"> pre-impact </w:t>
      </w:r>
      <w:r w:rsidR="00FC05F8" w:rsidRPr="009B2CDA">
        <w:rPr>
          <w:rFonts w:ascii="Times New Roman" w:hAnsi="Times New Roman" w:cs="Times New Roman"/>
        </w:rPr>
        <w:t xml:space="preserve">protective arm movement </w:t>
      </w:r>
      <w:r w:rsidR="0021031D" w:rsidRPr="009B2CDA">
        <w:rPr>
          <w:rFonts w:ascii="Times New Roman" w:hAnsi="Times New Roman" w:cs="Times New Roman"/>
        </w:rPr>
        <w:t xml:space="preserve">strategy MT. </w:t>
      </w:r>
    </w:p>
    <w:p w14:paraId="37093043" w14:textId="7284E976" w:rsidR="006436D7" w:rsidRPr="009B2CDA" w:rsidRDefault="006436D7" w:rsidP="00A33C2E">
      <w:pPr>
        <w:spacing w:line="480" w:lineRule="auto"/>
        <w:ind w:firstLine="720"/>
        <w:rPr>
          <w:rFonts w:ascii="Times New Roman" w:hAnsi="Times New Roman" w:cs="Times New Roman"/>
        </w:rPr>
      </w:pPr>
      <w:r w:rsidRPr="009B2CDA">
        <w:rPr>
          <w:rFonts w:ascii="Times New Roman" w:hAnsi="Times New Roman" w:cs="Times New Roman"/>
        </w:rPr>
        <w:t>After a fall initiation,</w:t>
      </w:r>
      <w:r w:rsidR="00B31424" w:rsidRPr="009B2CDA">
        <w:rPr>
          <w:rFonts w:ascii="Times New Roman" w:hAnsi="Times New Roman" w:cs="Times New Roman"/>
        </w:rPr>
        <w:t xml:space="preserve"> in young adults,</w:t>
      </w:r>
      <w:r w:rsidRPr="009B2CDA">
        <w:rPr>
          <w:rFonts w:ascii="Times New Roman" w:hAnsi="Times New Roman" w:cs="Times New Roman"/>
        </w:rPr>
        <w:t xml:space="preserve"> </w:t>
      </w:r>
      <w:r w:rsidR="004F202A" w:rsidRPr="009B2CDA">
        <w:rPr>
          <w:rFonts w:ascii="Times New Roman" w:hAnsi="Times New Roman" w:cs="Times New Roman"/>
        </w:rPr>
        <w:t>hand</w:t>
      </w:r>
      <w:r w:rsidRPr="009B2CDA">
        <w:rPr>
          <w:rFonts w:ascii="Times New Roman" w:hAnsi="Times New Roman" w:cs="Times New Roman"/>
        </w:rPr>
        <w:t xml:space="preserve"> impact with the ground </w:t>
      </w:r>
      <w:r w:rsidR="00ED1646" w:rsidRPr="009B2CDA">
        <w:rPr>
          <w:rFonts w:ascii="Times New Roman" w:hAnsi="Times New Roman" w:cs="Times New Roman"/>
        </w:rPr>
        <w:t xml:space="preserve">generally </w:t>
      </w:r>
      <w:r w:rsidRPr="009B2CDA">
        <w:rPr>
          <w:rFonts w:ascii="Times New Roman" w:hAnsi="Times New Roman" w:cs="Times New Roman"/>
        </w:rPr>
        <w:t xml:space="preserve">occurs </w:t>
      </w:r>
      <w:r w:rsidR="00ED1646" w:rsidRPr="009B2CDA">
        <w:rPr>
          <w:rFonts w:ascii="Times New Roman" w:hAnsi="Times New Roman" w:cs="Times New Roman"/>
        </w:rPr>
        <w:t>within 550 to 800 ms</w:t>
      </w:r>
      <w:r w:rsidR="00043FB5" w:rsidRPr="009B2CDA">
        <w:rPr>
          <w:rFonts w:ascii="Times New Roman" w:hAnsi="Times New Roman" w:cs="Times New Roman"/>
        </w:rPr>
        <w:t>,</w:t>
      </w:r>
      <w:r w:rsidR="00ED1646" w:rsidRPr="009B2CDA">
        <w:rPr>
          <w:rFonts w:ascii="Times New Roman" w:hAnsi="Times New Roman" w:cs="Times New Roman"/>
        </w:rPr>
        <w:t xml:space="preserve"> with an average of</w:t>
      </w:r>
      <w:r w:rsidRPr="009B2CDA">
        <w:rPr>
          <w:rFonts w:ascii="Times New Roman" w:hAnsi="Times New Roman" w:cs="Times New Roman"/>
        </w:rPr>
        <w:t xml:space="preserve"> 680 ms</w:t>
      </w:r>
      <w:r w:rsidR="00ED1646" w:rsidRPr="009B2CDA">
        <w:rPr>
          <w:rFonts w:ascii="Times New Roman" w:hAnsi="Times New Roman" w:cs="Times New Roman"/>
        </w:rPr>
        <w:t xml:space="preserve"> </w:t>
      </w:r>
      <w:r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{"citationItems":[{"id":"ITEM-1","itemData":{"DOI":"https://doi.org/10.1016/S0021-9290(97)00114-0","abstract":"Simple energy considerations suggest that any fall from standing height has the potential to cause hip fracture. However, only 1—2% of falls among the elderly actually result in hip fracture, and less than 10% cause serious injury. This suggests that highly effective movement strategies exist for preventing injury during a fall. To determine the nature of these, we measured body segment movements as subjects (aged 22—35 yr) stood upon a gymnasium mattress and attempted to prevent themselves from falling after the mattress was made to translate abruptly. Subjects were more than twice as likely to fall after anterior translations of the feet, when compared to posterior or lateral translations. In falls which resulted in impact to the pelvis, a complex sequence of upper extremity movements allowed subjects to impact their wrist at nearly the same instant as the pelvis (average time interval between contacts\"38 ms), suggesting a sharing of contact energy between the two body parts. Finally, marked trunk rotation was exhibited in falls due to lateral (but not anterior or posterior) perturbations, resulting in the avoidance of impact to the lateral aspect of the hip. These results suggest that body segment movements during falls, rather than being random and unpredictable, involve a repeatable series of responses which facilitate safe landing.","author":[{"dropping-particle":"","family":"Hsiao","given":"E T","non-dropping-particle":"","parse-names":false,"suffix":""},{"dropping-particle":"","family":"Robinovitch","given":"S N","non-dropping-particle":"","parse-names":false,"suffix":""}],"container-title":"Journal of Biomechanics 31","id":"ITEM-1","issued":{"date-parts":[["1998"]]},"page":"1-9","title":"Common protective movements govern unexpected falls from standing height","type":"article-journal","volume":"31"},"uris":["http://www.mendeley.com/documents/?uuid=c0c08b58-bd4e-4543-be8c-2c681cef19c6"]}],"mendeley":{"formattedCitation":"(Hsiao &amp; Robinovitch, 1998)","plainTextFormattedCitation":"(Hsiao &amp; Robinovitch, 1998)","previouslyFormattedCitation":"(Hsiao &amp; Robinovitch, 1998)"},"properties":{"noteIndex":0},"schema":"https://github.com/citation-style-language/schema/raw/master/csl-citation.json"}</w:instrText>
      </w:r>
      <w:r w:rsidRPr="009B2CDA">
        <w:rPr>
          <w:rFonts w:ascii="Times New Roman" w:hAnsi="Times New Roman" w:cs="Times New Roman"/>
        </w:rPr>
        <w:fldChar w:fldCharType="separate"/>
      </w:r>
      <w:r w:rsidR="005B5832" w:rsidRPr="009B2CDA">
        <w:rPr>
          <w:rFonts w:ascii="Times New Roman" w:hAnsi="Times New Roman" w:cs="Times New Roman"/>
          <w:noProof/>
        </w:rPr>
        <w:t>(Hsiao &amp; Robinovitch, 1998)</w:t>
      </w:r>
      <w:r w:rsidRPr="009B2CDA">
        <w:rPr>
          <w:rFonts w:ascii="Times New Roman" w:hAnsi="Times New Roman" w:cs="Times New Roman"/>
        </w:rPr>
        <w:fldChar w:fldCharType="end"/>
      </w:r>
      <w:r w:rsidRPr="009B2CDA">
        <w:rPr>
          <w:rFonts w:ascii="Times New Roman" w:hAnsi="Times New Roman" w:cs="Times New Roman"/>
        </w:rPr>
        <w:t>. Within th</w:t>
      </w:r>
      <w:r w:rsidR="00043FB5" w:rsidRPr="009B2CDA">
        <w:rPr>
          <w:rFonts w:ascii="Times New Roman" w:hAnsi="Times New Roman" w:cs="Times New Roman"/>
        </w:rPr>
        <w:t xml:space="preserve">e present </w:t>
      </w:r>
      <w:r w:rsidRPr="009B2CDA">
        <w:rPr>
          <w:rFonts w:ascii="Times New Roman" w:hAnsi="Times New Roman" w:cs="Times New Roman"/>
        </w:rPr>
        <w:t xml:space="preserve">study, 16% (12/75) of older </w:t>
      </w:r>
      <w:r w:rsidR="00DF6E78" w:rsidRPr="00862598">
        <w:rPr>
          <w:rFonts w:ascii="Times New Roman" w:hAnsi="Times New Roman" w:cs="Times New Roman"/>
        </w:rPr>
        <w:t>participants</w:t>
      </w:r>
      <w:r w:rsidRPr="00862598">
        <w:rPr>
          <w:rFonts w:ascii="Times New Roman" w:hAnsi="Times New Roman" w:cs="Times New Roman"/>
        </w:rPr>
        <w:t xml:space="preserve"> e</w:t>
      </w:r>
      <w:r w:rsidRPr="009B2CDA">
        <w:rPr>
          <w:rFonts w:ascii="Times New Roman" w:hAnsi="Times New Roman" w:cs="Times New Roman"/>
        </w:rPr>
        <w:t>xceed th</w:t>
      </w:r>
      <w:r w:rsidR="00CD6DC1" w:rsidRPr="009B2CDA">
        <w:rPr>
          <w:rFonts w:ascii="Times New Roman" w:hAnsi="Times New Roman" w:cs="Times New Roman"/>
        </w:rPr>
        <w:t>e hand impact</w:t>
      </w:r>
      <w:r w:rsidRPr="009B2CDA">
        <w:rPr>
          <w:rFonts w:ascii="Times New Roman" w:hAnsi="Times New Roman" w:cs="Times New Roman"/>
        </w:rPr>
        <w:t xml:space="preserve"> time threshold</w:t>
      </w:r>
      <w:r w:rsidR="00CD6DC1" w:rsidRPr="009B2CDA">
        <w:rPr>
          <w:rFonts w:ascii="Times New Roman" w:hAnsi="Times New Roman" w:cs="Times New Roman"/>
        </w:rPr>
        <w:t xml:space="preserve"> exhibited by younger individuals</w:t>
      </w:r>
      <w:r w:rsidRPr="009B2CDA">
        <w:rPr>
          <w:rFonts w:ascii="Times New Roman" w:hAnsi="Times New Roman" w:cs="Times New Roman"/>
        </w:rPr>
        <w:t>, suggesting in the event of a real fall the</w:t>
      </w:r>
      <w:r w:rsidR="00CD6DC1" w:rsidRPr="009B2CDA">
        <w:rPr>
          <w:rFonts w:ascii="Times New Roman" w:hAnsi="Times New Roman" w:cs="Times New Roman"/>
        </w:rPr>
        <w:t xml:space="preserve"> older</w:t>
      </w:r>
      <w:r w:rsidR="00DF6E78" w:rsidRPr="001F4078">
        <w:rPr>
          <w:rFonts w:ascii="Times New Roman" w:hAnsi="Times New Roman" w:cs="Times New Roman"/>
          <w:b/>
        </w:rPr>
        <w:t xml:space="preserve"> </w:t>
      </w:r>
      <w:r w:rsidR="00DF6E78" w:rsidRPr="00862598">
        <w:rPr>
          <w:rFonts w:ascii="Times New Roman" w:hAnsi="Times New Roman" w:cs="Times New Roman"/>
        </w:rPr>
        <w:t>participants</w:t>
      </w:r>
      <w:r w:rsidRPr="00862598">
        <w:rPr>
          <w:rFonts w:ascii="Times New Roman" w:hAnsi="Times New Roman" w:cs="Times New Roman"/>
        </w:rPr>
        <w:t xml:space="preserve"> w</w:t>
      </w:r>
      <w:r w:rsidRPr="009B2CDA">
        <w:rPr>
          <w:rFonts w:ascii="Times New Roman" w:hAnsi="Times New Roman" w:cs="Times New Roman"/>
        </w:rPr>
        <w:t xml:space="preserve">ould be unable to respond and reposition their arms in an appropriate </w:t>
      </w:r>
      <w:r w:rsidR="001C47F9" w:rsidRPr="009B2CDA">
        <w:rPr>
          <w:rFonts w:ascii="Times New Roman" w:hAnsi="Times New Roman" w:cs="Times New Roman"/>
        </w:rPr>
        <w:t xml:space="preserve">pre-impact </w:t>
      </w:r>
      <w:r w:rsidRPr="009B2CDA">
        <w:rPr>
          <w:rFonts w:ascii="Times New Roman" w:hAnsi="Times New Roman" w:cs="Times New Roman"/>
        </w:rPr>
        <w:t xml:space="preserve">protective manner to arrest the fall impact. </w:t>
      </w:r>
      <w:r w:rsidR="004A1EE4" w:rsidRPr="00862598">
        <w:rPr>
          <w:rFonts w:ascii="Times New Roman" w:hAnsi="Times New Roman" w:cs="Times New Roman"/>
        </w:rPr>
        <w:t xml:space="preserve">The </w:t>
      </w:r>
      <w:r w:rsidR="00117BD2" w:rsidRPr="00862598">
        <w:rPr>
          <w:rFonts w:ascii="Times New Roman" w:hAnsi="Times New Roman" w:cs="Times New Roman"/>
        </w:rPr>
        <w:t xml:space="preserve">slower overall times exhibited by these individuals appear to be due to slower MT, with an average MT of 0.542 ms and an average RT of 0.242 ms. </w:t>
      </w:r>
      <w:r w:rsidRPr="00862598">
        <w:rPr>
          <w:rFonts w:ascii="Times New Roman" w:hAnsi="Times New Roman" w:cs="Times New Roman"/>
        </w:rPr>
        <w:t xml:space="preserve">In </w:t>
      </w:r>
      <w:r w:rsidRPr="009B2CDA">
        <w:rPr>
          <w:rFonts w:ascii="Times New Roman" w:hAnsi="Times New Roman" w:cs="Times New Roman"/>
        </w:rPr>
        <w:t xml:space="preserve">addition to this, </w:t>
      </w:r>
      <w:r w:rsidR="00EF1035" w:rsidRPr="009B2CDA">
        <w:rPr>
          <w:rFonts w:ascii="Times New Roman" w:hAnsi="Times New Roman" w:cs="Times New Roman"/>
        </w:rPr>
        <w:lastRenderedPageBreak/>
        <w:t xml:space="preserve">pre-impact </w:t>
      </w:r>
      <w:r w:rsidRPr="009B2CDA">
        <w:rPr>
          <w:rFonts w:ascii="Times New Roman" w:hAnsi="Times New Roman" w:cs="Times New Roman"/>
        </w:rPr>
        <w:t xml:space="preserve">arm </w:t>
      </w:r>
      <w:r w:rsidR="00C12D4C" w:rsidRPr="009B2CDA">
        <w:rPr>
          <w:rFonts w:ascii="Times New Roman" w:hAnsi="Times New Roman" w:cs="Times New Roman"/>
        </w:rPr>
        <w:t xml:space="preserve">response </w:t>
      </w:r>
      <w:r w:rsidRPr="009B2CDA">
        <w:rPr>
          <w:rFonts w:ascii="Times New Roman" w:hAnsi="Times New Roman" w:cs="Times New Roman"/>
        </w:rPr>
        <w:t>MT</w:t>
      </w:r>
      <w:r w:rsidR="00043FB5" w:rsidRPr="009B2CDA">
        <w:rPr>
          <w:rFonts w:ascii="Times New Roman" w:hAnsi="Times New Roman" w:cs="Times New Roman"/>
        </w:rPr>
        <w:t xml:space="preserve"> (</w:t>
      </w:r>
      <w:r w:rsidR="00EF1035" w:rsidRPr="009B2CDA">
        <w:rPr>
          <w:rFonts w:ascii="Times New Roman" w:hAnsi="Times New Roman" w:cs="Times New Roman"/>
        </w:rPr>
        <w:t xml:space="preserve">from the initiation of movement to </w:t>
      </w:r>
      <w:r w:rsidR="006A09BE" w:rsidRPr="009B2CDA">
        <w:rPr>
          <w:rFonts w:ascii="Times New Roman" w:hAnsi="Times New Roman" w:cs="Times New Roman"/>
        </w:rPr>
        <w:t>impact</w:t>
      </w:r>
      <w:r w:rsidR="00043FB5" w:rsidRPr="009B2CDA">
        <w:rPr>
          <w:rFonts w:ascii="Times New Roman" w:hAnsi="Times New Roman" w:cs="Times New Roman"/>
        </w:rPr>
        <w:t>)</w:t>
      </w:r>
      <w:r w:rsidRPr="009B2CDA">
        <w:rPr>
          <w:rFonts w:ascii="Times New Roman" w:hAnsi="Times New Roman" w:cs="Times New Roman"/>
        </w:rPr>
        <w:t xml:space="preserve"> has been shown to take between 220-550 ms</w:t>
      </w:r>
      <w:r w:rsidR="00A76B1F" w:rsidRPr="009B2CDA">
        <w:rPr>
          <w:rFonts w:ascii="Times New Roman" w:hAnsi="Times New Roman" w:cs="Times New Roman"/>
        </w:rPr>
        <w:t xml:space="preserve"> in </w:t>
      </w:r>
      <w:r w:rsidR="00CD6DC1" w:rsidRPr="009B2CDA">
        <w:rPr>
          <w:rFonts w:ascii="Times New Roman" w:hAnsi="Times New Roman" w:cs="Times New Roman"/>
        </w:rPr>
        <w:t>older</w:t>
      </w:r>
      <w:r w:rsidR="00A76B1F" w:rsidRPr="009B2CDA">
        <w:rPr>
          <w:rFonts w:ascii="Times New Roman" w:hAnsi="Times New Roman" w:cs="Times New Roman"/>
        </w:rPr>
        <w:t xml:space="preserve"> adults</w:t>
      </w:r>
      <w:r w:rsidRPr="009B2CDA">
        <w:rPr>
          <w:rFonts w:ascii="Times New Roman" w:hAnsi="Times New Roman" w:cs="Times New Roman"/>
        </w:rPr>
        <w:t xml:space="preserve"> </w:t>
      </w:r>
      <w:r w:rsidRPr="009B2CDA">
        <w:rPr>
          <w:rFonts w:ascii="Times New Roman" w:hAnsi="Times New Roman" w:cs="Times New Roman"/>
        </w:rPr>
        <w:fldChar w:fldCharType="begin" w:fldLock="1"/>
      </w:r>
      <w:r w:rsidR="00035D59" w:rsidRPr="009B2CDA">
        <w:rPr>
          <w:rFonts w:ascii="Times New Roman" w:hAnsi="Times New Roman" w:cs="Times New Roman"/>
        </w:rPr>
        <w:instrText>ADDIN CSL_CITATION {"citationItems":[{"id":"ITEM-1","itemData":{"DOI":"60/12/1553 [pii]","ISBN":"1079-5006 (Print)\\n1079-5006 (Linking)","ISSN":"1079-5006","PMID":"16424287","abstract":"BACKGROUND: Risk for hip fracture during a fall is reduced by contacting the ground first with the outstretched hands. However, it is unclear whether the time required for young and elderly individuals to move the hands into a protective position exceeds that available during a typical fall. METHODS: We tested whether young (n = 30; aged 18-35 years) and elderly women (n = 30; aged 70-88 years) differed in the time required to move their hands into a protective position for breaking a fall. Participants stood either facing or sideways to shoulder-height targets (simulating forward and sideways falls, respectively), which they were instructed to contact as quickly as possible after hearing an aural go cue. Total contact time was partitioned into reaction time and movement time. RESULTS: Young women contacted the targets faster than elderly women in both forward (530 +/- 60 vs 615 +/- 88 ms; p &lt;.001) and sideways trials (658 +/- 80 vs 799 +/- 145 ms; p &lt;.001). This difference was due to faster movement times for young participants. There was no difference between groups in reaction time. CONCLUSIONS: Previous studies have shown that during actual falls from standing, wrist and pelvis contact occur at 680 +/- 116 and 715 +/- 160 ms, respectively. Comparing these values to our results suggests that the typical elderly woman should be able to move her hands quickly enough to break a forward fall, but not a sideways fall.","author":[{"dropping-particle":"","family":"Robinovitch","given":"Stephen N","non-dropping-particle":"","parse-names":false,"suffix":""},{"dropping-particle":"","family":"Normandin","given":"Sarah C","non-dropping-particle":"","parse-names":false,"suffix":""},{"dropping-particle":"","family":"Stotz","given":"Paula","non-dropping-particle":"","parse-names":false,"suffix":""},{"dropping-particle":"","family":"Maurer","given":"Jessica D","non-dropping-particle":"","parse-names":false,"suffix":""}],"container-title":"The journals of gerontology. Series A, Biological sciences and medical sciences","id":"ITEM-1","issue":"12","issued":{"date-parts":[["2005"]]},"page":"1553-1557","title":"Time requirement for young and elderly women to move into a position for breaking a fall with outstretched hands.","type":"article-journal","volume":"60"},"uris":["http://www.mendeley.com/documents/?uuid=4d42e289-8bff-4c16-af86-25c47e9f82c8"]},{"id":"ITEM-2","itemData":{"DOI":"10.1093/gerona/56.9.M584","ISSN":"1079-5006","author":[{"dropping-particle":"","family":"DeGoede","given":"K. M.","non-dropping-particle":"","parse-names":false,"suffix":""},{"dropping-particle":"","family":"Ashton-Miller","given":"J. A.","non-dropping-particle":"","parse-names":false,"suffix":""},{"dropping-particle":"","family":"Liao","given":"J. M.","non-dropping-particle":"","parse-names":false,"suffix":""},{"dropping-particle":"","family":"Alexander","given":"N. B.","non-dropping-particle":"","parse-names":false,"suffix":""}],"container-title":"The Journals of Gerontology Series A: Biological Sciences and Medical Sciences","id":"ITEM-2","issue":"9","issued":{"date-parts":[["2001","9","1"]]},"page":"M584-M588","publisher":"Oxford University Press","title":"How quickly can healthy adults move their hands to intercept an approaching object? Age and gender effects","type":"article-journal","volume":"56"},"uris":["http://www.mendeley.com/documents/?uuid=b6e49141-3166-3e5c-964c-cc89ac938775"]}],"mendeley":{"formattedCitation":"(K. M. DeGoede et al., 2001; Robinovitch et al., 2005)","manualFormatting":"(DeGoede et al., 2001; Robinovitch et al., 2005)","plainTextFormattedCitation":"(K. M. DeGoede et al., 2001; Robinovitch et al., 2005)","previouslyFormattedCitation":"(K. M. DeGoede et al., 2001; Robinovitch et al., 2005)"},"properties":{"noteIndex":0},"schema":"https://github.com/citation-style-language/schema/raw/master/csl-citation.json"}</w:instrText>
      </w:r>
      <w:r w:rsidRPr="009B2CDA">
        <w:rPr>
          <w:rFonts w:ascii="Times New Roman" w:hAnsi="Times New Roman" w:cs="Times New Roman"/>
        </w:rPr>
        <w:fldChar w:fldCharType="separate"/>
      </w:r>
      <w:r w:rsidR="005B5832" w:rsidRPr="009B2CDA">
        <w:rPr>
          <w:rFonts w:ascii="Times New Roman" w:hAnsi="Times New Roman" w:cs="Times New Roman"/>
          <w:noProof/>
        </w:rPr>
        <w:t>(DeGoede et al., 2001; Robinovitch et al., 2005)</w:t>
      </w:r>
      <w:r w:rsidRPr="009B2CDA">
        <w:rPr>
          <w:rFonts w:ascii="Times New Roman" w:hAnsi="Times New Roman" w:cs="Times New Roman"/>
        </w:rPr>
        <w:fldChar w:fldCharType="end"/>
      </w:r>
      <w:r w:rsidRPr="009B2CDA">
        <w:rPr>
          <w:rFonts w:ascii="Times New Roman" w:hAnsi="Times New Roman" w:cs="Times New Roman"/>
        </w:rPr>
        <w:t xml:space="preserve">. </w:t>
      </w:r>
      <w:r w:rsidR="008338BE" w:rsidRPr="009B2CDA">
        <w:rPr>
          <w:rFonts w:ascii="Times New Roman" w:hAnsi="Times New Roman" w:cs="Times New Roman"/>
        </w:rPr>
        <w:t>A</w:t>
      </w:r>
      <w:r w:rsidRPr="009B2CDA">
        <w:rPr>
          <w:rFonts w:ascii="Times New Roman" w:hAnsi="Times New Roman" w:cs="Times New Roman"/>
        </w:rPr>
        <w:t xml:space="preserve">ll </w:t>
      </w:r>
      <w:r w:rsidR="00DF6E78" w:rsidRPr="00862598">
        <w:rPr>
          <w:rFonts w:ascii="Times New Roman" w:hAnsi="Times New Roman" w:cs="Times New Roman"/>
        </w:rPr>
        <w:t>participants</w:t>
      </w:r>
      <w:r w:rsidRPr="00862598">
        <w:rPr>
          <w:rFonts w:ascii="Times New Roman" w:hAnsi="Times New Roman" w:cs="Times New Roman"/>
        </w:rPr>
        <w:t xml:space="preserve"> </w:t>
      </w:r>
      <w:r w:rsidR="00CB5E58" w:rsidRPr="00862598">
        <w:rPr>
          <w:rFonts w:ascii="Times New Roman" w:hAnsi="Times New Roman" w:cs="Times New Roman"/>
        </w:rPr>
        <w:t xml:space="preserve">in the current study </w:t>
      </w:r>
      <w:r w:rsidRPr="00862598">
        <w:rPr>
          <w:rFonts w:ascii="Times New Roman" w:hAnsi="Times New Roman" w:cs="Times New Roman"/>
        </w:rPr>
        <w:t>who met</w:t>
      </w:r>
      <w:r w:rsidR="008338BE" w:rsidRPr="00862598">
        <w:rPr>
          <w:rFonts w:ascii="Times New Roman" w:hAnsi="Times New Roman" w:cs="Times New Roman"/>
        </w:rPr>
        <w:t>,</w:t>
      </w:r>
      <w:r w:rsidRPr="00862598">
        <w:rPr>
          <w:rFonts w:ascii="Times New Roman" w:hAnsi="Times New Roman" w:cs="Times New Roman"/>
        </w:rPr>
        <w:t xml:space="preserve"> </w:t>
      </w:r>
      <w:r w:rsidR="00A76B1F" w:rsidRPr="00862598">
        <w:rPr>
          <w:rFonts w:ascii="Times New Roman" w:hAnsi="Times New Roman" w:cs="Times New Roman"/>
        </w:rPr>
        <w:t xml:space="preserve">or were </w:t>
      </w:r>
      <w:r w:rsidR="008338BE" w:rsidRPr="00862598">
        <w:rPr>
          <w:rFonts w:ascii="Times New Roman" w:hAnsi="Times New Roman" w:cs="Times New Roman"/>
        </w:rPr>
        <w:t>quicker</w:t>
      </w:r>
      <w:r w:rsidR="00A76B1F" w:rsidRPr="00862598">
        <w:rPr>
          <w:rFonts w:ascii="Times New Roman" w:hAnsi="Times New Roman" w:cs="Times New Roman"/>
        </w:rPr>
        <w:t xml:space="preserve"> than</w:t>
      </w:r>
      <w:r w:rsidR="008338BE" w:rsidRPr="00862598">
        <w:rPr>
          <w:rFonts w:ascii="Times New Roman" w:hAnsi="Times New Roman" w:cs="Times New Roman"/>
        </w:rPr>
        <w:t>,</w:t>
      </w:r>
      <w:r w:rsidR="00A76B1F" w:rsidRPr="00862598">
        <w:rPr>
          <w:rFonts w:ascii="Times New Roman" w:hAnsi="Times New Roman" w:cs="Times New Roman"/>
        </w:rPr>
        <w:t xml:space="preserve"> </w:t>
      </w:r>
      <w:r w:rsidRPr="00862598">
        <w:rPr>
          <w:rFonts w:ascii="Times New Roman" w:hAnsi="Times New Roman" w:cs="Times New Roman"/>
        </w:rPr>
        <w:t xml:space="preserve">the </w:t>
      </w:r>
      <w:r w:rsidR="00B3505A" w:rsidRPr="00862598">
        <w:rPr>
          <w:rFonts w:ascii="Times New Roman" w:hAnsi="Times New Roman" w:cs="Times New Roman"/>
        </w:rPr>
        <w:t>hand</w:t>
      </w:r>
      <w:r w:rsidRPr="00862598">
        <w:rPr>
          <w:rFonts w:ascii="Times New Roman" w:hAnsi="Times New Roman" w:cs="Times New Roman"/>
        </w:rPr>
        <w:t xml:space="preserve"> impact threshold </w:t>
      </w:r>
      <w:r w:rsidR="00DB123D" w:rsidRPr="00862598">
        <w:rPr>
          <w:rFonts w:ascii="Times New Roman" w:hAnsi="Times New Roman" w:cs="Times New Roman"/>
        </w:rPr>
        <w:t xml:space="preserve">(550 </w:t>
      </w:r>
      <w:r w:rsidR="00DB123D" w:rsidRPr="009B2CDA">
        <w:rPr>
          <w:rFonts w:ascii="Times New Roman" w:hAnsi="Times New Roman" w:cs="Times New Roman"/>
        </w:rPr>
        <w:t xml:space="preserve">to 800 ms) </w:t>
      </w:r>
      <w:r w:rsidRPr="009B2CDA">
        <w:rPr>
          <w:rFonts w:ascii="Times New Roman" w:hAnsi="Times New Roman" w:cs="Times New Roman"/>
        </w:rPr>
        <w:t>were within the MT</w:t>
      </w:r>
      <w:r w:rsidR="00CA0539" w:rsidRPr="009B2CDA">
        <w:rPr>
          <w:rFonts w:ascii="Times New Roman" w:hAnsi="Times New Roman" w:cs="Times New Roman"/>
        </w:rPr>
        <w:t xml:space="preserve"> window reported in</w:t>
      </w:r>
      <w:r w:rsidR="008338BE" w:rsidRPr="009B2CDA">
        <w:rPr>
          <w:rFonts w:ascii="Times New Roman" w:hAnsi="Times New Roman" w:cs="Times New Roman"/>
        </w:rPr>
        <w:t xml:space="preserve"> </w:t>
      </w:r>
      <w:proofErr w:type="spellStart"/>
      <w:r w:rsidR="00C453F3" w:rsidRPr="009B2CDA">
        <w:rPr>
          <w:rFonts w:ascii="Times New Roman" w:hAnsi="Times New Roman" w:cs="Times New Roman"/>
        </w:rPr>
        <w:t>Robinovitch</w:t>
      </w:r>
      <w:proofErr w:type="spellEnd"/>
      <w:r w:rsidR="00CA0539" w:rsidRPr="009B2CDA">
        <w:rPr>
          <w:rFonts w:ascii="Times New Roman" w:hAnsi="Times New Roman" w:cs="Times New Roman"/>
        </w:rPr>
        <w:t xml:space="preserve"> et al</w:t>
      </w:r>
      <w:r w:rsidR="008338BE" w:rsidRPr="009B2CDA">
        <w:rPr>
          <w:rFonts w:ascii="Times New Roman" w:hAnsi="Times New Roman" w:cs="Times New Roman"/>
        </w:rPr>
        <w:t xml:space="preserve">. </w:t>
      </w:r>
      <w:r w:rsidR="008338BE" w:rsidRPr="009B2CDA">
        <w:rPr>
          <w:rFonts w:ascii="Times New Roman" w:hAnsi="Times New Roman" w:cs="Times New Roman"/>
        </w:rPr>
        <w:fldChar w:fldCharType="begin" w:fldLock="1"/>
      </w:r>
      <w:r w:rsidR="00035D59" w:rsidRPr="009B2CDA">
        <w:rPr>
          <w:rFonts w:ascii="Times New Roman" w:hAnsi="Times New Roman" w:cs="Times New Roman"/>
        </w:rPr>
        <w:instrText>ADDIN CSL_CITATION {"citationItems":[{"id":"ITEM-1","itemData":{"DOI":"60/12/1553 [pii]","ISBN":"1079-5006 (Print)\\n1079-5006 (Linking)","ISSN":"1079-5006","PMID":"16424287","abstract":"BACKGROUND: Risk for hip fracture during a fall is reduced by contacting the ground first with the outstretched hands. However, it is unclear whether the time required for young and elderly individuals to move the hands into a protective position exceeds that available during a typical fall. METHODS: We tested whether young (n = 30; aged 18-35 years) and elderly women (n = 30; aged 70-88 years) differed in the time required to move their hands into a protective position for breaking a fall. Participants stood either facing or sideways to shoulder-height targets (simulating forward and sideways falls, respectively), which they were instructed to contact as quickly as possible after hearing an aural go cue. Total contact time was partitioned into reaction time and movement time. RESULTS: Young women contacted the targets faster than elderly women in both forward (530 +/- 60 vs 615 +/- 88 ms; p &lt;.001) and sideways trials (658 +/- 80 vs 799 +/- 145 ms; p &lt;.001). This difference was due to faster movement times for young participants. There was no difference between groups in reaction time. CONCLUSIONS: Previous studies have shown that during actual falls from standing, wrist and pelvis contact occur at 680 +/- 116 and 715 +/- 160 ms, respectively. Comparing these values to our results suggests that the typical elderly woman should be able to move her hands quickly enough to break a forward fall, but not a sideways fall.","author":[{"dropping-particle":"","family":"Robinovitch","given":"Stephen N","non-dropping-particle":"","parse-names":false,"suffix":""},{"dropping-particle":"","family":"Normandin","given":"Sarah C","non-dropping-particle":"","parse-names":false,"suffix":""},{"dropping-particle":"","family":"Stotz","given":"Paula","non-dropping-particle":"","parse-names":false,"suffix":""},{"dropping-particle":"","family":"Maurer","given":"Jessica D","non-dropping-particle":"","parse-names":false,"suffix":""}],"container-title":"The journals of gerontology. Series A, Biological sciences and medical sciences","id":"ITEM-1","issue":"12","issued":{"date-parts":[["2005"]]},"page":"1553-1557","title":"Time requirement for young and elderly women to move into a position for breaking a fall with outstretched hands.","type":"article-journal","volume":"60"},"uris":["http://www.mendeley.com/documents/?uuid=4d42e289-8bff-4c16-af86-25c47e9f82c8"]}],"mendeley":{"formattedCitation":"(Robinovitch et al., 2005)","manualFormatting":"(2005)","plainTextFormattedCitation":"(Robinovitch et al., 2005)","previouslyFormattedCitation":"(Robinovitch et al., 2005)"},"properties":{"noteIndex":0},"schema":"https://github.com/citation-style-language/schema/raw/master/csl-citation.json"}</w:instrText>
      </w:r>
      <w:r w:rsidR="008338BE" w:rsidRPr="009B2CDA">
        <w:rPr>
          <w:rFonts w:ascii="Times New Roman" w:hAnsi="Times New Roman" w:cs="Times New Roman"/>
        </w:rPr>
        <w:fldChar w:fldCharType="separate"/>
      </w:r>
      <w:r w:rsidR="00BB5C78" w:rsidRPr="009B2CDA">
        <w:rPr>
          <w:rFonts w:ascii="Times New Roman" w:hAnsi="Times New Roman" w:cs="Times New Roman"/>
          <w:noProof/>
        </w:rPr>
        <w:t>(2005)</w:t>
      </w:r>
      <w:r w:rsidR="008338BE" w:rsidRPr="009B2CDA">
        <w:rPr>
          <w:rFonts w:ascii="Times New Roman" w:hAnsi="Times New Roman" w:cs="Times New Roman"/>
        </w:rPr>
        <w:fldChar w:fldCharType="end"/>
      </w:r>
      <w:r w:rsidR="008338BE" w:rsidRPr="009B2CDA">
        <w:rPr>
          <w:rFonts w:ascii="Times New Roman" w:hAnsi="Times New Roman" w:cs="Times New Roman"/>
        </w:rPr>
        <w:t xml:space="preserve"> and </w:t>
      </w:r>
      <w:proofErr w:type="spellStart"/>
      <w:r w:rsidR="008338BE" w:rsidRPr="009B2CDA">
        <w:rPr>
          <w:rFonts w:ascii="Times New Roman" w:hAnsi="Times New Roman" w:cs="Times New Roman"/>
        </w:rPr>
        <w:t>DeGoede</w:t>
      </w:r>
      <w:proofErr w:type="spellEnd"/>
      <w:r w:rsidR="008338BE" w:rsidRPr="009B2CDA">
        <w:rPr>
          <w:rFonts w:ascii="Times New Roman" w:hAnsi="Times New Roman" w:cs="Times New Roman"/>
        </w:rPr>
        <w:t xml:space="preserve"> et al</w:t>
      </w:r>
      <w:r w:rsidR="00337699" w:rsidRPr="009B2CDA">
        <w:rPr>
          <w:rFonts w:ascii="Times New Roman" w:hAnsi="Times New Roman" w:cs="Times New Roman"/>
        </w:rPr>
        <w:t>.</w:t>
      </w:r>
      <w:r w:rsidR="008338BE" w:rsidRPr="009B2CDA">
        <w:rPr>
          <w:rFonts w:ascii="Times New Roman" w:hAnsi="Times New Roman" w:cs="Times New Roman"/>
        </w:rPr>
        <w:t xml:space="preserve"> </w:t>
      </w:r>
      <w:r w:rsidR="008338BE" w:rsidRPr="009B2CDA">
        <w:rPr>
          <w:rFonts w:ascii="Times New Roman" w:hAnsi="Times New Roman" w:cs="Times New Roman"/>
        </w:rPr>
        <w:fldChar w:fldCharType="begin" w:fldLock="1"/>
      </w:r>
      <w:r w:rsidR="00035D59" w:rsidRPr="009B2CDA">
        <w:rPr>
          <w:rFonts w:ascii="Times New Roman" w:hAnsi="Times New Roman" w:cs="Times New Roman"/>
        </w:rPr>
        <w:instrText>ADDIN CSL_CITATION {"citationItems":[{"id":"ITEM-1","itemData":{"DOI":"10.1093/gerona/56.9.M584","ISSN":"1079-5006","author":[{"dropping-particle":"","family":"DeGoede","given":"K. M.","non-dropping-particle":"","parse-names":false,"suffix":""},{"dropping-particle":"","family":"Ashton-Miller","given":"J. A.","non-dropping-particle":"","parse-names":false,"suffix":""},{"dropping-particle":"","family":"Liao","given":"J. M.","non-dropping-particle":"","parse-names":false,"suffix":""},{"dropping-particle":"","family":"Alexander","given":"N. B.","non-dropping-particle":"","parse-names":false,"suffix":""}],"container-title":"The Journals of Gerontology Series A: Biological Sciences and Medical Sciences","id":"ITEM-1","issue":"9","issued":{"date-parts":[["2001","9","1"]]},"page":"M584-M588","publisher":"Oxford University Press","title":"How quickly can healthy adults move their hands to intercept an approaching object? Age and gender effects","type":"article-journal","volume":"56"},"uris":["http://www.mendeley.com/documents/?uuid=b6e49141-3166-3e5c-964c-cc89ac938775"]}],"mendeley":{"formattedCitation":"(K. M. DeGoede et al., 2001)","manualFormatting":"(2001)","plainTextFormattedCitation":"(K. M. DeGoede et al., 2001)","previouslyFormattedCitation":"(K. M. DeGoede et al., 2001)"},"properties":{"noteIndex":0},"schema":"https://github.com/citation-style-language/schema/raw/master/csl-citation.json"}</w:instrText>
      </w:r>
      <w:r w:rsidR="008338BE" w:rsidRPr="009B2CDA">
        <w:rPr>
          <w:rFonts w:ascii="Times New Roman" w:hAnsi="Times New Roman" w:cs="Times New Roman"/>
        </w:rPr>
        <w:fldChar w:fldCharType="separate"/>
      </w:r>
      <w:r w:rsidR="005B5832" w:rsidRPr="009B2CDA">
        <w:rPr>
          <w:rFonts w:ascii="Times New Roman" w:hAnsi="Times New Roman" w:cs="Times New Roman"/>
          <w:noProof/>
        </w:rPr>
        <w:t>(2001)</w:t>
      </w:r>
      <w:r w:rsidR="008338BE" w:rsidRPr="009B2CDA">
        <w:rPr>
          <w:rFonts w:ascii="Times New Roman" w:hAnsi="Times New Roman" w:cs="Times New Roman"/>
        </w:rPr>
        <w:fldChar w:fldCharType="end"/>
      </w:r>
      <w:r w:rsidR="008338BE" w:rsidRPr="009B2CDA">
        <w:rPr>
          <w:rFonts w:ascii="Times New Roman" w:hAnsi="Times New Roman" w:cs="Times New Roman"/>
        </w:rPr>
        <w:t>.</w:t>
      </w:r>
      <w:r w:rsidRPr="009B2CDA">
        <w:rPr>
          <w:rFonts w:ascii="Times New Roman" w:hAnsi="Times New Roman" w:cs="Times New Roman"/>
        </w:rPr>
        <w:t xml:space="preserve"> MT appears to be an integral component to achieve </w:t>
      </w:r>
      <w:r w:rsidR="00CA0539" w:rsidRPr="009B2CDA">
        <w:rPr>
          <w:rFonts w:ascii="Times New Roman" w:hAnsi="Times New Roman" w:cs="Times New Roman"/>
        </w:rPr>
        <w:t xml:space="preserve">safe and effective </w:t>
      </w:r>
      <w:r w:rsidRPr="009B2CDA">
        <w:rPr>
          <w:rFonts w:ascii="Times New Roman" w:hAnsi="Times New Roman" w:cs="Times New Roman"/>
        </w:rPr>
        <w:t>arm responses</w:t>
      </w:r>
      <w:r w:rsidR="00CA0539" w:rsidRPr="009B2CDA">
        <w:rPr>
          <w:rFonts w:ascii="Times New Roman" w:hAnsi="Times New Roman" w:cs="Times New Roman"/>
        </w:rPr>
        <w:t xml:space="preserve"> for forward landing</w:t>
      </w:r>
      <w:r w:rsidRPr="009B2CDA">
        <w:rPr>
          <w:rFonts w:ascii="Times New Roman" w:hAnsi="Times New Roman" w:cs="Times New Roman"/>
        </w:rPr>
        <w:t xml:space="preserve">. In agreement with </w:t>
      </w:r>
      <w:proofErr w:type="spellStart"/>
      <w:r w:rsidRPr="009B2CDA">
        <w:rPr>
          <w:rFonts w:ascii="Times New Roman" w:hAnsi="Times New Roman" w:cs="Times New Roman"/>
        </w:rPr>
        <w:t>Robinovitch</w:t>
      </w:r>
      <w:proofErr w:type="spellEnd"/>
      <w:r w:rsidRPr="009B2CDA">
        <w:rPr>
          <w:rFonts w:ascii="Times New Roman" w:hAnsi="Times New Roman" w:cs="Times New Roman"/>
        </w:rPr>
        <w:t xml:space="preserve"> et al</w:t>
      </w:r>
      <w:r w:rsidR="00337699" w:rsidRPr="009B2CDA">
        <w:rPr>
          <w:rFonts w:ascii="Times New Roman" w:hAnsi="Times New Roman" w:cs="Times New Roman"/>
        </w:rPr>
        <w:t>.</w:t>
      </w:r>
      <w:r w:rsidRPr="009B2CDA">
        <w:rPr>
          <w:rFonts w:ascii="Times New Roman" w:hAnsi="Times New Roman" w:cs="Times New Roman"/>
        </w:rPr>
        <w:t xml:space="preserve"> </w:t>
      </w:r>
      <w:r w:rsidRPr="009B2CDA">
        <w:rPr>
          <w:rFonts w:ascii="Times New Roman" w:hAnsi="Times New Roman" w:cs="Times New Roman"/>
        </w:rPr>
        <w:fldChar w:fldCharType="begin" w:fldLock="1"/>
      </w:r>
      <w:r w:rsidR="00035D59" w:rsidRPr="009B2CDA">
        <w:rPr>
          <w:rFonts w:ascii="Times New Roman" w:hAnsi="Times New Roman" w:cs="Times New Roman"/>
        </w:rPr>
        <w:instrText>ADDIN CSL_CITATION {"citationItems":[{"id":"ITEM-1","itemData":{"DOI":"60/12/1553 [pii]","ISBN":"1079-5006 (Print)\\n1079-5006 (Linking)","ISSN":"1079-5006","PMID":"16424287","abstract":"BACKGROUND: Risk for hip fracture during a fall is reduced by contacting the ground first with the outstretched hands. However, it is unclear whether the time required for young and elderly individuals to move the hands into a protective position exceeds that available during a typical fall. METHODS: We tested whether young (n = 30; aged 18-35 years) and elderly women (n = 30; aged 70-88 years) differed in the time required to move their hands into a protective position for breaking a fall. Participants stood either facing or sideways to shoulder-height targets (simulating forward and sideways falls, respectively), which they were instructed to contact as quickly as possible after hearing an aural go cue. Total contact time was partitioned into reaction time and movement time. RESULTS: Young women contacted the targets faster than elderly women in both forward (530 +/- 60 vs 615 +/- 88 ms; p &lt;.001) and sideways trials (658 +/- 80 vs 799 +/- 145 ms; p &lt;.001). This difference was due to faster movement times for young participants. There was no difference between groups in reaction time. CONCLUSIONS: Previous studies have shown that during actual falls from standing, wrist and pelvis contact occur at 680 +/- 116 and 715 +/- 160 ms, respectively. Comparing these values to our results suggests that the typical elderly woman should be able to move her hands quickly enough to break a forward fall, but not a sideways fall.","author":[{"dropping-particle":"","family":"Robinovitch","given":"Stephen N","non-dropping-particle":"","parse-names":false,"suffix":""},{"dropping-particle":"","family":"Normandin","given":"Sarah C","non-dropping-particle":"","parse-names":false,"suffix":""},{"dropping-particle":"","family":"Stotz","given":"Paula","non-dropping-particle":"","parse-names":false,"suffix":""},{"dropping-particle":"","family":"Maurer","given":"Jessica D","non-dropping-particle":"","parse-names":false,"suffix":""}],"container-title":"The journals of gerontology. Series A, Biological sciences and medical sciences","id":"ITEM-1","issue":"12","issued":{"date-parts":[["2005"]]},"page":"1553-1557","title":"Time requirement for young and elderly women to move into a position for breaking a fall with outstretched hands.","type":"article-journal","volume":"60"},"uris":["http://www.mendeley.com/documents/?uuid=4d42e289-8bff-4c16-af86-25c47e9f82c8"]}],"mendeley":{"formattedCitation":"(Robinovitch et al., 2005)","manualFormatting":"(2005)","plainTextFormattedCitation":"(Robinovitch et al., 2005)","previouslyFormattedCitation":"(Robinovitch et al., 2005)"},"properties":{"noteIndex":0},"schema":"https://github.com/citation-style-language/schema/raw/master/csl-citation.json"}</w:instrText>
      </w:r>
      <w:r w:rsidRPr="009B2CDA">
        <w:rPr>
          <w:rFonts w:ascii="Times New Roman" w:hAnsi="Times New Roman" w:cs="Times New Roman"/>
        </w:rPr>
        <w:fldChar w:fldCharType="separate"/>
      </w:r>
      <w:r w:rsidR="00BB5C78" w:rsidRPr="009B2CDA">
        <w:rPr>
          <w:rFonts w:ascii="Times New Roman" w:hAnsi="Times New Roman" w:cs="Times New Roman"/>
          <w:noProof/>
        </w:rPr>
        <w:t>(2005)</w:t>
      </w:r>
      <w:r w:rsidRPr="009B2CDA">
        <w:rPr>
          <w:rFonts w:ascii="Times New Roman" w:hAnsi="Times New Roman" w:cs="Times New Roman"/>
        </w:rPr>
        <w:fldChar w:fldCharType="end"/>
      </w:r>
      <w:r w:rsidRPr="009B2CDA">
        <w:rPr>
          <w:rFonts w:ascii="Times New Roman" w:hAnsi="Times New Roman" w:cs="Times New Roman"/>
        </w:rPr>
        <w:t xml:space="preserve">, the majority of older </w:t>
      </w:r>
      <w:r w:rsidR="00DF6E78" w:rsidRPr="00862598">
        <w:rPr>
          <w:rFonts w:ascii="Times New Roman" w:hAnsi="Times New Roman" w:cs="Times New Roman"/>
        </w:rPr>
        <w:t>participants</w:t>
      </w:r>
      <w:r w:rsidRPr="00862598">
        <w:rPr>
          <w:rFonts w:ascii="Times New Roman" w:hAnsi="Times New Roman" w:cs="Times New Roman"/>
        </w:rPr>
        <w:t xml:space="preserve"> </w:t>
      </w:r>
      <w:r w:rsidRPr="009B2CDA">
        <w:rPr>
          <w:rFonts w:ascii="Times New Roman" w:hAnsi="Times New Roman" w:cs="Times New Roman"/>
        </w:rPr>
        <w:t>in this study had the necessary reaction and movement capacity to complete the suitable</w:t>
      </w:r>
      <w:r w:rsidR="006A09BE" w:rsidRPr="009B2CDA">
        <w:rPr>
          <w:rFonts w:ascii="Times New Roman" w:hAnsi="Times New Roman" w:cs="Times New Roman"/>
        </w:rPr>
        <w:t xml:space="preserve"> pre-impact</w:t>
      </w:r>
      <w:r w:rsidRPr="009B2CDA">
        <w:rPr>
          <w:rFonts w:ascii="Times New Roman" w:hAnsi="Times New Roman" w:cs="Times New Roman"/>
        </w:rPr>
        <w:t xml:space="preserve"> </w:t>
      </w:r>
      <w:r w:rsidR="00DB123D" w:rsidRPr="009B2CDA">
        <w:rPr>
          <w:rFonts w:ascii="Times New Roman" w:hAnsi="Times New Roman" w:cs="Times New Roman"/>
        </w:rPr>
        <w:t xml:space="preserve">protective arm </w:t>
      </w:r>
      <w:r w:rsidRPr="009B2CDA">
        <w:rPr>
          <w:rFonts w:ascii="Times New Roman" w:hAnsi="Times New Roman" w:cs="Times New Roman"/>
        </w:rPr>
        <w:t xml:space="preserve">responses that would be required during a forward fall event. </w:t>
      </w:r>
      <w:r w:rsidR="006B6863" w:rsidRPr="009B2CDA">
        <w:rPr>
          <w:rFonts w:ascii="Times New Roman" w:hAnsi="Times New Roman" w:cs="Times New Roman"/>
        </w:rPr>
        <w:t xml:space="preserve">In sideways falls, failure to generate a sufficient upper-limb pre-impact protective movement strategy to arrest a fall has been shown to increase impact forces substantial enough to generate a fracture at the hip </w:t>
      </w:r>
      <w:r w:rsidR="006B6863"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{"citationItems":[{"id":"ITEM-1","itemData":{"DOI":"10.1016/j.jbiomech.2008.03.022","ISSN":"00219290","abstract":"Approximately 90% of hip fractures in older adults result from falls, mostly from landing on or near the hip. A three-dimensional, 11-segment, forward dynamic biomechanical model was developed to investigate whether segment movement strategies prior to impact can affect the impact forces resulting from a lateral fall. Four different pre-impact movement strategies, with and without using the ipsilateral arm to break the fall, were implemented using paired actuators representing the agonist and antagonist muscles acting about each joint. Proportional-derivative feedback controller controlled joint angles and velocities so as to minimize risk of fracture at any of the impact sites. It was hypothesized that (a) the use of active knee, hip and arm joint torques during the pre-contact phase affects neither the whole body kinetic energy at impact nor the peak impact forces on the knee, hip or shoulder and (b) muscle strength and reaction time do not substantially affect peak impact forces. The results demonstrate that, compared with falling laterally as a rigid body, an arrest strategy that combines flexion of the lower extremities, ground contact with the side of the lower leg along with an axial rotation to progressively present the posterolateral aspects of the thigh, pelvis and then torso, can reduce the peak hip impact force by up to 56%. A 30% decline in muscle strength did not markedly affect the effectiveness of that fall strategy. However, a 300-ms delay in implementing the movement strategy inevitably caused hip impact forces consistent with fracture unless the arm was used to break the fall prior to the hip impact. © 2008 Elsevier Ltd. All rights reserved.","author":[{"dropping-particle":"","family":"Lo","given":"J.","non-dropping-particle":"","parse-names":false,"suffix":""},{"dropping-particle":"","family":"Ashton-Miller","given":"J. A.","non-dropping-particle":"","parse-names":false,"suffix":""}],"container-title":"Journal of Biomechanics","id":"ITEM-1","issue":"9","issued":{"date-parts":[["2008"]]},"page":"1969-1977","title":"Effect of pre-impact movement strategies on the impact forces resulting from a lateral fall","type":"article-journal","volume":"41"},"uris":["http://www.mendeley.com/documents/?uuid=df0ea438-0544-4e70-b282-d0fcbebac4d0"]}],"mendeley":{"formattedCitation":"(Lo &amp; Ashton-Miller, 2008)","plainTextFormattedCitation":"(Lo &amp; Ashton-Miller, 2008)","previouslyFormattedCitation":"(Lo &amp; Ashton-Miller, 2008)"},"properties":{"noteIndex":0},"schema":"https://github.com/citation-style-language/schema/raw/master/csl-citation.json"}</w:instrText>
      </w:r>
      <w:r w:rsidR="006B6863" w:rsidRPr="009B2CDA">
        <w:rPr>
          <w:rFonts w:ascii="Times New Roman" w:hAnsi="Times New Roman" w:cs="Times New Roman"/>
        </w:rPr>
        <w:fldChar w:fldCharType="separate"/>
      </w:r>
      <w:r w:rsidR="005B5832" w:rsidRPr="009B2CDA">
        <w:rPr>
          <w:rFonts w:ascii="Times New Roman" w:hAnsi="Times New Roman" w:cs="Times New Roman"/>
          <w:noProof/>
        </w:rPr>
        <w:t>(Lo &amp; Ashton-Miller, 2008)</w:t>
      </w:r>
      <w:r w:rsidR="006B6863" w:rsidRPr="009B2CDA">
        <w:rPr>
          <w:rFonts w:ascii="Times New Roman" w:hAnsi="Times New Roman" w:cs="Times New Roman"/>
        </w:rPr>
        <w:fldChar w:fldCharType="end"/>
      </w:r>
      <w:r w:rsidR="006B6863" w:rsidRPr="009B2CDA">
        <w:rPr>
          <w:rFonts w:ascii="Times New Roman" w:hAnsi="Times New Roman" w:cs="Times New Roman"/>
        </w:rPr>
        <w:t>.</w:t>
      </w:r>
    </w:p>
    <w:p w14:paraId="69977C00" w14:textId="0DBC54FD" w:rsidR="00E0677B" w:rsidRDefault="00E0677B" w:rsidP="00A33C2E">
      <w:pPr>
        <w:spacing w:line="480" w:lineRule="auto"/>
        <w:ind w:firstLine="720"/>
        <w:rPr>
          <w:rFonts w:ascii="Times New Roman" w:hAnsi="Times New Roman" w:cs="Times New Roman"/>
        </w:rPr>
      </w:pPr>
      <w:r w:rsidRPr="009B2CDA">
        <w:rPr>
          <w:rFonts w:ascii="Times New Roman" w:hAnsi="Times New Roman" w:cs="Times New Roman"/>
        </w:rPr>
        <w:t xml:space="preserve">The physical function </w:t>
      </w:r>
      <w:r w:rsidR="00364B22" w:rsidRPr="009B2CDA">
        <w:rPr>
          <w:rFonts w:ascii="Times New Roman" w:hAnsi="Times New Roman" w:cs="Times New Roman"/>
        </w:rPr>
        <w:t>characteristics of leg strength and</w:t>
      </w:r>
      <w:r w:rsidRPr="009B2CDA">
        <w:rPr>
          <w:rFonts w:ascii="Times New Roman" w:hAnsi="Times New Roman" w:cs="Times New Roman"/>
        </w:rPr>
        <w:t xml:space="preserve"> </w:t>
      </w:r>
      <w:r w:rsidR="00364B22" w:rsidRPr="009B2CDA">
        <w:rPr>
          <w:rFonts w:ascii="Times New Roman" w:hAnsi="Times New Roman" w:cs="Times New Roman"/>
        </w:rPr>
        <w:t xml:space="preserve">balance, measured in this study by </w:t>
      </w:r>
      <w:r w:rsidR="00B97D7C" w:rsidRPr="009B2CDA">
        <w:rPr>
          <w:rFonts w:ascii="Times New Roman" w:hAnsi="Times New Roman" w:cs="Times New Roman"/>
        </w:rPr>
        <w:t>S</w:t>
      </w:r>
      <w:r w:rsidR="00364B22" w:rsidRPr="009B2CDA">
        <w:rPr>
          <w:rFonts w:ascii="Times New Roman" w:hAnsi="Times New Roman" w:cs="Times New Roman"/>
        </w:rPr>
        <w:t>T</w:t>
      </w:r>
      <w:r w:rsidR="00B97D7C" w:rsidRPr="009B2CDA">
        <w:rPr>
          <w:rFonts w:ascii="Times New Roman" w:hAnsi="Times New Roman" w:cs="Times New Roman"/>
        </w:rPr>
        <w:t>S</w:t>
      </w:r>
      <w:r w:rsidR="00364B22" w:rsidRPr="009B2CDA">
        <w:rPr>
          <w:rFonts w:ascii="Times New Roman" w:hAnsi="Times New Roman" w:cs="Times New Roman"/>
        </w:rPr>
        <w:t xml:space="preserve"> and OLB, have been linked to an individual’s </w:t>
      </w:r>
      <w:r w:rsidR="00CA0539" w:rsidRPr="009B2CDA">
        <w:rPr>
          <w:rFonts w:ascii="Times New Roman" w:hAnsi="Times New Roman" w:cs="Times New Roman"/>
        </w:rPr>
        <w:t>risk of falling</w:t>
      </w:r>
      <w:r w:rsidR="00364B22" w:rsidRPr="009B2CDA">
        <w:rPr>
          <w:rFonts w:ascii="Times New Roman" w:hAnsi="Times New Roman" w:cs="Times New Roman"/>
        </w:rPr>
        <w:t xml:space="preserve"> </w:t>
      </w:r>
      <w:r w:rsidR="00364B22"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{"citationItems":[{"id":"ITEM-1","itemData":{"DOI":"10.1155/2012/864516","ISBN":"1687-7071 (Electronic)\\r1687-7063 (Linking)","ISSN":"1687-7071","PMID":"23304137","abstract":"Ageing-related declines in physiological attributes, such as muscle strength, can bring with them an increased risk of falls and subsequently greater risk of losing independence. These declines have substantial impact on an individual's functional ability. However, the precise relationship between falls risk and physical functionality has not been evaluated. The aims of this study were to determine the association between falls risk and physical functionality using objective measures and to create an appropriate model to explain variance in falls risk. Thirty-two independently living adults aged 65-92 years completed the FallScreen, the Continuous-Scale Physical Functional Performance 10 (CS-PFP10) tests, and the 12-Item Short-Form Health Survey (SF-12). The relationships between falls risk, physical functionality, and age were investigated using correlational and multiple hierarchical regression analyses. Overall, total physical functionality accounted for 24% of variance in an individual's falls risk while age explained a further 13%. The oldest-old age group had significantly greater falls risk and significantly lower physical functional performance. Mean scores for all measures showed that there were substantial (but not significant) differences between males and females. While increasing age is the strongest single predictor of increasing falls risk, poorer physical functionality was strongly, independently related to greater falls risk.","author":[{"dropping-particle":"","family":"Smee","given":"Disa J","non-dropping-particle":"","parse-names":false,"suffix":""},{"dropping-particle":"","family":"Anson","given":"Judith M","non-dropping-particle":"","parse-names":false,"suffix":""},{"dropping-particle":"","family":"Waddington","given":"Gordon S","non-dropping-particle":"","parse-names":false,"suffix":""},{"dropping-particle":"","family":"Berry","given":"Helen L","non-dropping-particle":"","parse-names":false,"suffix":""}],"container-title":"Current Gerontology and Geriatrics Research","id":"ITEM-1","issued":{"date-parts":[["2012"]]},"page":"864516","publisher":"Hindawi Publishing Corporation","title":"Association between physical functionality and falls risk in community-living older adults","type":"article-journal","volume":"2012"},"uris":["http://www.mendeley.com/documents/?uuid=e1c40224-d76c-32f2-9619-8decc467dd3f"]}],"mendeley":{"formattedCitation":"(Smee et al., 2012)","plainTextFormattedCitation":"(Smee et al., 2012)","previouslyFormattedCitation":"(Smee et al., 2012)"},"properties":{"noteIndex":0},"schema":"https://github.com/citation-style-language/schema/raw/master/csl-citation.json"}</w:instrText>
      </w:r>
      <w:r w:rsidR="00364B22" w:rsidRPr="009B2CDA">
        <w:rPr>
          <w:rFonts w:ascii="Times New Roman" w:hAnsi="Times New Roman" w:cs="Times New Roman"/>
        </w:rPr>
        <w:fldChar w:fldCharType="separate"/>
      </w:r>
      <w:r w:rsidR="00BB5C78" w:rsidRPr="009B2CDA">
        <w:rPr>
          <w:rFonts w:ascii="Times New Roman" w:hAnsi="Times New Roman" w:cs="Times New Roman"/>
          <w:noProof/>
        </w:rPr>
        <w:t>(Smee et al., 2012)</w:t>
      </w:r>
      <w:r w:rsidR="00364B22" w:rsidRPr="009B2CDA">
        <w:rPr>
          <w:rFonts w:ascii="Times New Roman" w:hAnsi="Times New Roman" w:cs="Times New Roman"/>
        </w:rPr>
        <w:fldChar w:fldCharType="end"/>
      </w:r>
      <w:r w:rsidR="00364B22" w:rsidRPr="009B2CDA">
        <w:rPr>
          <w:rFonts w:ascii="Times New Roman" w:hAnsi="Times New Roman" w:cs="Times New Roman"/>
        </w:rPr>
        <w:t xml:space="preserve">. </w:t>
      </w:r>
      <w:r w:rsidR="007E0179" w:rsidRPr="009B2CDA">
        <w:rPr>
          <w:rFonts w:ascii="Times New Roman" w:hAnsi="Times New Roman" w:cs="Times New Roman"/>
        </w:rPr>
        <w:t xml:space="preserve">Despite </w:t>
      </w:r>
      <w:r w:rsidR="00CA0539" w:rsidRPr="009B2CDA">
        <w:rPr>
          <w:rFonts w:ascii="Times New Roman" w:hAnsi="Times New Roman" w:cs="Times New Roman"/>
        </w:rPr>
        <w:t xml:space="preserve">meeting the </w:t>
      </w:r>
      <w:r w:rsidR="00CA0539" w:rsidRPr="00862598">
        <w:rPr>
          <w:rFonts w:ascii="Times New Roman" w:hAnsi="Times New Roman" w:cs="Times New Roman"/>
        </w:rPr>
        <w:t xml:space="preserve">criteria for entry into </w:t>
      </w:r>
      <w:r w:rsidR="009323F4" w:rsidRPr="00862598">
        <w:rPr>
          <w:rFonts w:ascii="Times New Roman" w:hAnsi="Times New Roman" w:cs="Times New Roman"/>
        </w:rPr>
        <w:t>th</w:t>
      </w:r>
      <w:r w:rsidR="00D26E5D" w:rsidRPr="00862598">
        <w:rPr>
          <w:rFonts w:ascii="Times New Roman" w:hAnsi="Times New Roman" w:cs="Times New Roman"/>
        </w:rPr>
        <w:t>is study’s</w:t>
      </w:r>
      <w:r w:rsidR="009323F4" w:rsidRPr="00862598">
        <w:rPr>
          <w:rFonts w:ascii="Times New Roman" w:hAnsi="Times New Roman" w:cs="Times New Roman"/>
        </w:rPr>
        <w:t xml:space="preserve"> </w:t>
      </w:r>
      <w:r w:rsidR="007E0179" w:rsidRPr="00862598">
        <w:rPr>
          <w:rFonts w:ascii="Times New Roman" w:hAnsi="Times New Roman" w:cs="Times New Roman"/>
        </w:rPr>
        <w:t>fina</w:t>
      </w:r>
      <w:r w:rsidR="00B97D7C" w:rsidRPr="00862598">
        <w:rPr>
          <w:rFonts w:ascii="Times New Roman" w:hAnsi="Times New Roman" w:cs="Times New Roman"/>
        </w:rPr>
        <w:t xml:space="preserve">l regression </w:t>
      </w:r>
      <w:r w:rsidR="009323F4" w:rsidRPr="00862598">
        <w:rPr>
          <w:rFonts w:ascii="Times New Roman" w:hAnsi="Times New Roman" w:cs="Times New Roman"/>
        </w:rPr>
        <w:t xml:space="preserve">model </w:t>
      </w:r>
      <w:r w:rsidR="00B97D7C" w:rsidRPr="00862598">
        <w:rPr>
          <w:rFonts w:ascii="Times New Roman" w:hAnsi="Times New Roman" w:cs="Times New Roman"/>
        </w:rPr>
        <w:t>analysis</w:t>
      </w:r>
      <w:r w:rsidR="00E46377" w:rsidRPr="00862598">
        <w:rPr>
          <w:rFonts w:ascii="Times New Roman" w:hAnsi="Times New Roman" w:cs="Times New Roman"/>
        </w:rPr>
        <w:t>,</w:t>
      </w:r>
      <w:r w:rsidR="00B97D7C" w:rsidRPr="00862598">
        <w:rPr>
          <w:rFonts w:ascii="Times New Roman" w:hAnsi="Times New Roman" w:cs="Times New Roman"/>
        </w:rPr>
        <w:t xml:space="preserve"> </w:t>
      </w:r>
      <w:r w:rsidR="007E0179" w:rsidRPr="00862598">
        <w:rPr>
          <w:rFonts w:ascii="Times New Roman" w:hAnsi="Times New Roman" w:cs="Times New Roman"/>
        </w:rPr>
        <w:t>t</w:t>
      </w:r>
      <w:r w:rsidR="00364B22" w:rsidRPr="00862598">
        <w:rPr>
          <w:rFonts w:ascii="Times New Roman" w:hAnsi="Times New Roman" w:cs="Times New Roman"/>
        </w:rPr>
        <w:t xml:space="preserve">hese physical characteristics </w:t>
      </w:r>
      <w:r w:rsidR="0013772C" w:rsidRPr="00862598">
        <w:rPr>
          <w:rFonts w:ascii="Times New Roman" w:hAnsi="Times New Roman" w:cs="Times New Roman"/>
        </w:rPr>
        <w:t xml:space="preserve">were </w:t>
      </w:r>
      <w:r w:rsidR="00364B22" w:rsidRPr="00862598">
        <w:rPr>
          <w:rFonts w:ascii="Times New Roman" w:hAnsi="Times New Roman" w:cs="Times New Roman"/>
        </w:rPr>
        <w:t xml:space="preserve">not </w:t>
      </w:r>
      <w:r w:rsidR="008A0381" w:rsidRPr="00862598">
        <w:rPr>
          <w:rFonts w:ascii="Times New Roman" w:hAnsi="Times New Roman" w:cs="Times New Roman"/>
        </w:rPr>
        <w:t>s</w:t>
      </w:r>
      <w:r w:rsidR="00CA0539" w:rsidRPr="00862598">
        <w:rPr>
          <w:rFonts w:ascii="Times New Roman" w:hAnsi="Times New Roman" w:cs="Times New Roman"/>
        </w:rPr>
        <w:t xml:space="preserve">ignificantly </w:t>
      </w:r>
      <w:r w:rsidR="0013772C" w:rsidRPr="00862598">
        <w:rPr>
          <w:rFonts w:ascii="Times New Roman" w:hAnsi="Times New Roman" w:cs="Times New Roman"/>
        </w:rPr>
        <w:t xml:space="preserve">related to </w:t>
      </w:r>
      <w:r w:rsidR="00364B22" w:rsidRPr="00862598">
        <w:rPr>
          <w:rFonts w:ascii="Times New Roman" w:hAnsi="Times New Roman" w:cs="Times New Roman"/>
        </w:rPr>
        <w:t>the pre-impact strategy components of RT and MT</w:t>
      </w:r>
      <w:r w:rsidR="00D26E5D" w:rsidRPr="00862598">
        <w:rPr>
          <w:rFonts w:ascii="Times New Roman" w:hAnsi="Times New Roman" w:cs="Times New Roman"/>
        </w:rPr>
        <w:t>.</w:t>
      </w:r>
      <w:r w:rsidR="00364B22" w:rsidRPr="00862598">
        <w:rPr>
          <w:rFonts w:ascii="Times New Roman" w:hAnsi="Times New Roman" w:cs="Times New Roman"/>
        </w:rPr>
        <w:t xml:space="preserve"> </w:t>
      </w:r>
      <w:r w:rsidR="008A0381" w:rsidRPr="00862598">
        <w:rPr>
          <w:rFonts w:ascii="Times New Roman" w:hAnsi="Times New Roman" w:cs="Times New Roman"/>
        </w:rPr>
        <w:t>Likewise</w:t>
      </w:r>
      <w:r w:rsidR="00364B22" w:rsidRPr="00862598">
        <w:rPr>
          <w:rFonts w:ascii="Times New Roman" w:hAnsi="Times New Roman" w:cs="Times New Roman"/>
        </w:rPr>
        <w:t xml:space="preserve">, the </w:t>
      </w:r>
      <w:r w:rsidRPr="00862598">
        <w:rPr>
          <w:rFonts w:ascii="Times New Roman" w:hAnsi="Times New Roman" w:cs="Times New Roman"/>
        </w:rPr>
        <w:t xml:space="preserve">number of falls </w:t>
      </w:r>
      <w:r w:rsidR="00364B22" w:rsidRPr="00862598">
        <w:rPr>
          <w:rFonts w:ascii="Times New Roman" w:hAnsi="Times New Roman" w:cs="Times New Roman"/>
        </w:rPr>
        <w:t xml:space="preserve">a participant had </w:t>
      </w:r>
      <w:r w:rsidRPr="00862598">
        <w:rPr>
          <w:rFonts w:ascii="Times New Roman" w:hAnsi="Times New Roman" w:cs="Times New Roman"/>
        </w:rPr>
        <w:t xml:space="preserve">in the </w:t>
      </w:r>
      <w:r w:rsidR="00364B22" w:rsidRPr="00862598">
        <w:rPr>
          <w:rFonts w:ascii="Times New Roman" w:hAnsi="Times New Roman" w:cs="Times New Roman"/>
        </w:rPr>
        <w:t>preceding</w:t>
      </w:r>
      <w:r w:rsidRPr="00862598">
        <w:rPr>
          <w:rFonts w:ascii="Times New Roman" w:hAnsi="Times New Roman" w:cs="Times New Roman"/>
        </w:rPr>
        <w:t xml:space="preserve"> twelve months</w:t>
      </w:r>
      <w:r w:rsidR="00B97D7C" w:rsidRPr="00862598">
        <w:rPr>
          <w:rFonts w:ascii="Times New Roman" w:hAnsi="Times New Roman" w:cs="Times New Roman"/>
        </w:rPr>
        <w:t xml:space="preserve"> and their physical activity level, measured by the PASE </w:t>
      </w:r>
      <w:r w:rsidR="00B97D7C" w:rsidRPr="00862598">
        <w:rPr>
          <w:rFonts w:ascii="Times New Roman" w:hAnsi="Times New Roman" w:cs="Times New Roman"/>
        </w:rPr>
        <w:fldChar w:fldCharType="begin" w:fldLock="1"/>
      </w:r>
      <w:r w:rsidR="005B5832" w:rsidRPr="00862598">
        <w:rPr>
          <w:rFonts w:ascii="Times New Roman" w:hAnsi="Times New Roman" w:cs="Times New Roman"/>
        </w:rPr>
        <w:instrText>ADDIN CSL_CITATION {"citationItems":[{"id":"ITEM-1","itemData":{"ISSN":"0895-4356","PMID":"8437031","abstract":"A Physical Activity Scale for the Elderly (PASE) was evaluated in a sample of community-dwelling, older adults. Respondents were randomly assigned to complete the PASE by mail or telephone before or after a home visit assessment. Item weights for the PASE were derived by regressing a physical activity principal component score on responses to the PASE. The component score was based on 3-day motion sensor counts, a 3-day physical activity dairy and a global activity self-assessment. Test-retest reliability, assessed over a 3-7 week interval, was 0.75 (95% CI = 0.69-0.80). Reliability for mail administration (r = 0.84) was higher than for telephone administration (r = 0.68). Construct validity was established by correlating PASE scores with health status and physiologic measures. As hypothesized, PASE scores were positively associated with grip strength (r = 0.37), static balance (r = +0.33), leg strength (r = 0.25) and negatively correlated with resting heart rate (r = -0.13), age (r = -0.34) and perceived health status (r = -0.34); and overall Sickness Impact Profile score (r = -0.42). The PASE is a brief, easily scored, reliable and valid instrument for the assessment of physical activity in epidemiologic studies of older people.","author":[{"dropping-particle":"","family":"Washburn","given":"R A","non-dropping-particle":"","parse-names":false,"suffix":""},{"dropping-particle":"","family":"Smith","given":"K W","non-dropping-particle":"","parse-names":false,"suffix":""},{"dropping-particle":"","family":"Jette","given":"A M","non-dropping-particle":"","parse-names":false,"suffix":""},{"dropping-particle":"","family":"Janney","given":"C A","non-dropping-particle":"","parse-names":false,"suffix":""}],"container-title":"Journal of clinical epidemiology","id":"ITEM-1","issue":"2","issued":{"date-parts":[["1993","2"]]},"page":"153-62","title":"The Physical Activity Scale for the Elderly (PASE): development and evaluation.","type":"article-journal","volume":"46"},"uris":["http://www.mendeley.com/documents/?uuid=8081691b-e925-3a51-95c4-7bb53deed5be"]}],"mendeley":{"formattedCitation":"(Washburn et al., 1993)","plainTextFormattedCitation":"(Washburn et al., 1993)","previouslyFormattedCitation":"(Washburn et al., 1993)"},"properties":{"noteIndex":0},"schema":"https://github.com/citation-style-language/schema/raw/master/csl-citation.json"}</w:instrText>
      </w:r>
      <w:r w:rsidR="00B97D7C" w:rsidRPr="00862598">
        <w:rPr>
          <w:rFonts w:ascii="Times New Roman" w:hAnsi="Times New Roman" w:cs="Times New Roman"/>
        </w:rPr>
        <w:fldChar w:fldCharType="separate"/>
      </w:r>
      <w:r w:rsidR="00BB5C78" w:rsidRPr="00862598">
        <w:rPr>
          <w:rFonts w:ascii="Times New Roman" w:hAnsi="Times New Roman" w:cs="Times New Roman"/>
          <w:noProof/>
        </w:rPr>
        <w:t>(Washburn et al., 1993)</w:t>
      </w:r>
      <w:r w:rsidR="00B97D7C" w:rsidRPr="00862598">
        <w:rPr>
          <w:rFonts w:ascii="Times New Roman" w:hAnsi="Times New Roman" w:cs="Times New Roman"/>
        </w:rPr>
        <w:fldChar w:fldCharType="end"/>
      </w:r>
      <w:r w:rsidR="00B97D7C" w:rsidRPr="00862598">
        <w:rPr>
          <w:rFonts w:ascii="Times New Roman" w:hAnsi="Times New Roman" w:cs="Times New Roman"/>
        </w:rPr>
        <w:t>,</w:t>
      </w:r>
      <w:r w:rsidR="00364B22" w:rsidRPr="00862598">
        <w:rPr>
          <w:rFonts w:ascii="Times New Roman" w:hAnsi="Times New Roman" w:cs="Times New Roman"/>
        </w:rPr>
        <w:t xml:space="preserve"> did not </w:t>
      </w:r>
      <w:r w:rsidR="00974009" w:rsidRPr="00862598">
        <w:rPr>
          <w:rFonts w:ascii="Times New Roman" w:hAnsi="Times New Roman" w:cs="Times New Roman"/>
        </w:rPr>
        <w:t>correlate</w:t>
      </w:r>
      <w:r w:rsidR="00B97D7C" w:rsidRPr="00862598">
        <w:rPr>
          <w:rFonts w:ascii="Times New Roman" w:hAnsi="Times New Roman" w:cs="Times New Roman"/>
        </w:rPr>
        <w:t xml:space="preserve"> to</w:t>
      </w:r>
      <w:r w:rsidR="00364B22" w:rsidRPr="00862598">
        <w:rPr>
          <w:rFonts w:ascii="Times New Roman" w:hAnsi="Times New Roman" w:cs="Times New Roman"/>
        </w:rPr>
        <w:t xml:space="preserve"> the speed in which the older </w:t>
      </w:r>
      <w:r w:rsidR="00DF6E78" w:rsidRPr="00862598">
        <w:rPr>
          <w:rFonts w:ascii="Times New Roman" w:hAnsi="Times New Roman" w:cs="Times New Roman"/>
        </w:rPr>
        <w:t>participants</w:t>
      </w:r>
      <w:r w:rsidR="00364B22" w:rsidRPr="00862598">
        <w:rPr>
          <w:rFonts w:ascii="Times New Roman" w:hAnsi="Times New Roman" w:cs="Times New Roman"/>
        </w:rPr>
        <w:t xml:space="preserve"> responded and</w:t>
      </w:r>
      <w:r w:rsidR="00364B22" w:rsidRPr="009B2CDA">
        <w:rPr>
          <w:rFonts w:ascii="Times New Roman" w:hAnsi="Times New Roman" w:cs="Times New Roman"/>
        </w:rPr>
        <w:t xml:space="preserve"> moved their upper limb</w:t>
      </w:r>
      <w:r w:rsidR="006B38C0" w:rsidRPr="009B2CDA">
        <w:rPr>
          <w:rFonts w:ascii="Times New Roman" w:hAnsi="Times New Roman" w:cs="Times New Roman"/>
        </w:rPr>
        <w:t>.</w:t>
      </w:r>
      <w:r w:rsidR="00B97D7C" w:rsidRPr="009B2CDA">
        <w:rPr>
          <w:rFonts w:ascii="Times New Roman" w:hAnsi="Times New Roman" w:cs="Times New Roman"/>
        </w:rPr>
        <w:t xml:space="preserve"> A</w:t>
      </w:r>
      <w:r w:rsidR="008A0381" w:rsidRPr="009B2CDA">
        <w:rPr>
          <w:rFonts w:ascii="Times New Roman" w:hAnsi="Times New Roman" w:cs="Times New Roman"/>
        </w:rPr>
        <w:t xml:space="preserve"> better </w:t>
      </w:r>
      <w:r w:rsidR="00B97D7C" w:rsidRPr="009B2CDA">
        <w:rPr>
          <w:rFonts w:ascii="Times New Roman" w:hAnsi="Times New Roman" w:cs="Times New Roman"/>
        </w:rPr>
        <w:t xml:space="preserve">understanding of </w:t>
      </w:r>
      <w:r w:rsidR="008A0381" w:rsidRPr="009B2CDA">
        <w:rPr>
          <w:rFonts w:ascii="Times New Roman" w:hAnsi="Times New Roman" w:cs="Times New Roman"/>
        </w:rPr>
        <w:t xml:space="preserve">any </w:t>
      </w:r>
      <w:r w:rsidR="00B97D7C" w:rsidRPr="009B2CDA">
        <w:rPr>
          <w:rFonts w:ascii="Times New Roman" w:hAnsi="Times New Roman" w:cs="Times New Roman"/>
        </w:rPr>
        <w:t>relationship</w:t>
      </w:r>
      <w:r w:rsidR="008A0381" w:rsidRPr="009B2CDA">
        <w:rPr>
          <w:rFonts w:ascii="Times New Roman" w:hAnsi="Times New Roman" w:cs="Times New Roman"/>
        </w:rPr>
        <w:t xml:space="preserve">s </w:t>
      </w:r>
      <w:r w:rsidR="00B97D7C" w:rsidRPr="009B2CDA">
        <w:rPr>
          <w:rFonts w:ascii="Times New Roman" w:hAnsi="Times New Roman" w:cs="Times New Roman"/>
        </w:rPr>
        <w:t xml:space="preserve">between these functional measures and </w:t>
      </w:r>
      <w:r w:rsidR="00C81E47" w:rsidRPr="009B2CDA">
        <w:rPr>
          <w:rFonts w:ascii="Times New Roman" w:hAnsi="Times New Roman" w:cs="Times New Roman"/>
        </w:rPr>
        <w:t xml:space="preserve">upper body </w:t>
      </w:r>
      <w:r w:rsidR="00B97D7C" w:rsidRPr="009B2CDA">
        <w:rPr>
          <w:rFonts w:ascii="Times New Roman" w:hAnsi="Times New Roman" w:cs="Times New Roman"/>
        </w:rPr>
        <w:t xml:space="preserve">RT and MT </w:t>
      </w:r>
      <w:r w:rsidR="008A0381" w:rsidRPr="009B2CDA">
        <w:rPr>
          <w:rFonts w:ascii="Times New Roman" w:hAnsi="Times New Roman" w:cs="Times New Roman"/>
        </w:rPr>
        <w:t>can help inform</w:t>
      </w:r>
      <w:r w:rsidR="00B97D7C" w:rsidRPr="009B2CDA">
        <w:rPr>
          <w:rFonts w:ascii="Times New Roman" w:hAnsi="Times New Roman" w:cs="Times New Roman"/>
        </w:rPr>
        <w:t xml:space="preserve"> future </w:t>
      </w:r>
      <w:r w:rsidR="00C81E47" w:rsidRPr="009B2CDA">
        <w:rPr>
          <w:rFonts w:ascii="Times New Roman" w:hAnsi="Times New Roman" w:cs="Times New Roman"/>
        </w:rPr>
        <w:t xml:space="preserve">fall prevention efforts that focus on improving the reactive components of balance. </w:t>
      </w:r>
    </w:p>
    <w:p w14:paraId="41E62F52" w14:textId="6933C54B" w:rsidR="00D82C66" w:rsidRPr="00862598" w:rsidRDefault="0041535A" w:rsidP="00A33C2E">
      <w:pPr>
        <w:spacing w:line="480" w:lineRule="auto"/>
        <w:ind w:firstLine="720"/>
        <w:rPr>
          <w:rFonts w:ascii="Times New Roman" w:hAnsi="Times New Roman" w:cs="Times New Roman"/>
        </w:rPr>
      </w:pPr>
      <w:r w:rsidRPr="00862598">
        <w:rPr>
          <w:rFonts w:ascii="Times New Roman" w:eastAsia="Times New Roman" w:hAnsi="Times New Roman" w:cs="Times New Roman"/>
          <w:bdr w:val="none" w:sz="0" w:space="0" w:color="auto" w:frame="1"/>
        </w:rPr>
        <w:t xml:space="preserve">The relationships identified in this study between </w:t>
      </w:r>
      <w:r w:rsidR="004D1E3F" w:rsidRPr="00862598">
        <w:rPr>
          <w:rFonts w:ascii="Times New Roman" w:eastAsia="Times New Roman" w:hAnsi="Times New Roman" w:cs="Times New Roman"/>
          <w:bdr w:val="none" w:sz="0" w:space="0" w:color="auto" w:frame="1"/>
        </w:rPr>
        <w:t xml:space="preserve">UE </w:t>
      </w:r>
      <w:r w:rsidRPr="00862598">
        <w:rPr>
          <w:rFonts w:ascii="Times New Roman" w:eastAsia="Times New Roman" w:hAnsi="Times New Roman" w:cs="Times New Roman"/>
          <w:bdr w:val="none" w:sz="0" w:space="0" w:color="auto" w:frame="1"/>
        </w:rPr>
        <w:t xml:space="preserve">strength capacity and pre-impact arm response RT and MT has biological plausibility. If strength and speed improvements were found to lead to improved pre-impact arm responses in longitudinal study designs, it could be a </w:t>
      </w:r>
      <w:r w:rsidRPr="00862598">
        <w:rPr>
          <w:rFonts w:ascii="Times New Roman" w:eastAsia="Times New Roman" w:hAnsi="Times New Roman" w:cs="Times New Roman"/>
          <w:bdr w:val="none" w:sz="0" w:space="0" w:color="auto" w:frame="1"/>
        </w:rPr>
        <w:lastRenderedPageBreak/>
        <w:t>potential intervention avenue for preventing fall related injuries</w:t>
      </w:r>
      <w:r w:rsidR="004D1E3F" w:rsidRPr="00862598">
        <w:rPr>
          <w:rFonts w:ascii="Times New Roman" w:eastAsia="Times New Roman" w:hAnsi="Times New Roman" w:cs="Times New Roman"/>
          <w:bdr w:val="none" w:sz="0" w:space="0" w:color="auto" w:frame="1"/>
        </w:rPr>
        <w:t xml:space="preserve"> such as head impact</w:t>
      </w:r>
      <w:r w:rsidR="00B248A5" w:rsidRPr="00862598">
        <w:rPr>
          <w:rFonts w:ascii="Times New Roman" w:eastAsia="Times New Roman" w:hAnsi="Times New Roman" w:cs="Times New Roman"/>
          <w:bdr w:val="none" w:sz="0" w:space="0" w:color="auto" w:frame="1"/>
        </w:rPr>
        <w:t xml:space="preserve">. Fall observational studies have also recommended attention to upper-limb strength training as well as consideration of training other landing techniques </w:t>
      </w:r>
      <w:r w:rsidR="00B248A5" w:rsidRPr="00862598">
        <w:rPr>
          <w:rFonts w:ascii="Times New Roman" w:eastAsia="Times New Roman" w:hAnsi="Times New Roman" w:cs="Times New Roman"/>
          <w:bdr w:val="none" w:sz="0" w:space="0" w:color="auto" w:frame="1"/>
        </w:rPr>
        <w:fldChar w:fldCharType="begin" w:fldLock="1"/>
      </w:r>
      <w:r w:rsidR="006B4E0A" w:rsidRPr="00862598">
        <w:rPr>
          <w:rFonts w:ascii="Times New Roman" w:eastAsia="Times New Roman" w:hAnsi="Times New Roman" w:cs="Times New Roman"/>
          <w:bdr w:val="none" w:sz="0" w:space="0" w:color="auto" w:frame="1"/>
        </w:rPr>
        <w:instrText>ADDIN CSL_CITATION {"citationItems":[{"id":"ITEM-1","itemData":{"DOI":"10.1503/cmaj.130498","ISSN":"0820-3946","abstract":"Background: Falls cause more than 60% of head injuries in older adults. Lack of objective evidence on the circumstances of these events is a barrier to prevention. We analyzed video footage to determine the frequency of and risk factors for head impact during falls in older adults in 2 long-term care facilities. Methods: Over 39 months, we captured on video 227 falls involving 133 residents. We used a validated questionnaire to analyze the mechanisms of each fall. We then examined whether the probability for head impact was associated with upper-limb protective re - sponses (hand impact) and fall direction. Results: Head impact occurred in 37% of falls, usually onto a vinyl or linoleum floor. Hand impact occurred in 74% of falls but had no sig- nificant effect on the probability of head impact (p = 0.3). An increased probability of head impact was associated with a forward initial fall direction, compared with backward falls (odds ratio [OR] 2.7, 95% confidence interval [CI] 1.3– 5.9) or sideways falls (OR 2.8, 95% CI 1.2–6.3). In 36% of sideways falls, residents rotated to land backwards, which reduced the probability of head impact (OR 0.2, 95% CI 0.04–0.8). Interpretation: Head impact was common in observed falls in older adults living in long- term care facilities, particularly in forward falls. Backward rotation during descent ap - peared to be protective, but hand impact was not. Attention to upper-limb strength and teaching rotational falling techniques (as in martial arts training) may reduce fall-related head injuries in older adults","author":[{"dropping-particle":"","family":"Schonnop","given":"Rebecca","non-dropping-particle":"","parse-names":false,"suffix":""},{"dropping-particle":"","family":"Yang","given":"Yijian","non-dropping-particle":"","parse-names":false,"suffix":""},{"dropping-particle":"","family":"Feldman","given":"Fabio","non-dropping-particle":"","parse-names":false,"suffix":""},{"dropping-particle":"","family":"Robinson","given":"Erin","non-dropping-particle":"","parse-names":false,"suffix":""},{"dropping-particle":"","family":"Loughin","given":"M.","non-dropping-particle":"","parse-names":false,"suffix":""},{"dropping-particle":"","family":"Robinovitch","given":"Stephen N","non-dropping-particle":"","parse-names":false,"suffix":""}],"container-title":"Canadian Medical Association Journal","id":"ITEM-1","issue":"17","issued":{"date-parts":[["2013","11","19"]]},"page":"E803-E810","title":"Prevalence of and factors associated with head impact during falls in older adults in long-term care","type":"article-journal","volume":"185"},"uris":["http://www.mendeley.com/documents/?uuid=4386b2ef-abc4-4085-bf32-2aa36df2836b"]}],"mendeley":{"formattedCitation":"(Schonnop et al., 2013)","plainTextFormattedCitation":"(Schonnop et al., 2013)","previouslyFormattedCitation":"(Schonnop et al., 2013)"},"properties":{"noteIndex":0},"schema":"https://github.com/citation-style-language/schema/raw/master/csl-citation.json"}</w:instrText>
      </w:r>
      <w:r w:rsidR="00B248A5" w:rsidRPr="00862598">
        <w:rPr>
          <w:rFonts w:ascii="Times New Roman" w:eastAsia="Times New Roman" w:hAnsi="Times New Roman" w:cs="Times New Roman"/>
          <w:bdr w:val="none" w:sz="0" w:space="0" w:color="auto" w:frame="1"/>
        </w:rPr>
        <w:fldChar w:fldCharType="separate"/>
      </w:r>
      <w:r w:rsidR="00B248A5" w:rsidRPr="00862598">
        <w:rPr>
          <w:rFonts w:ascii="Times New Roman" w:eastAsia="Times New Roman" w:hAnsi="Times New Roman" w:cs="Times New Roman"/>
          <w:noProof/>
          <w:bdr w:val="none" w:sz="0" w:space="0" w:color="auto" w:frame="1"/>
        </w:rPr>
        <w:t>(Schonnop et al., 2013)</w:t>
      </w:r>
      <w:r w:rsidR="00B248A5" w:rsidRPr="00862598">
        <w:rPr>
          <w:rFonts w:ascii="Times New Roman" w:eastAsia="Times New Roman" w:hAnsi="Times New Roman" w:cs="Times New Roman"/>
          <w:bdr w:val="none" w:sz="0" w:space="0" w:color="auto" w:frame="1"/>
        </w:rPr>
        <w:fldChar w:fldCharType="end"/>
      </w:r>
      <w:r w:rsidRPr="00862598">
        <w:rPr>
          <w:rFonts w:ascii="Times New Roman" w:eastAsia="Times New Roman" w:hAnsi="Times New Roman" w:cs="Times New Roman"/>
          <w:bdr w:val="none" w:sz="0" w:space="0" w:color="auto" w:frame="1"/>
        </w:rPr>
        <w:t xml:space="preserve">. </w:t>
      </w:r>
      <w:r w:rsidR="00FD528E" w:rsidRPr="00862598">
        <w:rPr>
          <w:rFonts w:ascii="Times New Roman" w:eastAsia="Times New Roman" w:hAnsi="Times New Roman" w:cs="Times New Roman"/>
          <w:bdr w:val="none" w:sz="0" w:space="0" w:color="auto" w:frame="1"/>
        </w:rPr>
        <w:t xml:space="preserve">Global progressive resistance training has been shown to be beneficial for improvements in muscular strength and functional capacity related to fall risk </w:t>
      </w:r>
      <w:r w:rsidR="00FD528E" w:rsidRPr="00862598">
        <w:rPr>
          <w:rFonts w:ascii="Times New Roman" w:eastAsia="Times New Roman" w:hAnsi="Times New Roman" w:cs="Times New Roman"/>
          <w:bdr w:val="none" w:sz="0" w:space="0" w:color="auto" w:frame="1"/>
        </w:rPr>
        <w:fldChar w:fldCharType="begin" w:fldLock="1"/>
      </w:r>
      <w:r w:rsidR="00FD528E" w:rsidRPr="00862598">
        <w:rPr>
          <w:rFonts w:ascii="Times New Roman" w:eastAsia="Times New Roman" w:hAnsi="Times New Roman" w:cs="Times New Roman"/>
          <w:bdr w:val="none" w:sz="0" w:space="0" w:color="auto" w:frame="1"/>
        </w:rPr>
        <w:instrText>ADDIN CSL_CITATION {"citationItems":[{"id":"ITEM-1","itemData":{"DOI":"10.1093/gerona/59.1.M48","ISBN":"1079-5006 (Print)","ISSN":"1079-5006","PMID":"14718486","abstract":"BACKGROUND: The aim of this systematic review was to quantify the effectiveness of progressive resistance strength training (PRT) to reduce physical disability in older people.\\n\\nMETHODS: Randomized controlled trials were identified from searches of relevant databases and study reference lists and contacts with researchers. Two reviewers independently screened the trials for eligibility, rated their quality, and extracted data. Only randomized controlled trials utilizing PRT as the primary intervention in participants, whose group mean age was 60 years or older, were included. Data were pooled using fixed or random effect models to produce weighted mean differences (WMD) and 95% confidence intervals (CI). Standardized mean differences (SMD) were calculated when different units of measurement were used for the outcome of interest.\\n\\nRESULTS: 62 trials (n = 3674) compared PRT with a control group. 14 trials had data available to allow pooling of disability outcomes. Most trials were of poor quality. PRT showed a strong positive effect on strength, although there was significant heterogeneity (41 trials [n = 1955], SMD 0.68; 95% confidence interval [CI] 0.52, 0.84). A modest effect was found on some measures of functional limitations such as gait speed (14 trials [n = 798], WMD 0.07 meters per second; 95% CI 0.04, 0.09). No evidence of an effect was found for physical disability (10 trials [n = 722], SMD 0.01; 95% CI -0.14, 0.16). Adverse events were poorly investigated, but occurred in most studies where they were defined and prospectively monitored.\\n\\nCONCLUSIONS: PRT results in improvements to muscle strength and some aspects of functional limitation, such as gait speed, in older adults. However, based on current data, the effect of PRT on physical disability remains unclear. Further, due to the poor reporting of adverse events in trials, it is difficult to evaluate the risks associated with PRT.","author":[{"dropping-particle":"","family":"Latham","given":"Nancy K","non-dropping-particle":"","parse-names":false,"suffix":""},{"dropping-particle":"","family":"Bennett","given":"Derrick a","non-dropping-particle":"","parse-names":false,"suffix":""},{"dropping-particle":"","family":"Stretton","given":"Caroline M","non-dropping-particle":"","parse-names":false,"suffix":""},{"dropping-particle":"","family":"Anderson","given":"Craig S","non-dropping-particle":"","parse-names":false,"suffix":""}],"container-title":"The journals of gerontology. Series A, Biological sciences and medical sciences","id":"ITEM-1","issue":"1","issued":{"date-parts":[["2004"]]},"page":"48-61","title":"Systematic review of progressive resistance strength training in older adults.","type":"article-journal","volume":"59"},"uris":["http://www.mendeley.com/documents/?uuid=3b465d21-8751-4aed-ae1b-d58643dd0b77"]},{"id":"ITEM-2","itemData":{"DOI":"10.1016/j.arr.2010.03.004","ISSN":"15681637","abstract":"PURPOSE\nThe effectiveness of resistance exercise for strength improvement among aging persons is inconsistent across investigations, and there is a lack of research synthesis for multiple strength outcomes. \n\nMETHODS\nThe systematic review followed the Preferred Reporting Items for Systematic Reviews and Meta-Analyses (PRISMA) recommendations. A meta-analysis was conducted to determine the effect of resistance exercise (RE) for multiple strength outcomes in aging adults. Randomized-controlled trials and randomized or non-randomized studies among adults≥50 years, were included. Data were pooled using random-effect models. Outcomes for 4 common strength tests were analyzed for main effects. Heterogeneity between studies was assessed using the Cochran Q and I2 statistics, and publication bias was evaluated through physical inspection of funnel plots as well as formal rank-correlation statistics. A linear mixed model regression was incorporated to examine differences between outcomes, as well as potential study-level predictor variables. \n\nRESULTS\nForty-seven studies were included, representing 1079 participants. A positive effect for each of the strength outcomes was determined however there was heterogeneity between studies. Regression revealed that higher intensity training was associated with greater improvement. Strength increases ranged from 9.8 to 31.6kg, and percent changes were 29±2, 24±2, 33±3, and 25±2, respectively for leg press, chest press, knee extension, and lat pull. \n\nCONCLUSIONS\nRE is effective for improving strength among older adults, particularly with higher intensity training. Findings therefore suggest that RE may be considered a viable strategy to prevent generalized muscular weakness associated with aging.","author":[{"dropping-particle":"","family":"Peterson","given":"Mark D.","non-dropping-particle":"","parse-names":false,"suffix":""},{"dropping-particle":"","family":"Rhea","given":"Matthew R.","non-dropping-particle":"","parse-names":false,"suffix":""},{"dropping-particle":"","family":"Sen","given":"Ananda","non-dropping-particle":"","parse-names":false,"suffix":""},{"dropping-particle":"","family":"Gordon","given":"Paul M.","non-dropping-particle":"","parse-names":false,"suffix":""}],"container-title":"Ageing Research Reviews","id":"ITEM-2","issue":"3","issued":{"date-parts":[["2010"]]},"page":"226-237","title":"Resistance exercise for muscular strength in older adults: A meta-analysis","type":"article-journal","volume":"9"},"uris":["http://www.mendeley.com/documents/?uuid=c0e97c63-ebff-3dcd-83ac-603e03170b46"]}],"mendeley":{"formattedCitation":"(Latham, Bennett, Stretton, &amp; Anderson, 2004; Peterson, Rhea, Sen, &amp; Gordon, 2010)","plainTextFormattedCitation":"(Latham, Bennett, Stretton, &amp; Anderson, 2004; Peterson, Rhea, Sen, &amp; Gordon, 2010)","previouslyFormattedCitation":"(Latham, Bennett, Stretton, &amp; Anderson, 2004; Peterson, Rhea, Sen, &amp; Gordon, 2010)"},"properties":{"noteIndex":0},"schema":"https://github.com/citation-style-language/schema/raw/master/csl-citation.json"}</w:instrText>
      </w:r>
      <w:r w:rsidR="00FD528E" w:rsidRPr="00862598">
        <w:rPr>
          <w:rFonts w:ascii="Times New Roman" w:eastAsia="Times New Roman" w:hAnsi="Times New Roman" w:cs="Times New Roman"/>
          <w:bdr w:val="none" w:sz="0" w:space="0" w:color="auto" w:frame="1"/>
        </w:rPr>
        <w:fldChar w:fldCharType="separate"/>
      </w:r>
      <w:r w:rsidR="00FD528E" w:rsidRPr="00862598">
        <w:rPr>
          <w:rFonts w:ascii="Times New Roman" w:eastAsia="Times New Roman" w:hAnsi="Times New Roman" w:cs="Times New Roman"/>
          <w:noProof/>
          <w:bdr w:val="none" w:sz="0" w:space="0" w:color="auto" w:frame="1"/>
        </w:rPr>
        <w:t>(Latham, Bennett, Stretton, &amp; Anderson, 2004; Peterson, Rhea, Sen, &amp; Gordon, 2010)</w:t>
      </w:r>
      <w:r w:rsidR="00FD528E" w:rsidRPr="00862598">
        <w:rPr>
          <w:rFonts w:ascii="Times New Roman" w:eastAsia="Times New Roman" w:hAnsi="Times New Roman" w:cs="Times New Roman"/>
          <w:bdr w:val="none" w:sz="0" w:space="0" w:color="auto" w:frame="1"/>
        </w:rPr>
        <w:fldChar w:fldCharType="end"/>
      </w:r>
      <w:r w:rsidR="00FD528E" w:rsidRPr="00862598">
        <w:rPr>
          <w:rFonts w:ascii="Times New Roman" w:eastAsia="Times New Roman" w:hAnsi="Times New Roman" w:cs="Times New Roman"/>
          <w:bdr w:val="none" w:sz="0" w:space="0" w:color="auto" w:frame="1"/>
        </w:rPr>
        <w:t>.</w:t>
      </w:r>
      <w:r w:rsidR="00602748" w:rsidRPr="00862598">
        <w:rPr>
          <w:rFonts w:ascii="Times New Roman" w:eastAsia="Times New Roman" w:hAnsi="Times New Roman" w:cs="Times New Roman"/>
          <w:bdr w:val="none" w:sz="0" w:space="0" w:color="auto" w:frame="1"/>
        </w:rPr>
        <w:t xml:space="preserve"> </w:t>
      </w:r>
      <w:r w:rsidR="00FD528E" w:rsidRPr="00862598">
        <w:rPr>
          <w:rFonts w:ascii="Times New Roman" w:eastAsia="Times New Roman" w:hAnsi="Times New Roman" w:cs="Times New Roman"/>
          <w:bdr w:val="none" w:sz="0" w:space="0" w:color="auto" w:frame="1"/>
        </w:rPr>
        <w:t xml:space="preserve">Less is known about the efficacy of incorporating targeted upper body strengthening specifically focused on concentric and eccentric control in activities simulating the control of a forward fall. There is promising evidence of efficacy for inclusion of activities such as a reverse push-up against a wall or on the floor in fall prevention programming </w:t>
      </w:r>
      <w:r w:rsidR="00FD528E" w:rsidRPr="00862598">
        <w:rPr>
          <w:rFonts w:ascii="Times New Roman" w:eastAsia="Times New Roman" w:hAnsi="Times New Roman" w:cs="Times New Roman"/>
          <w:bdr w:val="none" w:sz="0" w:space="0" w:color="auto" w:frame="1"/>
        </w:rPr>
        <w:fldChar w:fldCharType="begin" w:fldLock="1"/>
      </w:r>
      <w:r w:rsidR="00FD528E" w:rsidRPr="00862598">
        <w:rPr>
          <w:rFonts w:ascii="Times New Roman" w:eastAsia="Times New Roman" w:hAnsi="Times New Roman" w:cs="Times New Roman"/>
          <w:bdr w:val="none" w:sz="0" w:space="0" w:color="auto" w:frame="1"/>
        </w:rPr>
        <w:instrText>ADDIN CSL_CITATION {"citationItems":[{"id":"ITEM-1","itemData":{"DOI":"10.3138/ptc.2016-27EP","ISSN":"03000508","abstract":"Purpose: The purpose of this study was to determine the effect of a unique exercise programme (Fall Arrest Strategy Training, or FAST) on upper body strength, range of motion (ROM), and fall risk in older women. FAST was designed to improve upper body capacity to prevent injury when a fall cannot be avoided. Method: A quasi-randomized site design included 71 older women (aged 67–95 y, mean age 83 years), who participated either in a standard fall prevention programme (Staying on Your Feet, or SOYF; n ¼ 29) or in SOYF combined with FAST (n ¼ 42). The women were measured three times—at baseline, after the 12-week intervention, and again 12 weeks later—for upper body strength, ROM, and fall risk factors (fall risk questionnaire, balance, mobility, and leg strength). Results: No significant differences were found in age, physical activity, or cognitive or functional status between the SOYF– standard and the SOYF–FAST groups. Both groups improved their fall risk status after the intervention, with no significant differences between them; how-ever, the SOYF–FAST group showed greater improvements in upper extremity strength and ROM (p ¼ 0.007). Conclusion: FAST can feasibly be integrated into fall prevention programming, with additional gains in upper body strength and ROM in older women. Objectif : La pré sente é tude visait à dé terminer l'effet d'un programme d'exercices unique (Fall Arrest Strategy Training—formation sur la straté gie d'arrê t des chutes –, ou FAST) sur la force du haut du corps, l'amplitude de mouvements (AdM) et le risque de chute chez les femmes â gé es. Le programme FAST vise à amé liorer la capacité du haut du corps à pré venir les blessures lorsqu'il est impossible d'é viter une chute. Mé thode : L'é tude quasi alé atoire dans le milieu incluait 71 femmes â gé es (de 67 à 95 ans, â ge moyen de 83 ans), qui ont participé soit à un programme de pré vention des chutes standard (Staying on Your Feet—rester sur ses pieds –, ou SOYF), soit aux programmes SOYF et FAST combiné s (n ¼ 29 et n ¼ 42, respectivement). Les femmes ont é té mesuré es trois fois (au dé but, aprè s l'intervention de 12 semaines, puis de nouveau 12 semaines plus tard), afin d'é valuer la force du haut de leur corps, leur AdM et les facteurs de risque de chute (questionnaire sur le risque de chute, é quilibre, mobilité et force des jambes). Ré sultats : Il n'y avait pas de diffé rence significative en matiè re d'â ge, d'activité physique ou d'é tat cognitif ou fonction…","author":[{"dropping-particle":"","family":"Arnold","given":"Cathy M","non-dropping-particle":"","parse-names":false,"suffix":""},{"dropping-particle":"","family":"Walker-Johnston","given":"JoAnn","non-dropping-particle":"","parse-names":false,"suffix":""},{"dropping-particle":"","family":"Lanovaz","given":"Joel L","non-dropping-particle":"","parse-names":false,"suffix":""},{"dropping-particle":"","family":"Lattimer","given":"Lauren J","non-dropping-particle":"","parse-names":false,"suffix":""}],"container-title":"Physiotherapy Canada","id":"ITEM-1","issue":"4","issued":{"date-parts":[["2017"]]},"page":"323-332","title":"Does fall arrest strategy training added to a fall prevention programme improve balance, strength, and agility in older women? A pilot study","type":"article-journal","volume":"69"},"uris":["http://www.mendeley.com/documents/?uuid=06c5b349-57ea-3a81-96f6-d271d2e16ee7"]}],"mendeley":{"formattedCitation":"(Arnold, Walker-Johnston, Lanovaz, &amp; Lattimer, 2017)","plainTextFormattedCitation":"(Arnold, Walker-Johnston, Lanovaz, &amp; Lattimer, 2017)","previouslyFormattedCitation":"(Arnold, Walker-Johnston, Lanovaz, &amp; Lattimer, 2017)"},"properties":{"noteIndex":0},"schema":"https://github.com/citation-style-language/schema/raw/master/csl-citation.json"}</w:instrText>
      </w:r>
      <w:r w:rsidR="00FD528E" w:rsidRPr="00862598">
        <w:rPr>
          <w:rFonts w:ascii="Times New Roman" w:eastAsia="Times New Roman" w:hAnsi="Times New Roman" w:cs="Times New Roman"/>
          <w:bdr w:val="none" w:sz="0" w:space="0" w:color="auto" w:frame="1"/>
        </w:rPr>
        <w:fldChar w:fldCharType="separate"/>
      </w:r>
      <w:r w:rsidR="00FD528E" w:rsidRPr="00862598">
        <w:rPr>
          <w:rFonts w:ascii="Times New Roman" w:eastAsia="Times New Roman" w:hAnsi="Times New Roman" w:cs="Times New Roman"/>
          <w:noProof/>
          <w:bdr w:val="none" w:sz="0" w:space="0" w:color="auto" w:frame="1"/>
        </w:rPr>
        <w:t>(Arnold, Walker-Johnston, Lanovaz, &amp; Lattimer, 2017)</w:t>
      </w:r>
      <w:r w:rsidR="00FD528E" w:rsidRPr="00862598">
        <w:rPr>
          <w:rFonts w:ascii="Times New Roman" w:eastAsia="Times New Roman" w:hAnsi="Times New Roman" w:cs="Times New Roman"/>
          <w:bdr w:val="none" w:sz="0" w:space="0" w:color="auto" w:frame="1"/>
        </w:rPr>
        <w:fldChar w:fldCharType="end"/>
      </w:r>
      <w:r w:rsidR="00FD528E" w:rsidRPr="00862598">
        <w:rPr>
          <w:rFonts w:ascii="Times New Roman" w:eastAsia="Times New Roman" w:hAnsi="Times New Roman" w:cs="Times New Roman"/>
          <w:bdr w:val="none" w:sz="0" w:space="0" w:color="auto" w:frame="1"/>
        </w:rPr>
        <w:t xml:space="preserve">. Adding in progressive speed challenges for UE motion can also result in improved UE reaction time </w:t>
      </w:r>
      <w:r w:rsidR="00FD528E" w:rsidRPr="00862598">
        <w:rPr>
          <w:rFonts w:ascii="Times New Roman" w:eastAsia="Times New Roman" w:hAnsi="Times New Roman" w:cs="Times New Roman"/>
          <w:bdr w:val="none" w:sz="0" w:space="0" w:color="auto" w:frame="1"/>
        </w:rPr>
        <w:fldChar w:fldCharType="begin" w:fldLock="1"/>
      </w:r>
      <w:r w:rsidR="00B248A5" w:rsidRPr="00862598">
        <w:rPr>
          <w:rFonts w:ascii="Times New Roman" w:eastAsia="Times New Roman" w:hAnsi="Times New Roman" w:cs="Times New Roman"/>
          <w:bdr w:val="none" w:sz="0" w:space="0" w:color="auto" w:frame="1"/>
        </w:rPr>
        <w:instrText>ADDIN CSL_CITATION {"citationItems":[{"id":"ITEM-1","itemData":{"DOI":"10.1177/0031512519841755","ISBN":"0031512519841","ISSN":"1558688X","PMID":"31039674","abstract":"Current evidence indicates a strong relation between improved visuomotor choice reaction time (VMRT) and a reduced risk of lower extremity injury, making both lower- and upper extremity VMRT training paradigms valuable to athletes. This investigation studied as yet unconfirmed crossover effects of upper extremity training on lower extremity performance; and we evaluated underlying relevant perceptual and cognitive adaptations. In this three-armed, randomized, controlled intervention, we used a computerized training device to compare participants receiving four weeks of upper (n = 12) and lower (n = 12) extremity VMRT training with a control group (n = 13) of healthy participants. Collectively, our participants had a mean age of 24.6 years (SD = 2.2), a mean height of 173 cm (SD = 10), and a mean weight of 69.6 kg (SD = 12.1); 57% (n = 21) were female and 43% (n = 16) were male. We assessed participants’ upper and lower extremity VMRT performance and domain-specific perceptual and cognitive abilities before and after intervention and analyzed differences between their before and after performances. Lower extremity training enhanced VMRT performances for both lower extremity and crossover upper extremity. Upper extremity training improved VMRT for upper extremity and increased cognitive choice reaction performance but yielded no crossover effects to lower extremity. We found no effects of VMRT training on other domain-specific cognitive performance markers (attention, executive function, memory, or working memory). VMRT training modulated only task-specific cognitive performance and induced crossover effects from lower extremity training to upper extremity performance but not vice versa.","author":[{"dropping-particle":"","family":"Engeroff","given":"Tobias","non-dropping-particle":"","parse-names":false,"suffix":""},{"dropping-particle":"","family":"Giesche","given":"Florian","non-dropping-particle":"","parse-names":false,"suffix":""},{"dropping-particle":"","family":"Niederer","given":"Daniel","non-dropping-particle":"","parse-names":false,"suffix":""},{"dropping-particle":"","family":"Gerten","given":"Sina","non-dropping-particle":"","parse-names":false,"suffix":""},{"dropping-particle":"","family":"Wilke","given":"Jan","non-dropping-particle":"","parse-names":false,"suffix":""},{"dropping-particle":"","family":"Vogt","given":"Lutz","non-dropping-particle":"","parse-names":false,"suffix":""},{"dropping-particle":"","family":"Banzer","given":"Winfried","non-dropping-particle":"","parse-names":false,"suffix":""}],"container-title":"Perceptual and Motor Skills","id":"ITEM-1","issue":"4","issued":{"date-parts":[["2019"]]},"page":"675-693","title":"Explaining Upper or Lower Extremity Crossover Effects of Visuomotor Choice Reaction Time Training","type":"article-journal","volume":"126"},"uris":["http://www.mendeley.com/documents/?uuid=e784a16b-0bf7-4c93-9569-8218324ac656"]}],"mendeley":{"formattedCitation":"(Engeroff et al., 2019)","plainTextFormattedCitation":"(Engeroff et al., 2019)","previouslyFormattedCitation":"(Engeroff et al., 2019)"},"properties":{"noteIndex":0},"schema":"https://github.com/citation-style-language/schema/raw/master/csl-citation.json"}</w:instrText>
      </w:r>
      <w:r w:rsidR="00FD528E" w:rsidRPr="00862598">
        <w:rPr>
          <w:rFonts w:ascii="Times New Roman" w:eastAsia="Times New Roman" w:hAnsi="Times New Roman" w:cs="Times New Roman"/>
          <w:bdr w:val="none" w:sz="0" w:space="0" w:color="auto" w:frame="1"/>
        </w:rPr>
        <w:fldChar w:fldCharType="separate"/>
      </w:r>
      <w:r w:rsidR="00FD528E" w:rsidRPr="00862598">
        <w:rPr>
          <w:rFonts w:ascii="Times New Roman" w:eastAsia="Times New Roman" w:hAnsi="Times New Roman" w:cs="Times New Roman"/>
          <w:noProof/>
          <w:bdr w:val="none" w:sz="0" w:space="0" w:color="auto" w:frame="1"/>
        </w:rPr>
        <w:t>(Engeroff et al., 2019)</w:t>
      </w:r>
      <w:r w:rsidR="00FD528E" w:rsidRPr="00862598">
        <w:rPr>
          <w:rFonts w:ascii="Times New Roman" w:eastAsia="Times New Roman" w:hAnsi="Times New Roman" w:cs="Times New Roman"/>
          <w:bdr w:val="none" w:sz="0" w:space="0" w:color="auto" w:frame="1"/>
        </w:rPr>
        <w:fldChar w:fldCharType="end"/>
      </w:r>
      <w:r w:rsidR="00FD528E" w:rsidRPr="00862598">
        <w:rPr>
          <w:rFonts w:ascii="Times New Roman" w:eastAsia="Times New Roman" w:hAnsi="Times New Roman" w:cs="Times New Roman"/>
          <w:bdr w:val="none" w:sz="0" w:space="0" w:color="auto" w:frame="1"/>
        </w:rPr>
        <w:t>. The findings in this study support efforts to further explore activities incorporating SF motion and overall UE strength into fall prevention interventions.</w:t>
      </w:r>
    </w:p>
    <w:p w14:paraId="2F9E735B" w14:textId="3418FC8F" w:rsidR="007B0D27" w:rsidRPr="009B2CDA" w:rsidRDefault="00D26E5D" w:rsidP="00A33C2E">
      <w:pPr>
        <w:spacing w:line="480" w:lineRule="auto"/>
        <w:ind w:firstLine="360"/>
        <w:rPr>
          <w:rFonts w:ascii="Times New Roman" w:hAnsi="Times New Roman" w:cs="Times New Roman"/>
        </w:rPr>
      </w:pPr>
      <w:r>
        <w:rPr>
          <w:rFonts w:ascii="Times New Roman" w:hAnsi="Times New Roman" w:cs="Times New Roman"/>
        </w:rPr>
        <w:t>One</w:t>
      </w:r>
      <w:r w:rsidR="006E7FCE" w:rsidRPr="009B2CDA">
        <w:rPr>
          <w:rFonts w:ascii="Times New Roman" w:hAnsi="Times New Roman" w:cs="Times New Roman"/>
        </w:rPr>
        <w:t xml:space="preserve"> limitation of this study is the </w:t>
      </w:r>
      <w:r w:rsidR="002D65E7" w:rsidRPr="009B2CDA">
        <w:rPr>
          <w:rFonts w:ascii="Times New Roman" w:hAnsi="Times New Roman" w:cs="Times New Roman"/>
        </w:rPr>
        <w:t xml:space="preserve">lab simulation aspect of the design, where actual responses to a balance perturbation and forward fall may be quite different than </w:t>
      </w:r>
      <w:r>
        <w:rPr>
          <w:rFonts w:ascii="Times New Roman" w:hAnsi="Times New Roman" w:cs="Times New Roman"/>
        </w:rPr>
        <w:t xml:space="preserve">this </w:t>
      </w:r>
      <w:r w:rsidR="002D65E7" w:rsidRPr="009B2CDA">
        <w:rPr>
          <w:rFonts w:ascii="Times New Roman" w:hAnsi="Times New Roman" w:cs="Times New Roman"/>
        </w:rPr>
        <w:t xml:space="preserve">simulation. </w:t>
      </w:r>
      <w:r>
        <w:rPr>
          <w:rFonts w:ascii="Times New Roman" w:hAnsi="Times New Roman" w:cs="Times New Roman"/>
        </w:rPr>
        <w:t xml:space="preserve">However, the measurement of RT and MT used in this study may be more representative of the requirements in an actual forward fall </w:t>
      </w:r>
      <w:r w:rsidR="00237421" w:rsidRPr="009B2CDA">
        <w:rPr>
          <w:rFonts w:ascii="Times New Roman" w:hAnsi="Times New Roman" w:cs="Times New Roman"/>
        </w:rPr>
        <w:fldChar w:fldCharType="begin" w:fldLock="1"/>
      </w:r>
      <w:r w:rsidR="00237421" w:rsidRPr="009B2CDA">
        <w:rPr>
          <w:rFonts w:ascii="Times New Roman" w:hAnsi="Times New Roman" w:cs="Times New Roman"/>
        </w:rPr>
        <w:instrText>ADDIN CSL_CITATION {"citationItems":[{"id":"ITEM-1","itemData":{"DOI":"10.1016/S0268-0033(03)00005-6","ISBN":"0268-0033","ISSN":"02680033","PMID":"12689781","abstract":"Objective. This study tried to isolate critical biomechanical factors in fall arrests using the upper extremity during simulated forward falls. This study also attempted to find the differences in those factors between young and old age groups. Background. The role of the upper extremity is not well defined despite its primary usage as a local shock absorber during fall impact. Design. Comparative study in which two age groups underwent motion analysis. Methods. Ten healthy older males (mean age, 66.4 years) and 10 young males (mean age, 24.1 years) volunteered to perform self-initiated and cable-released falls at selected falling distances, while the joint motion and impact forces at the hand were recorded. Results. Significant age differences were demonstrated in joint kinematics and impact force parameters at close distances. Excessive reflexive responses of the upper extremity in cable-released falls for the older adults resulted in 10-15 times higher peak impact forces and 2-3 times shorter body braking time than in self-initiated falls. Conclusions. Pre-impact activities of the upper extremity predispose the post-impact response during fall arrests. Suppressing excessive pre-impact reflexive activation of the arms could efficiently decrease the risk of fall-related injuries, which calls for securing sufficient arm movement time. Any fall prevention strategy that can increase arm movement time would be effective against injuries of the upper extremity during falling in the older adults.Relevance The findings will help to understand underlying mechanisms of fall arrest using the upper extremity for prevention of fall-related fractures. ?? 2003 Elsevier Science Ltd. All rights reserved.","author":[{"dropping-particle":"","family":"Kim","given":"Kyu Jung","non-dropping-particle":"","parse-names":false,"suffix":""},{"dropping-particle":"","family":"Ashton-Miller","given":"James A.","non-dropping-particle":"","parse-names":false,"suffix":""}],"container-title":"Clinical Biomechanics","id":"ITEM-1","issue":"4","issued":{"date-parts":[["2003"]]},"page":"311-318","title":"Biomechanics of fall arrest using the upper extremity: Age differences","type":"article-journal","volume":"18"},"uris":["http://www.mendeley.com/documents/?uuid=6abd56db-e6bd-43ec-af5d-7fc998b5d941"]},{"id":"ITEM-2","itemData":{"DOI":"10.1016/S0021-9290(03)00034-4","ISBN":"0021-9290","ISSN":"00219290","PMID":"12757814","abstract":"Although the epidemiology of fall-related injuries is well established for the elderly population over 65 years of age, the biomechanics of how, when and why injuries do and do not occur when arresting a fall have received relatively little attention. This paper reviews the epidemiological literature in the MEDLINE data base pertinent to the biomechanics of fall-related injuries, including data on fall rates, fall-related injury rates, fall directions and types of injuries available. It also covers primary sources not listed on MEDLINE, along with the pertinent biomechanics literature. Many falls in older adults are in a forward direction, and as a result the upper extremities are one of the most commonly injured structures, presumably in protecting the head and torso. In this review emphasis is placed on what is, and what is not, known of the biomechanical factors that determine the impact forces and injury risk associated with upper extremity injuries in forward falls. While decreased bone mineral density may be contributory, it is not a reliable predictor of fracture risk. Evidence is presented that fall-related impact forces can be reduced by appropriate volitional arrest strategies. Further theoretical and experimental research is needed to identify appropriate fall-arrest strategies for the elderly, as well as the physical capacities and skills required to do so. Inexpensive interventions might then be developed to teach safe fall-arrest techniques to older individuals. © 2003 Elsevier Science Ltd. All rights reserved.","author":[{"dropping-particle":"","family":"DeGoede","given":"K. M.","non-dropping-particle":"","parse-names":false,"suffix":""},{"dropping-particle":"","family":"Ashton-Miller","given":"J. A.","non-dropping-particle":"","parse-names":false,"suffix":""},{"dropping-particle":"","family":"Schultz","given":"A. B.","non-dropping-particle":"","parse-names":false,"suffix":""}],"container-title":"Journal of Biomechanics","id":"ITEM-2","issue":"7","issued":{"date-parts":[["2003"]]},"page":"1043-1053","title":"Fall-related upper body injuries in the older adult: A review of the biomechanical issues","type":"article-journal","volume":"36"},"uris":["http://www.mendeley.com/documents/?uuid=e06d0119-b0bd-4a42-bc7f-571040611ee1"]}],"mendeley":{"formattedCitation":"(K. M. DeGoede et al., 2003; Kim &amp; Ashton-Miller, 2003)","manualFormatting":"(DeGoede et al., 2003; Kim &amp; Ashton-Miller, 2003)","plainTextFormattedCitation":"(K. M. DeGoede et al., 2003; Kim &amp; Ashton-Miller, 2003)","previouslyFormattedCitation":"(K. M. DeGoede et al., 2003; Kim &amp; Ashton-Miller, 2003)"},"properties":{"noteIndex":0},"schema":"https://github.com/citation-style-language/schema/raw/master/csl-citation.json"}</w:instrText>
      </w:r>
      <w:r w:rsidR="00237421" w:rsidRPr="009B2CDA">
        <w:rPr>
          <w:rFonts w:ascii="Times New Roman" w:hAnsi="Times New Roman" w:cs="Times New Roman"/>
        </w:rPr>
        <w:fldChar w:fldCharType="separate"/>
      </w:r>
      <w:r w:rsidR="00237421" w:rsidRPr="009B2CDA">
        <w:rPr>
          <w:rFonts w:ascii="Times New Roman" w:hAnsi="Times New Roman" w:cs="Times New Roman"/>
          <w:noProof/>
        </w:rPr>
        <w:t>(DeGoede et al., 2003; Kim &amp; Ashton-Miller, 2003)</w:t>
      </w:r>
      <w:r w:rsidR="00237421" w:rsidRPr="009B2CDA">
        <w:rPr>
          <w:rFonts w:ascii="Times New Roman" w:hAnsi="Times New Roman" w:cs="Times New Roman"/>
        </w:rPr>
        <w:fldChar w:fldCharType="end"/>
      </w:r>
      <w:r w:rsidR="00237421">
        <w:rPr>
          <w:rFonts w:ascii="Times New Roman" w:hAnsi="Times New Roman" w:cs="Times New Roman"/>
        </w:rPr>
        <w:t xml:space="preserve"> </w:t>
      </w:r>
      <w:r>
        <w:rPr>
          <w:rFonts w:ascii="Times New Roman" w:hAnsi="Times New Roman" w:cs="Times New Roman"/>
        </w:rPr>
        <w:t>than other tests of upper limb reaction time used in fall risk assessments</w:t>
      </w:r>
      <w:r w:rsidR="009F77E5">
        <w:rPr>
          <w:rFonts w:ascii="Times New Roman" w:hAnsi="Times New Roman" w:cs="Times New Roman"/>
        </w:rPr>
        <w:t xml:space="preserve"> </w:t>
      </w:r>
      <w:r w:rsidR="009F77E5">
        <w:rPr>
          <w:rFonts w:ascii="Times New Roman" w:hAnsi="Times New Roman" w:cs="Times New Roman"/>
        </w:rPr>
        <w:fldChar w:fldCharType="begin" w:fldLock="1"/>
      </w:r>
      <w:r w:rsidR="00C52BB6">
        <w:rPr>
          <w:rFonts w:ascii="Times New Roman" w:hAnsi="Times New Roman" w:cs="Times New Roman"/>
        </w:rPr>
        <w:instrText>ADDIN CSL_CITATION {"citationItems":[{"id":"ITEM-1","itemData":{"DOI":"10.1017/CBO9780511722233.018","ISBN":"0031-9023","ISSN":"1538-6724","PMID":"12620088","abstract":"The purpose of this perspective article is to describe the use of a physiological profile approach to falls risk assessment and prevention that has been developed by the Falls and Balance Research Group of the Prince of Wales Medical Research Institute, Sydney, Australia. The profile's use for people with a variety of factors that put them at risk for falls is discussed. The Physiological Profile Assessment (PPA) involves a series of simple tests of vision, peripheral sensation, muscle force, reaction time, and postural sway. The tests can be administered quickly, and all equipment needed is portable. The results can be used to differentiate people who are at risk for falls (\"fallers\") from people who are not at risk for falls (\"nonfallers\"). A computer program using data from the PPA can be used to assess an individual's performance in relation to a normative database so that deficits can be targeted for intervention. The PPA provides valid and reliable measurements that can be used for assessing falls risk and evaluating the effectiveness of interventions and is suitable for use in a range of physical therapy and health care settings.","author":[{"dropping-particle":"","family":"Lord","given":"Stephen R.","non-dropping-particle":"","parse-names":false,"suffix":""},{"dropping-particle":"","family":"Sherrington","given":"Catherine","non-dropping-particle":"","parse-names":false,"suffix":""},{"dropping-particle":"","family":"Menz","given":"Hylton B.","non-dropping-particle":"","parse-names":false,"suffix":""},{"dropping-particle":"","family":"Close","given":"Jacqueline C. T.","non-dropping-particle":"","parse-names":false,"suffix":""}],"container-title":"Falls in Older People","id":"ITEM-1","issue":"3","issued":{"date-parts":[["2003"]]},"page":"333-356","title":"A physiological profile approach to falls risk assessment and prevention","type":"article-journal","volume":"83"},"uris":["http://www.mendeley.com/documents/?uuid=79867669-ac09-4b23-a7b3-f7eac8666484"]}],"mendeley":{"formattedCitation":"(Lord et al., 2003)","plainTextFormattedCitation":"(Lord et al., 2003)","previouslyFormattedCitation":"(Lord et al., 2003)"},"properties":{"noteIndex":0},"schema":"https://github.com/citation-style-language/schema/raw/master/csl-citation.json"}</w:instrText>
      </w:r>
      <w:r w:rsidR="009F77E5">
        <w:rPr>
          <w:rFonts w:ascii="Times New Roman" w:hAnsi="Times New Roman" w:cs="Times New Roman"/>
        </w:rPr>
        <w:fldChar w:fldCharType="separate"/>
      </w:r>
      <w:r w:rsidR="009F77E5" w:rsidRPr="009F77E5">
        <w:rPr>
          <w:rFonts w:ascii="Times New Roman" w:hAnsi="Times New Roman" w:cs="Times New Roman"/>
          <w:noProof/>
        </w:rPr>
        <w:t>(Lord et al., 2003)</w:t>
      </w:r>
      <w:r w:rsidR="009F77E5">
        <w:rPr>
          <w:rFonts w:ascii="Times New Roman" w:hAnsi="Times New Roman" w:cs="Times New Roman"/>
        </w:rPr>
        <w:fldChar w:fldCharType="end"/>
      </w:r>
      <w:r>
        <w:rPr>
          <w:rFonts w:ascii="Times New Roman" w:hAnsi="Times New Roman" w:cs="Times New Roman"/>
        </w:rPr>
        <w:t xml:space="preserve">. </w:t>
      </w:r>
      <w:r w:rsidR="00C81E47" w:rsidRPr="009B2CDA">
        <w:rPr>
          <w:rFonts w:ascii="Times New Roman" w:hAnsi="Times New Roman" w:cs="Times New Roman"/>
        </w:rPr>
        <w:t>The testing of RT and MT for this study was part of a larger study design where components of forward landing and descent were simulated after the testing of RT and MT in the standing position</w:t>
      </w:r>
      <w:r w:rsidR="005B2AD2" w:rsidRPr="009B2CDA">
        <w:rPr>
          <w:rFonts w:ascii="Times New Roman" w:hAnsi="Times New Roman" w:cs="Times New Roman"/>
        </w:rPr>
        <w:t xml:space="preserve"> </w:t>
      </w:r>
      <w:r w:rsidR="005B2AD2" w:rsidRPr="009B2CDA">
        <w:rPr>
          <w:rFonts w:ascii="Times New Roman" w:hAnsi="Times New Roman" w:cs="Times New Roman"/>
        </w:rPr>
        <w:fldChar w:fldCharType="begin" w:fldLock="1"/>
      </w:r>
      <w:r w:rsidR="00A13716">
        <w:rPr>
          <w:rFonts w:ascii="Times New Roman" w:hAnsi="Times New Roman" w:cs="Times New Roman"/>
        </w:rPr>
        <w:instrText>ADDIN CSL_CITATION {"citationItems":[{"id":"ITEM-1","itemData":{"DOI":"10.1016/j.clinbiomech.2018.01.018","ISSN":"18791271","PMID":"29407858","abstract":"Background: Falling on the outstretched hands, a protective mechanism to arrest the body and avoid injury, requires upper limb and trunk motor control for effective body descent. Older women are particularly susceptible to injury from a forward fall, but the biomechanical and physiological (e.g., muscle strength) factors related to this increased risk are poorly understood. Determining age differences in the modifiable neuromuscular factors related to a forward fall landing and descent could help to inform injury prevention strategies. The purpose was to investigate age related differences in upper extremity strength and fall arrest strategy differences during a simulated fall and to evaluate the relationships between muscle strength and biomechanical variables. Methods: Nineteen younger (mean age 23.0 yrs., SD 3.8) and 16 older (mean age 68.2 yrs., SD 5.3) women performed five trials of simulated falls. Biomechanical measures and electromyographic muscle activity were recorded during the descents. Concentric, isometric and eccentric strength of the non-dominant upper limb was measured via a dynamometer using a customized protocol. Findings: Older women demonstrated lower concentric elbow extension strength compared to younger women (p = 0.002). Landing strategies differed where younger women had significantly greater elbow joint angle (p = 0.006) and velocity (p = 0.02) at impact. Older women demonstrated diminished capacity to absorb energy and control descent on outstretched hands compared to younger women (p = 0.001). Interpretation: The landing strategy used by older women along with decreased energy absorption may increase risk of fall-related injury and increase the likelihood of trunk or head impact with the ground.","author":[{"dropping-particle":"","family":"Lattimer","given":"Lauren J.","non-dropping-particle":"","parse-names":false,"suffix":""},{"dropping-particle":"","family":"Lanovaz","given":"Joel L.","non-dropping-particle":"","parse-names":false,"suffix":""},{"dropping-particle":"","family":"Farthing","given":"Jonathan P.","non-dropping-particle":"","parse-names":false,"suffix":""},{"dropping-particle":"","family":"Madill","given":"Stéphanie","non-dropping-particle":"","parse-names":false,"suffix":""},{"dropping-particle":"","family":"Kim","given":"Soo Y.","non-dropping-particle":"","parse-names":false,"suffix":""},{"dropping-particle":"","family":"Robinovitch","given":"Stephen","non-dropping-particle":"","parse-names":false,"suffix":""},{"dropping-particle":"","family":"Arnold","given":"Catherine M.","non-dropping-particle":"","parse-names":false,"suffix":""}],"container-title":"Clinical Biomechanics","id":"ITEM-1","issue":"January","issued":{"date-parts":[["2018"]]},"page":"102-108","publisher":"Elsevier","title":"Biomechanical and physiological age differences in a simulated forward fall on outstretched hands in women","type":"article-journal","volume":"52"},"uris":["http://www.mendeley.com/documents/?uuid=a5919139-5d17-4801-af12-68ad374312e7"]},{"id":"ITEM-2","itemData":{"DOI":"10.1123/japa.2016-0102","ISSN":"1063-8652","abstract":"The purposes of this study were to examine female age differences in: (1) upper extremity (UE) and trunk muscle activity, elbow joint moment, loading force, and UE energy absorption during a controlled forward body descent; and (2) UE muscle strength. Twenty young (mean 24.8 ± 3.4 years) and 20 older (68.4 ± 5.7 years) women were assessed via dynamometry for isometric, concentric, and eccentric UE strength and performed forward descents on force plates at three body lean angles (60°, 45°, and 30° from horizontal). Significant differences (p &lt; .05) were found for muscle strength, biomechanics, and muscle activity. Concentric UE strength averaged 15% lower in older women. At 30° body lean, older women absorbed less energy. Older women had greater biceps brachii activation and less external oblique activation at all body lean angles. Age differences in muscle strength, activation, and energy absorption may contribute to fall-related injury risk.","author":[{"dropping-particle":"","family":"Lattimer","given":"Lauren J.","non-dropping-particle":"","parse-names":false,"suffix":""},{"dropping-particle":"","family":"Lanovaz","given":"Joel L.","non-dropping-particle":"","parse-names":false,"suffix":""},{"dropping-particle":"","family":"Farthing","given":"Jonathan P.","non-dropping-particle":"","parse-names":false,"suffix":""},{"dropping-particle":"","family":"Madill","given":"Stéphanie","non-dropping-particle":"","parse-names":false,"suffix":""},{"dropping-particle":"","family":"Kim","given":"Soo","non-dropping-particle":"","parse-names":false,"suffix":""},{"dropping-particle":"","family":"Robinovitch","given":"Stephen","non-dropping-particle":"","parse-names":false,"suffix":""},{"dropping-particle":"","family":"Arnold","given":"Cathy","non-dropping-particle":"","parse-names":false,"suffix":""}],"container-title":"Journal of Aging and Physical Activity","id":"ITEM-2","issue":"3","issued":{"date-parts":[["2017","7","28"]]},"page":"474-481","publisher":"Human KineticsChampaign, Illinois, USA","title":"Female Age-Related Differences in Biomechanics and Muscle Activity During Descents on the Outstretched Arms","type":"article-journal","volume":"25"},"uris":["http://www.mendeley.com/documents/?uuid=579ee806-278f-39e9-b3f9-42f40462668d"]}],"mendeley":{"formattedCitation":"(Lattimer et al., 2017, 2018)","plainTextFormattedCitation":"(Lattimer et al., 2017, 2018)","previouslyFormattedCitation":"(Lattimer et al., 2017, 2018)"},"properties":{"noteIndex":0},"schema":"https://github.com/citation-style-language/schema/raw/master/csl-citation.json"}</w:instrText>
      </w:r>
      <w:r w:rsidR="005B2AD2" w:rsidRPr="009B2CDA">
        <w:rPr>
          <w:rFonts w:ascii="Times New Roman" w:hAnsi="Times New Roman" w:cs="Times New Roman"/>
        </w:rPr>
        <w:fldChar w:fldCharType="separate"/>
      </w:r>
      <w:r w:rsidR="005B2AD2" w:rsidRPr="009B2CDA">
        <w:rPr>
          <w:rFonts w:ascii="Times New Roman" w:hAnsi="Times New Roman" w:cs="Times New Roman"/>
          <w:noProof/>
        </w:rPr>
        <w:t>(Lattimer et al., 2017, 2018)</w:t>
      </w:r>
      <w:r w:rsidR="005B2AD2" w:rsidRPr="009B2CDA">
        <w:rPr>
          <w:rFonts w:ascii="Times New Roman" w:hAnsi="Times New Roman" w:cs="Times New Roman"/>
        </w:rPr>
        <w:fldChar w:fldCharType="end"/>
      </w:r>
      <w:r w:rsidR="00C81E47" w:rsidRPr="009B2CDA">
        <w:rPr>
          <w:rFonts w:ascii="Times New Roman" w:hAnsi="Times New Roman" w:cs="Times New Roman"/>
        </w:rPr>
        <w:t>. Simulation can provide some information related to the phases of falling but are difficult to extrapolate to an actual fall event/ For example, a</w:t>
      </w:r>
      <w:r w:rsidR="002D65E7" w:rsidRPr="009B2CDA">
        <w:rPr>
          <w:rFonts w:ascii="Times New Roman" w:hAnsi="Times New Roman" w:cs="Times New Roman"/>
        </w:rPr>
        <w:t xml:space="preserve">n </w:t>
      </w:r>
      <w:r w:rsidR="006E7FCE" w:rsidRPr="009B2CDA">
        <w:rPr>
          <w:rFonts w:ascii="Times New Roman" w:hAnsi="Times New Roman" w:cs="Times New Roman"/>
        </w:rPr>
        <w:t xml:space="preserve">auditory cue utilised to initiate an arm response is not representative of </w:t>
      </w:r>
      <w:r w:rsidR="00C81E47" w:rsidRPr="009B2CDA">
        <w:rPr>
          <w:rFonts w:ascii="Times New Roman" w:hAnsi="Times New Roman" w:cs="Times New Roman"/>
        </w:rPr>
        <w:t xml:space="preserve">the cues for response initiated by a balance </w:t>
      </w:r>
      <w:r w:rsidR="006E7FCE" w:rsidRPr="009B2CDA">
        <w:rPr>
          <w:rFonts w:ascii="Times New Roman" w:hAnsi="Times New Roman" w:cs="Times New Roman"/>
        </w:rPr>
        <w:t>perturbation.</w:t>
      </w:r>
      <w:r w:rsidR="006F5FCC" w:rsidRPr="009B2CDA">
        <w:rPr>
          <w:rFonts w:ascii="Times New Roman" w:hAnsi="Times New Roman" w:cs="Times New Roman"/>
        </w:rPr>
        <w:t xml:space="preserve"> An individual’s true response time may be different during a real fall.</w:t>
      </w:r>
      <w:r w:rsidR="006E7FCE" w:rsidRPr="009B2CDA">
        <w:rPr>
          <w:rFonts w:ascii="Times New Roman" w:hAnsi="Times New Roman" w:cs="Times New Roman"/>
        </w:rPr>
        <w:t xml:space="preserve"> </w:t>
      </w:r>
      <w:r w:rsidR="006E7FCE" w:rsidRPr="009B2CDA">
        <w:rPr>
          <w:rFonts w:ascii="Times New Roman" w:hAnsi="Times New Roman" w:cs="Times New Roman"/>
        </w:rPr>
        <w:lastRenderedPageBreak/>
        <w:t>Similar to</w:t>
      </w:r>
      <w:r w:rsidR="00C705CE" w:rsidRPr="009B2CDA">
        <w:rPr>
          <w:rFonts w:ascii="Times New Roman" w:hAnsi="Times New Roman" w:cs="Times New Roman"/>
        </w:rPr>
        <w:t xml:space="preserve"> that of</w:t>
      </w:r>
      <w:r w:rsidR="006E7FCE" w:rsidRPr="009B2CDA">
        <w:rPr>
          <w:rFonts w:ascii="Times New Roman" w:hAnsi="Times New Roman" w:cs="Times New Roman"/>
        </w:rPr>
        <w:t xml:space="preserve"> previous work </w:t>
      </w:r>
      <w:r w:rsidR="002E59BB"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{"citationItems":[{"id":"ITEM-1","itemData":{"DOI":"60/12/1553 [pii]","ISBN":"1079-5006 (Print)\\n1079-5006 (Linking)","ISSN":"1079-5006","PMID":"16424287","abstract":"BACKGROUND: Risk for hip fracture during a fall is reduced by contacting the ground first with the outstretched hands. However, it is unclear whether the time required for young and elderly individuals to move the hands into a protective position exceeds that available during a typical fall. METHODS: We tested whether young (n = 30; aged 18-35 years) and elderly women (n = 30; aged 70-88 years) differed in the time required to move their hands into a protective position for breaking a fall. Participants stood either facing or sideways to shoulder-height targets (simulating forward and sideways falls, respectively), which they were instructed to contact as quickly as possible after hearing an aural go cue. Total contact time was partitioned into reaction time and movement time. RESULTS: Young women contacted the targets faster than elderly women in both forward (530 +/- 60 vs 615 +/- 88 ms; p &lt;.001) and sideways trials (658 +/- 80 vs 799 +/- 145 ms; p &lt;.001). This difference was due to faster movement times for young participants. There was no difference between groups in reaction time. CONCLUSIONS: Previous studies have shown that during actual falls from standing, wrist and pelvis contact occur at 680 +/- 116 and 715 +/- 160 ms, respectively. Comparing these values to our results suggests that the typical elderly woman should be able to move her hands quickly enough to break a forward fall, but not a sideways fall.","author":[{"dropping-particle":"","family":"Robinovitch","given":"Stephen N","non-dropping-particle":"","parse-names":false,"suffix":""},{"dropping-particle":"","family":"Normandin","given":"Sarah C","non-dropping-particle":"","parse-names":false,"suffix":""},{"dropping-particle":"","family":"Stotz","given":"Paula","non-dropping-particle":"","parse-names":false,"suffix":""},{"dropping-particle":"","family":"Maurer","given":"Jessica D","non-dropping-particle":"","parse-names":false,"suffix":""}],"container-title":"The journals of gerontology. Series A, Biological sciences and medical sciences","id":"ITEM-1","issue":"12","issued":{"date-parts":[["2005"]]},"page":"1553-1557","title":"Time requirement for young and elderly women to move into a position for breaking a fall with outstretched hands.","type":"article-journal","volume":"60"},"uris":["http://www.mendeley.com/documents/?uuid=4d42e289-8bff-4c16-af86-25c47e9f82c8"]}],"mendeley":{"formattedCitation":"(Robinovitch et al., 2005)","plainTextFormattedCitation":"(Robinovitch et al., 2005)","previouslyFormattedCitation":"(Robinovitch et al., 2005)"},"properties":{"noteIndex":0},"schema":"https://github.com/citation-style-language/schema/raw/master/csl-citation.json"}</w:instrText>
      </w:r>
      <w:r w:rsidR="002E59BB" w:rsidRPr="009B2CDA">
        <w:rPr>
          <w:rFonts w:ascii="Times New Roman" w:hAnsi="Times New Roman" w:cs="Times New Roman"/>
        </w:rPr>
        <w:fldChar w:fldCharType="separate"/>
      </w:r>
      <w:r w:rsidR="00BB5C78" w:rsidRPr="009B2CDA">
        <w:rPr>
          <w:rFonts w:ascii="Times New Roman" w:hAnsi="Times New Roman" w:cs="Times New Roman"/>
          <w:noProof/>
        </w:rPr>
        <w:t>(Robinovitch et al., 2005)</w:t>
      </w:r>
      <w:r w:rsidR="002E59BB" w:rsidRPr="009B2CDA">
        <w:rPr>
          <w:rFonts w:ascii="Times New Roman" w:hAnsi="Times New Roman" w:cs="Times New Roman"/>
        </w:rPr>
        <w:fldChar w:fldCharType="end"/>
      </w:r>
      <w:r w:rsidR="006E7FCE" w:rsidRPr="009B2CDA">
        <w:rPr>
          <w:rFonts w:ascii="Times New Roman" w:hAnsi="Times New Roman" w:cs="Times New Roman"/>
        </w:rPr>
        <w:t xml:space="preserve">, due to safety constraints </w:t>
      </w:r>
      <w:r w:rsidR="005738F4" w:rsidRPr="009B2CDA">
        <w:rPr>
          <w:rFonts w:ascii="Times New Roman" w:hAnsi="Times New Roman" w:cs="Times New Roman"/>
        </w:rPr>
        <w:t>of</w:t>
      </w:r>
      <w:r w:rsidR="006E7FCE" w:rsidRPr="009B2CDA">
        <w:rPr>
          <w:rFonts w:ascii="Times New Roman" w:hAnsi="Times New Roman" w:cs="Times New Roman"/>
        </w:rPr>
        <w:t xml:space="preserve"> implementing actual falls, this study does not account for the urgency and associated fear response instigated by a fall.</w:t>
      </w:r>
      <w:r w:rsidR="006F5FCC" w:rsidRPr="009B2CDA">
        <w:rPr>
          <w:rFonts w:ascii="Times New Roman" w:hAnsi="Times New Roman" w:cs="Times New Roman"/>
        </w:rPr>
        <w:t xml:space="preserve"> </w:t>
      </w:r>
    </w:p>
    <w:p w14:paraId="655B7891" w14:textId="7E184090" w:rsidR="007B0D27" w:rsidRPr="009B2CDA" w:rsidRDefault="007B0D27" w:rsidP="00A33C2E">
      <w:pPr>
        <w:spacing w:line="480" w:lineRule="auto"/>
        <w:jc w:val="center"/>
        <w:rPr>
          <w:rFonts w:ascii="Times New Roman" w:hAnsi="Times New Roman" w:cs="Times New Roman"/>
          <w:b/>
        </w:rPr>
      </w:pPr>
      <w:r w:rsidRPr="009B2CDA">
        <w:rPr>
          <w:rFonts w:ascii="Times New Roman" w:hAnsi="Times New Roman" w:cs="Times New Roman"/>
          <w:b/>
        </w:rPr>
        <w:t>Conclusion</w:t>
      </w:r>
    </w:p>
    <w:p w14:paraId="5FCE191C" w14:textId="2DB60B4A" w:rsidR="005142D8" w:rsidRDefault="00A91F4C" w:rsidP="00A33C2E">
      <w:pPr>
        <w:spacing w:line="480" w:lineRule="auto"/>
        <w:ind w:firstLine="720"/>
        <w:rPr>
          <w:rFonts w:ascii="Times New Roman" w:hAnsi="Times New Roman" w:cs="Times New Roman"/>
        </w:rPr>
      </w:pPr>
      <w:r w:rsidRPr="00862598">
        <w:rPr>
          <w:rFonts w:ascii="Times New Roman" w:hAnsi="Times New Roman" w:cs="Times New Roman"/>
        </w:rPr>
        <w:t>Upper limb reaction and movement speed is consistently and significantly associated with higher hand grips and stronger shoulder flexion capacity.</w:t>
      </w:r>
      <w:r w:rsidR="00122374" w:rsidRPr="009B2CDA">
        <w:rPr>
          <w:rFonts w:ascii="Times New Roman" w:hAnsi="Times New Roman" w:cs="Times New Roman"/>
        </w:rPr>
        <w:t xml:space="preserve"> </w:t>
      </w:r>
      <w:r w:rsidR="0030656A" w:rsidRPr="009B2CDA">
        <w:rPr>
          <w:rFonts w:ascii="Times New Roman" w:hAnsi="Times New Roman" w:cs="Times New Roman"/>
        </w:rPr>
        <w:t>RT was related to global functional measures</w:t>
      </w:r>
      <w:r w:rsidR="005D6A4E" w:rsidRPr="009B2CDA">
        <w:rPr>
          <w:rFonts w:ascii="Times New Roman" w:hAnsi="Times New Roman" w:cs="Times New Roman"/>
        </w:rPr>
        <w:t xml:space="preserve"> (HG)</w:t>
      </w:r>
      <w:r w:rsidR="0030656A" w:rsidRPr="009B2CDA">
        <w:rPr>
          <w:rFonts w:ascii="Times New Roman" w:hAnsi="Times New Roman" w:cs="Times New Roman"/>
        </w:rPr>
        <w:t xml:space="preserve"> while MT was related to specific arm strength measures</w:t>
      </w:r>
      <w:r w:rsidR="005D6A4E" w:rsidRPr="009B2CDA">
        <w:rPr>
          <w:rFonts w:ascii="Times New Roman" w:hAnsi="Times New Roman" w:cs="Times New Roman"/>
        </w:rPr>
        <w:t xml:space="preserve"> (SF)</w:t>
      </w:r>
      <w:r w:rsidR="0030656A" w:rsidRPr="009B2CDA">
        <w:rPr>
          <w:rFonts w:ascii="Times New Roman" w:hAnsi="Times New Roman" w:cs="Times New Roman"/>
        </w:rPr>
        <w:t xml:space="preserve">. The </w:t>
      </w:r>
      <w:r w:rsidR="008A0381" w:rsidRPr="009B2CDA">
        <w:rPr>
          <w:rFonts w:ascii="Times New Roman" w:hAnsi="Times New Roman" w:cs="Times New Roman"/>
        </w:rPr>
        <w:t xml:space="preserve">findings </w:t>
      </w:r>
      <w:r w:rsidR="0030656A" w:rsidRPr="00862598">
        <w:rPr>
          <w:rFonts w:ascii="Times New Roman" w:hAnsi="Times New Roman" w:cs="Times New Roman"/>
        </w:rPr>
        <w:t xml:space="preserve">suggest </w:t>
      </w:r>
      <w:r w:rsidR="003D4E2B" w:rsidRPr="00862598">
        <w:rPr>
          <w:rFonts w:ascii="Times New Roman" w:hAnsi="Times New Roman" w:cs="Times New Roman"/>
        </w:rPr>
        <w:t>stronger arm strength measures were related to faster upper body reaction and movement time, with 10-20% higher strength associated with a 5% faster response time.</w:t>
      </w:r>
      <w:r w:rsidR="003A2DE2" w:rsidRPr="00862598">
        <w:rPr>
          <w:rFonts w:ascii="Times New Roman" w:hAnsi="Times New Roman" w:cs="Times New Roman"/>
        </w:rPr>
        <w:t xml:space="preserve"> </w:t>
      </w:r>
      <w:r w:rsidR="00C429B7" w:rsidRPr="00862598">
        <w:rPr>
          <w:rFonts w:ascii="Times New Roman" w:hAnsi="Times New Roman" w:cs="Times New Roman"/>
        </w:rPr>
        <w:t>An understanding of the relationship of</w:t>
      </w:r>
      <w:r w:rsidR="00A018EB" w:rsidRPr="00862598">
        <w:rPr>
          <w:rFonts w:ascii="Times New Roman" w:hAnsi="Times New Roman" w:cs="Times New Roman"/>
        </w:rPr>
        <w:t xml:space="preserve"> the</w:t>
      </w:r>
      <w:r w:rsidR="00C429B7" w:rsidRPr="00862598">
        <w:rPr>
          <w:rFonts w:ascii="Times New Roman" w:hAnsi="Times New Roman" w:cs="Times New Roman"/>
        </w:rPr>
        <w:t xml:space="preserve"> modifiable factors to arm RT and MT provides important information for practitioners working with older </w:t>
      </w:r>
      <w:r w:rsidR="00DF6E78" w:rsidRPr="00862598">
        <w:rPr>
          <w:rFonts w:ascii="Times New Roman" w:hAnsi="Times New Roman" w:cs="Times New Roman"/>
        </w:rPr>
        <w:t>female participants</w:t>
      </w:r>
      <w:r w:rsidR="00C429B7" w:rsidRPr="00862598">
        <w:rPr>
          <w:rFonts w:ascii="Times New Roman" w:hAnsi="Times New Roman" w:cs="Times New Roman"/>
        </w:rPr>
        <w:t>, especially</w:t>
      </w:r>
      <w:r w:rsidR="00C429B7" w:rsidRPr="009B2CDA">
        <w:rPr>
          <w:rFonts w:ascii="Times New Roman" w:hAnsi="Times New Roman" w:cs="Times New Roman"/>
        </w:rPr>
        <w:t xml:space="preserve"> when designing fall injury prevention programs.</w:t>
      </w:r>
    </w:p>
    <w:p w14:paraId="368C1BFE" w14:textId="77777777" w:rsidR="00A33C2E" w:rsidRPr="009B2CDA" w:rsidRDefault="00A33C2E" w:rsidP="00A33C2E">
      <w:pPr>
        <w:spacing w:line="480" w:lineRule="auto"/>
        <w:ind w:firstLine="720"/>
        <w:rPr>
          <w:rFonts w:ascii="Times New Roman" w:hAnsi="Times New Roman" w:cs="Times New Roman"/>
        </w:rPr>
      </w:pPr>
    </w:p>
    <w:p w14:paraId="3D01E98B" w14:textId="29EACAC8" w:rsidR="007428CB" w:rsidRDefault="007428CB" w:rsidP="00A33C2E">
      <w:pPr>
        <w:spacing w:line="480" w:lineRule="auto"/>
        <w:rPr>
          <w:rFonts w:ascii="Times New Roman" w:hAnsi="Times New Roman" w:cs="Times New Roman"/>
        </w:rPr>
      </w:pPr>
      <w:r w:rsidRPr="009B2CDA">
        <w:rPr>
          <w:rFonts w:ascii="Times New Roman" w:hAnsi="Times New Roman" w:cs="Times New Roman"/>
          <w:b/>
        </w:rPr>
        <w:t>Conflicts of interest</w:t>
      </w:r>
      <w:r w:rsidR="00141AE6" w:rsidRPr="009B2CDA">
        <w:rPr>
          <w:rFonts w:ascii="Times New Roman" w:hAnsi="Times New Roman" w:cs="Times New Roman"/>
          <w:b/>
        </w:rPr>
        <w:t xml:space="preserve">: </w:t>
      </w:r>
      <w:r w:rsidR="00141AE6" w:rsidRPr="009B2CDA">
        <w:rPr>
          <w:rFonts w:ascii="Times New Roman" w:hAnsi="Times New Roman" w:cs="Times New Roman"/>
        </w:rPr>
        <w:t>Authors declare no conflicts of interest.</w:t>
      </w:r>
    </w:p>
    <w:p w14:paraId="2F7212DB" w14:textId="77777777" w:rsidR="00A33C2E" w:rsidRPr="009B2CDA" w:rsidRDefault="00A33C2E" w:rsidP="00A33C2E">
      <w:pPr>
        <w:spacing w:line="480" w:lineRule="auto"/>
        <w:rPr>
          <w:rFonts w:ascii="Times New Roman" w:hAnsi="Times New Roman" w:cs="Times New Roman"/>
          <w:b/>
        </w:rPr>
      </w:pPr>
    </w:p>
    <w:p w14:paraId="22086C88" w14:textId="6CAF549D" w:rsidR="009F55FC" w:rsidRPr="009B2CDA" w:rsidRDefault="009F55FC" w:rsidP="00A33C2E">
      <w:pPr>
        <w:spacing w:line="480" w:lineRule="auto"/>
        <w:rPr>
          <w:rFonts w:ascii="Times New Roman" w:hAnsi="Times New Roman" w:cs="Times New Roman"/>
        </w:rPr>
      </w:pPr>
      <w:r w:rsidRPr="009B2CDA">
        <w:rPr>
          <w:rFonts w:ascii="Times New Roman" w:hAnsi="Times New Roman" w:cs="Times New Roman"/>
          <w:b/>
        </w:rPr>
        <w:t>Funding:</w:t>
      </w:r>
      <w:r w:rsidRPr="009B2CDA">
        <w:rPr>
          <w:rFonts w:ascii="Times New Roman" w:hAnsi="Times New Roman" w:cs="Times New Roman"/>
        </w:rPr>
        <w:t xml:space="preserve"> This research was supported in part by the BLINDED program [#BLINDED], BLINDED Health Research Foundation Collaborative Innovation Development Grant and BLINDED Health Research Foundation and BLINDED for Patient Oriented Research Collaborative Innovation Development Grant </w:t>
      </w:r>
    </w:p>
    <w:p w14:paraId="12D78BF9" w14:textId="4E669DC1" w:rsidR="00A33C2E" w:rsidRDefault="00A33C2E">
      <w:pPr>
        <w:rPr>
          <w:rFonts w:ascii="Times New Roman" w:hAnsi="Times New Roman" w:cs="Times New Roman"/>
        </w:rPr>
      </w:pPr>
      <w:r>
        <w:rPr>
          <w:rFonts w:ascii="Times New Roman" w:hAnsi="Times New Roman" w:cs="Times New Roman"/>
        </w:rPr>
        <w:br w:type="page"/>
      </w:r>
    </w:p>
    <w:p w14:paraId="51BEDA6A" w14:textId="77777777" w:rsidR="008A0381" w:rsidRPr="009B2CDA" w:rsidRDefault="008A0381" w:rsidP="00A33C2E">
      <w:pPr>
        <w:spacing w:line="480" w:lineRule="auto"/>
        <w:rPr>
          <w:rFonts w:ascii="Times New Roman" w:hAnsi="Times New Roman" w:cs="Times New Roman"/>
        </w:rPr>
      </w:pPr>
    </w:p>
    <w:p w14:paraId="1083460D" w14:textId="1AA9B85F" w:rsidR="007428CB" w:rsidRPr="009B2CDA" w:rsidRDefault="007428CB" w:rsidP="00A33C2E">
      <w:pPr>
        <w:spacing w:line="480" w:lineRule="auto"/>
        <w:jc w:val="center"/>
        <w:rPr>
          <w:rFonts w:ascii="Times New Roman" w:hAnsi="Times New Roman" w:cs="Times New Roman"/>
          <w:b/>
        </w:rPr>
      </w:pPr>
      <w:r w:rsidRPr="009B2CDA">
        <w:rPr>
          <w:rFonts w:ascii="Times New Roman" w:hAnsi="Times New Roman" w:cs="Times New Roman"/>
          <w:b/>
        </w:rPr>
        <w:t>References</w:t>
      </w:r>
      <w:r w:rsidR="00802525" w:rsidRPr="009B2CDA">
        <w:rPr>
          <w:rFonts w:ascii="Times New Roman" w:hAnsi="Times New Roman" w:cs="Times New Roman"/>
          <w:b/>
        </w:rPr>
        <w:t>:</w:t>
      </w:r>
    </w:p>
    <w:p w14:paraId="6AC020E3" w14:textId="0F3E5326" w:rsidR="006B4E0A" w:rsidRPr="006B4E0A" w:rsidRDefault="00F35E24"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9B2CDA">
        <w:rPr>
          <w:rFonts w:ascii="Times New Roman" w:hAnsi="Times New Roman" w:cs="Times New Roman"/>
        </w:rPr>
        <w:fldChar w:fldCharType="begin" w:fldLock="1"/>
      </w:r>
      <w:r w:rsidRPr="009B2CDA">
        <w:rPr>
          <w:rFonts w:ascii="Times New Roman" w:hAnsi="Times New Roman" w:cs="Times New Roman"/>
        </w:rPr>
        <w:instrText xml:space="preserve">ADDIN Mendeley Bibliography CSL_BIBLIOGRAPHY </w:instrText>
      </w:r>
      <w:r w:rsidRPr="009B2CDA">
        <w:rPr>
          <w:rFonts w:ascii="Times New Roman" w:hAnsi="Times New Roman" w:cs="Times New Roman"/>
        </w:rPr>
        <w:fldChar w:fldCharType="separate"/>
      </w:r>
      <w:r w:rsidR="006B4E0A" w:rsidRPr="006B4E0A">
        <w:rPr>
          <w:rFonts w:ascii="Times New Roman" w:hAnsi="Times New Roman" w:cs="Times New Roman"/>
          <w:noProof/>
          <w:lang w:val="en-US"/>
        </w:rPr>
        <w:t xml:space="preserve">Andrews, A. W., Thomas, M. W., &amp; Bohannon, R. W. (1996). Normative Values for Isometric Muscle Force Measurements Obtained With Hand-held Dynamometers. </w:t>
      </w:r>
      <w:r w:rsidR="006B4E0A" w:rsidRPr="006B4E0A">
        <w:rPr>
          <w:rFonts w:ascii="Times New Roman" w:hAnsi="Times New Roman" w:cs="Times New Roman"/>
          <w:i/>
          <w:iCs/>
          <w:noProof/>
          <w:lang w:val="en-US"/>
        </w:rPr>
        <w:t>Physical Therapy</w:t>
      </w:r>
      <w:r w:rsidR="006B4E0A" w:rsidRPr="006B4E0A">
        <w:rPr>
          <w:rFonts w:ascii="Times New Roman" w:hAnsi="Times New Roman" w:cs="Times New Roman"/>
          <w:noProof/>
          <w:lang w:val="en-US"/>
        </w:rPr>
        <w:t xml:space="preserve">, </w:t>
      </w:r>
      <w:r w:rsidR="006B4E0A" w:rsidRPr="006B4E0A">
        <w:rPr>
          <w:rFonts w:ascii="Times New Roman" w:hAnsi="Times New Roman" w:cs="Times New Roman"/>
          <w:i/>
          <w:iCs/>
          <w:noProof/>
          <w:lang w:val="en-US"/>
        </w:rPr>
        <w:t>76</w:t>
      </w:r>
      <w:r w:rsidR="006B4E0A" w:rsidRPr="006B4E0A">
        <w:rPr>
          <w:rFonts w:ascii="Times New Roman" w:hAnsi="Times New Roman" w:cs="Times New Roman"/>
          <w:noProof/>
          <w:lang w:val="en-US"/>
        </w:rPr>
        <w:t>(3), 248–259. https://doi.org/10.1093/ptj/76.3.248</w:t>
      </w:r>
    </w:p>
    <w:p w14:paraId="67BA87D1"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Arnold, C. M., Walker-Johnston, J., Lanovaz, J. L., &amp; Lattimer, L. J. (2017). Does fall arrest strategy training added to a fall prevention programme improve balance, strength, and agility in older women? A pilot study. </w:t>
      </w:r>
      <w:r w:rsidRPr="006B4E0A">
        <w:rPr>
          <w:rFonts w:ascii="Times New Roman" w:hAnsi="Times New Roman" w:cs="Times New Roman"/>
          <w:i/>
          <w:iCs/>
          <w:noProof/>
          <w:lang w:val="en-US"/>
        </w:rPr>
        <w:t>Physiotherapy Canada</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69</w:t>
      </w:r>
      <w:r w:rsidRPr="006B4E0A">
        <w:rPr>
          <w:rFonts w:ascii="Times New Roman" w:hAnsi="Times New Roman" w:cs="Times New Roman"/>
          <w:noProof/>
          <w:lang w:val="en-US"/>
        </w:rPr>
        <w:t>(4), 323–332. https://doi.org/10.3138/ptc.2016-27EP</w:t>
      </w:r>
    </w:p>
    <w:p w14:paraId="79F95795"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Borrelli, J. R., Zabukovec, J., Jones, S., Junod, C. A., &amp; Maki, B. E. (2019). Age-related changes in the capacity to select early-onset upper-limb reactions to either recover balance or protect against impact. </w:t>
      </w:r>
      <w:r w:rsidRPr="006B4E0A">
        <w:rPr>
          <w:rFonts w:ascii="Times New Roman" w:hAnsi="Times New Roman" w:cs="Times New Roman"/>
          <w:i/>
          <w:iCs/>
          <w:noProof/>
          <w:lang w:val="en-US"/>
        </w:rPr>
        <w:t>Experimental Gerontology</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125</w:t>
      </w:r>
      <w:r w:rsidRPr="006B4E0A">
        <w:rPr>
          <w:rFonts w:ascii="Times New Roman" w:hAnsi="Times New Roman" w:cs="Times New Roman"/>
          <w:noProof/>
          <w:lang w:val="en-US"/>
        </w:rPr>
        <w:t>, 110676. https://doi.org/10.1016/J.EXGER.2019.110676</w:t>
      </w:r>
    </w:p>
    <w:p w14:paraId="6DA1D63A"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Brogren, E., Hofer, M., Petranek, M., Dahlin, L. B., &amp; Atroshi, I. (2011). Fractures of the distal radius in women aged 50 to 75 years: Natural course of patient-reported outcome, wrist motion and grip strength between 1 year and 2-4 years after fracture. </w:t>
      </w:r>
      <w:r w:rsidRPr="006B4E0A">
        <w:rPr>
          <w:rFonts w:ascii="Times New Roman" w:hAnsi="Times New Roman" w:cs="Times New Roman"/>
          <w:i/>
          <w:iCs/>
          <w:noProof/>
          <w:lang w:val="en-US"/>
        </w:rPr>
        <w:t>Journal of Hand Surgery: European Volume</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36</w:t>
      </w:r>
      <w:r w:rsidRPr="006B4E0A">
        <w:rPr>
          <w:rFonts w:ascii="Times New Roman" w:hAnsi="Times New Roman" w:cs="Times New Roman"/>
          <w:noProof/>
          <w:lang w:val="en-US"/>
        </w:rPr>
        <w:t>(7), 568–576. https://doi.org/10.1177/1753193411409317</w:t>
      </w:r>
    </w:p>
    <w:p w14:paraId="74A46CDF"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DeGoede, K. M., Ashton-Miller, J. A., Liao, J. M., &amp; Alexander, N. B. (2001). How quickly can healthy adults move their hands to intercept an approaching object? Age and gender effects. </w:t>
      </w:r>
      <w:r w:rsidRPr="006B4E0A">
        <w:rPr>
          <w:rFonts w:ascii="Times New Roman" w:hAnsi="Times New Roman" w:cs="Times New Roman"/>
          <w:i/>
          <w:iCs/>
          <w:noProof/>
          <w:lang w:val="en-US"/>
        </w:rPr>
        <w:t>The Journals of Gerontology Series A: Biological Sciences and Medical Sciences</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56</w:t>
      </w:r>
      <w:r w:rsidRPr="006B4E0A">
        <w:rPr>
          <w:rFonts w:ascii="Times New Roman" w:hAnsi="Times New Roman" w:cs="Times New Roman"/>
          <w:noProof/>
          <w:lang w:val="en-US"/>
        </w:rPr>
        <w:t>(9), M584–M588. https://doi.org/10.1093/gerona/56.9.M584</w:t>
      </w:r>
    </w:p>
    <w:p w14:paraId="62F1A650"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DeGoede, K. M., Ashton-Miller, J. A., &amp; Schultz, A. B. (2003). Fall-related upper body injuries in the older adult: A review of the biomechanical issues. </w:t>
      </w:r>
      <w:r w:rsidRPr="006B4E0A">
        <w:rPr>
          <w:rFonts w:ascii="Times New Roman" w:hAnsi="Times New Roman" w:cs="Times New Roman"/>
          <w:i/>
          <w:iCs/>
          <w:noProof/>
          <w:lang w:val="en-US"/>
        </w:rPr>
        <w:t>Journal of Biomechanics</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36</w:t>
      </w:r>
      <w:r w:rsidRPr="006B4E0A">
        <w:rPr>
          <w:rFonts w:ascii="Times New Roman" w:hAnsi="Times New Roman" w:cs="Times New Roman"/>
          <w:noProof/>
          <w:lang w:val="en-US"/>
        </w:rPr>
        <w:t>(7), 1043–1053. https://doi.org/10.1016/S0021-9290(03)00034-4</w:t>
      </w:r>
    </w:p>
    <w:p w14:paraId="6B863C47"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lastRenderedPageBreak/>
        <w:t xml:space="preserve">DeGoede, Kurt M., &amp; Ashton-Miller, J. A. (2003). Biomechanical simulations of forward fall arrests: Effects of upper extremity arrest strategy, gender and aging-related declines in muscle strength. </w:t>
      </w:r>
      <w:r w:rsidRPr="006B4E0A">
        <w:rPr>
          <w:rFonts w:ascii="Times New Roman" w:hAnsi="Times New Roman" w:cs="Times New Roman"/>
          <w:i/>
          <w:iCs/>
          <w:noProof/>
          <w:lang w:val="en-US"/>
        </w:rPr>
        <w:t>Journal of Biomechanics</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36</w:t>
      </w:r>
      <w:r w:rsidRPr="006B4E0A">
        <w:rPr>
          <w:rFonts w:ascii="Times New Roman" w:hAnsi="Times New Roman" w:cs="Times New Roman"/>
          <w:noProof/>
          <w:lang w:val="en-US"/>
        </w:rPr>
        <w:t>(3), 413–420. https://doi.org/10.1016/S0021-9290(02)00396-2</w:t>
      </w:r>
    </w:p>
    <w:p w14:paraId="17C35B3E"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Engeroff, T., Giesche, F., Niederer, D., Gerten, S., Wilke, J., Vogt, L., &amp; Banzer, W. (2019). Explaining Upper or Lower Extremity Crossover Effects of Visuomotor Choice Reaction Time Training. </w:t>
      </w:r>
      <w:r w:rsidRPr="006B4E0A">
        <w:rPr>
          <w:rFonts w:ascii="Times New Roman" w:hAnsi="Times New Roman" w:cs="Times New Roman"/>
          <w:i/>
          <w:iCs/>
          <w:noProof/>
          <w:lang w:val="en-US"/>
        </w:rPr>
        <w:t>Perceptual and Motor Skills</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126</w:t>
      </w:r>
      <w:r w:rsidRPr="006B4E0A">
        <w:rPr>
          <w:rFonts w:ascii="Times New Roman" w:hAnsi="Times New Roman" w:cs="Times New Roman"/>
          <w:noProof/>
          <w:lang w:val="en-US"/>
        </w:rPr>
        <w:t>(4), 675–693. https://doi.org/10.1177/0031512519841755</w:t>
      </w:r>
    </w:p>
    <w:p w14:paraId="3C901F48"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Harvey, L. A., &amp; Close, J. C. T. (2012). Traumatic brain injury in older adults: Characteristics, causes and consequences. </w:t>
      </w:r>
      <w:r w:rsidRPr="006B4E0A">
        <w:rPr>
          <w:rFonts w:ascii="Times New Roman" w:hAnsi="Times New Roman" w:cs="Times New Roman"/>
          <w:i/>
          <w:iCs/>
          <w:noProof/>
          <w:lang w:val="en-US"/>
        </w:rPr>
        <w:t>Injury</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43</w:t>
      </w:r>
      <w:r w:rsidRPr="006B4E0A">
        <w:rPr>
          <w:rFonts w:ascii="Times New Roman" w:hAnsi="Times New Roman" w:cs="Times New Roman"/>
          <w:noProof/>
          <w:lang w:val="en-US"/>
        </w:rPr>
        <w:t>(11), 1821–1826. https://doi.org/10.1016/j.injury.2012.07.188</w:t>
      </w:r>
    </w:p>
    <w:p w14:paraId="000CEB1F"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Hodgkins, J. (1962). Influence of age on the speed of reaction and movement in females. </w:t>
      </w:r>
      <w:r w:rsidRPr="006B4E0A">
        <w:rPr>
          <w:rFonts w:ascii="Times New Roman" w:hAnsi="Times New Roman" w:cs="Times New Roman"/>
          <w:i/>
          <w:iCs/>
          <w:noProof/>
          <w:lang w:val="en-US"/>
        </w:rPr>
        <w:t>Journal of Gerontology</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17</w:t>
      </w:r>
      <w:r w:rsidRPr="006B4E0A">
        <w:rPr>
          <w:rFonts w:ascii="Times New Roman" w:hAnsi="Times New Roman" w:cs="Times New Roman"/>
          <w:noProof/>
          <w:lang w:val="en-US"/>
        </w:rPr>
        <w:t>(4), 385–389. https://doi.org/10.1093/geronj/17.4.385</w:t>
      </w:r>
    </w:p>
    <w:p w14:paraId="0AA4AF33"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Hsiao, E. T., &amp; Robinovitch, S. N. (1998). Common protective movements govern unexpected falls from standing height. </w:t>
      </w:r>
      <w:r w:rsidRPr="006B4E0A">
        <w:rPr>
          <w:rFonts w:ascii="Times New Roman" w:hAnsi="Times New Roman" w:cs="Times New Roman"/>
          <w:i/>
          <w:iCs/>
          <w:noProof/>
          <w:lang w:val="en-US"/>
        </w:rPr>
        <w:t>Journal of Biomechanics 31</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31</w:t>
      </w:r>
      <w:r w:rsidRPr="006B4E0A">
        <w:rPr>
          <w:rFonts w:ascii="Times New Roman" w:hAnsi="Times New Roman" w:cs="Times New Roman"/>
          <w:noProof/>
          <w:lang w:val="en-US"/>
        </w:rPr>
        <w:t>, 1–9. https://doi.org/https://doi.org/10.1016/S0021-9290(97)00114-0</w:t>
      </w:r>
    </w:p>
    <w:p w14:paraId="6AE1EE13"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Jones, C. J., Rikli, R. E., &amp; Beam, W. C. (1999). A 30-s Chair-Stand Test as a Measure of Lower Body Strength in Community-Residing Older Adults. </w:t>
      </w:r>
      <w:r w:rsidRPr="006B4E0A">
        <w:rPr>
          <w:rFonts w:ascii="Times New Roman" w:hAnsi="Times New Roman" w:cs="Times New Roman"/>
          <w:i/>
          <w:iCs/>
          <w:noProof/>
          <w:lang w:val="en-US"/>
        </w:rPr>
        <w:t>Research Quarterly for Exercise and Sport</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70</w:t>
      </w:r>
      <w:r w:rsidRPr="006B4E0A">
        <w:rPr>
          <w:rFonts w:ascii="Times New Roman" w:hAnsi="Times New Roman" w:cs="Times New Roman"/>
          <w:noProof/>
          <w:lang w:val="en-US"/>
        </w:rPr>
        <w:t>(2), 113–119. https://doi.org/10.1080/02701367.1999.10608028</w:t>
      </w:r>
    </w:p>
    <w:p w14:paraId="78773F63"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Kim, K. J., &amp; Ashton-Miller, J. A. (2003). Biomechanics of fall arrest using the upper extremity: Age differences. </w:t>
      </w:r>
      <w:r w:rsidRPr="006B4E0A">
        <w:rPr>
          <w:rFonts w:ascii="Times New Roman" w:hAnsi="Times New Roman" w:cs="Times New Roman"/>
          <w:i/>
          <w:iCs/>
          <w:noProof/>
          <w:lang w:val="en-US"/>
        </w:rPr>
        <w:t>Clinical Biomechanics</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18</w:t>
      </w:r>
      <w:r w:rsidRPr="006B4E0A">
        <w:rPr>
          <w:rFonts w:ascii="Times New Roman" w:hAnsi="Times New Roman" w:cs="Times New Roman"/>
          <w:noProof/>
          <w:lang w:val="en-US"/>
        </w:rPr>
        <w:t>(4), 311–318. https://doi.org/10.1016/S0268-0033(03)00005-6</w:t>
      </w:r>
    </w:p>
    <w:p w14:paraId="11C7A3BE"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Latham, N. K., Bennett, D. a, Stretton, C. M., &amp; Anderson, C. S. (2004). Systematic review of progressive resistance strength training in older adults. </w:t>
      </w:r>
      <w:r w:rsidRPr="006B4E0A">
        <w:rPr>
          <w:rFonts w:ascii="Times New Roman" w:hAnsi="Times New Roman" w:cs="Times New Roman"/>
          <w:i/>
          <w:iCs/>
          <w:noProof/>
          <w:lang w:val="en-US"/>
        </w:rPr>
        <w:t xml:space="preserve">The Journals of Gerontology. Series </w:t>
      </w:r>
      <w:r w:rsidRPr="006B4E0A">
        <w:rPr>
          <w:rFonts w:ascii="Times New Roman" w:hAnsi="Times New Roman" w:cs="Times New Roman"/>
          <w:i/>
          <w:iCs/>
          <w:noProof/>
          <w:lang w:val="en-US"/>
        </w:rPr>
        <w:lastRenderedPageBreak/>
        <w:t>A, Biological Sciences and Medical Sciences</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59</w:t>
      </w:r>
      <w:r w:rsidRPr="006B4E0A">
        <w:rPr>
          <w:rFonts w:ascii="Times New Roman" w:hAnsi="Times New Roman" w:cs="Times New Roman"/>
          <w:noProof/>
          <w:lang w:val="en-US"/>
        </w:rPr>
        <w:t>(1), 48–61. https://doi.org/10.1093/gerona/59.1.M48</w:t>
      </w:r>
    </w:p>
    <w:p w14:paraId="32E15D5B"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Lattimer, L. J., Lanovaz, J. L., Farthing, J. P., Madill, S., Kim, S., &amp; Arnold, C. (2016). Upper limb and trunk muscle activation during an unexpected descent on the outstretched hands in young and older women. </w:t>
      </w:r>
      <w:r w:rsidRPr="006B4E0A">
        <w:rPr>
          <w:rFonts w:ascii="Times New Roman" w:hAnsi="Times New Roman" w:cs="Times New Roman"/>
          <w:i/>
          <w:iCs/>
          <w:noProof/>
          <w:lang w:val="en-US"/>
        </w:rPr>
        <w:t>Journal of Electromyography and Kinesiology</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30</w:t>
      </w:r>
      <w:r w:rsidRPr="006B4E0A">
        <w:rPr>
          <w:rFonts w:ascii="Times New Roman" w:hAnsi="Times New Roman" w:cs="Times New Roman"/>
          <w:noProof/>
          <w:lang w:val="en-US"/>
        </w:rPr>
        <w:t>, 231–237. https://doi.org/10.1016/j.jelekin.2016.08.001</w:t>
      </w:r>
    </w:p>
    <w:p w14:paraId="0AC741C8"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Lattimer, L. J., Lanovaz, J. L., Farthing, J. P., Madill, S., Kim, S., Robinovitch, S., &amp; Arnold, C. (2017). Female Age-Related Differences in Biomechanics and Muscle Activity During Descents on the Outstretched Arms. </w:t>
      </w:r>
      <w:r w:rsidRPr="006B4E0A">
        <w:rPr>
          <w:rFonts w:ascii="Times New Roman" w:hAnsi="Times New Roman" w:cs="Times New Roman"/>
          <w:i/>
          <w:iCs/>
          <w:noProof/>
          <w:lang w:val="en-US"/>
        </w:rPr>
        <w:t>Journal of Aging and Physical Activity</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25</w:t>
      </w:r>
      <w:r w:rsidRPr="006B4E0A">
        <w:rPr>
          <w:rFonts w:ascii="Times New Roman" w:hAnsi="Times New Roman" w:cs="Times New Roman"/>
          <w:noProof/>
          <w:lang w:val="en-US"/>
        </w:rPr>
        <w:t>(3), 474–481. https://doi.org/10.1123/japa.2016-0102</w:t>
      </w:r>
    </w:p>
    <w:p w14:paraId="19334158"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Lattimer, L. J., Lanovaz, J. L., Farthing, J. P., Madill, S., Kim, S. Y., Robinovitch, S., &amp; Arnold, C. M. (2018). Biomechanical and physiological age differences in a simulated forward fall on outstretched hands in women. </w:t>
      </w:r>
      <w:r w:rsidRPr="006B4E0A">
        <w:rPr>
          <w:rFonts w:ascii="Times New Roman" w:hAnsi="Times New Roman" w:cs="Times New Roman"/>
          <w:i/>
          <w:iCs/>
          <w:noProof/>
          <w:lang w:val="en-US"/>
        </w:rPr>
        <w:t>Clinical Biomechanics</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52</w:t>
      </w:r>
      <w:r w:rsidRPr="006B4E0A">
        <w:rPr>
          <w:rFonts w:ascii="Times New Roman" w:hAnsi="Times New Roman" w:cs="Times New Roman"/>
          <w:noProof/>
          <w:lang w:val="en-US"/>
        </w:rPr>
        <w:t>(January), 102–108. https://doi.org/10.1016/j.clinbiomech.2018.01.018</w:t>
      </w:r>
    </w:p>
    <w:p w14:paraId="5E5E7C79"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Lo, J., &amp; Ashton-Miller, J. A. (2008). Effect of pre-impact movement strategies on the impact forces resulting from a lateral fall. </w:t>
      </w:r>
      <w:r w:rsidRPr="006B4E0A">
        <w:rPr>
          <w:rFonts w:ascii="Times New Roman" w:hAnsi="Times New Roman" w:cs="Times New Roman"/>
          <w:i/>
          <w:iCs/>
          <w:noProof/>
          <w:lang w:val="en-US"/>
        </w:rPr>
        <w:t>Journal of Biomechanics</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41</w:t>
      </w:r>
      <w:r w:rsidRPr="006B4E0A">
        <w:rPr>
          <w:rFonts w:ascii="Times New Roman" w:hAnsi="Times New Roman" w:cs="Times New Roman"/>
          <w:noProof/>
          <w:lang w:val="en-US"/>
        </w:rPr>
        <w:t>(9), 1969–1977. https://doi.org/10.1016/j.jbiomech.2008.03.022</w:t>
      </w:r>
    </w:p>
    <w:p w14:paraId="69DA0DF0"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Lord, S. R., Sherrington, C., Menz, H. B., &amp; Close, J. C. T. (2003). A physiological profile approach to falls risk assessment and prevention. </w:t>
      </w:r>
      <w:r w:rsidRPr="006B4E0A">
        <w:rPr>
          <w:rFonts w:ascii="Times New Roman" w:hAnsi="Times New Roman" w:cs="Times New Roman"/>
          <w:i/>
          <w:iCs/>
          <w:noProof/>
          <w:lang w:val="en-US"/>
        </w:rPr>
        <w:t>Falls in Older People</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83</w:t>
      </w:r>
      <w:r w:rsidRPr="006B4E0A">
        <w:rPr>
          <w:rFonts w:ascii="Times New Roman" w:hAnsi="Times New Roman" w:cs="Times New Roman"/>
          <w:noProof/>
          <w:lang w:val="en-US"/>
        </w:rPr>
        <w:t>(3), 333–356. https://doi.org/10.1017/CBO9780511722233.018</w:t>
      </w:r>
    </w:p>
    <w:p w14:paraId="6D55A42D"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Maki, B. E., &amp; McIlroy, W. E. (2006). Control of rapid limb movements for balance recovery: Age-related changes and implications for fall prevention. </w:t>
      </w:r>
      <w:r w:rsidRPr="006B4E0A">
        <w:rPr>
          <w:rFonts w:ascii="Times New Roman" w:hAnsi="Times New Roman" w:cs="Times New Roman"/>
          <w:i/>
          <w:iCs/>
          <w:noProof/>
          <w:lang w:val="en-US"/>
        </w:rPr>
        <w:t>Age and Ageing</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35</w:t>
      </w:r>
      <w:r w:rsidRPr="006B4E0A">
        <w:rPr>
          <w:rFonts w:ascii="Times New Roman" w:hAnsi="Times New Roman" w:cs="Times New Roman"/>
          <w:noProof/>
          <w:lang w:val="en-US"/>
        </w:rPr>
        <w:t>(SUPPL.2), 12–18. https://doi.org/10.1093/ageing/afl078</w:t>
      </w:r>
    </w:p>
    <w:p w14:paraId="09883315"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McGrath, R. P., Kraemer, W. J., Snih, S. Al, &amp; Peterson, M. D. (2018). Handgrip strength and </w:t>
      </w:r>
      <w:r w:rsidRPr="006B4E0A">
        <w:rPr>
          <w:rFonts w:ascii="Times New Roman" w:hAnsi="Times New Roman" w:cs="Times New Roman"/>
          <w:noProof/>
          <w:lang w:val="en-US"/>
        </w:rPr>
        <w:lastRenderedPageBreak/>
        <w:t xml:space="preserve">health in aging adults. </w:t>
      </w:r>
      <w:r w:rsidRPr="006B4E0A">
        <w:rPr>
          <w:rFonts w:ascii="Times New Roman" w:hAnsi="Times New Roman" w:cs="Times New Roman"/>
          <w:i/>
          <w:iCs/>
          <w:noProof/>
          <w:lang w:val="en-US"/>
        </w:rPr>
        <w:t>Sports Medicine</w:t>
      </w:r>
      <w:r w:rsidRPr="006B4E0A">
        <w:rPr>
          <w:rFonts w:ascii="Times New Roman" w:hAnsi="Times New Roman" w:cs="Times New Roman"/>
          <w:noProof/>
          <w:lang w:val="en-US"/>
        </w:rPr>
        <w:t>, 1–8. https://doi.org/10.1007/s40279-018-0952-y</w:t>
      </w:r>
    </w:p>
    <w:p w14:paraId="491C7349"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Metter, E. J., Conwit, R., Tobin, J., &amp; Fozard, J. L. (1997). Age-associated loss of power and strength in the upper extremities in women and men. </w:t>
      </w:r>
      <w:r w:rsidRPr="006B4E0A">
        <w:rPr>
          <w:rFonts w:ascii="Times New Roman" w:hAnsi="Times New Roman" w:cs="Times New Roman"/>
          <w:i/>
          <w:iCs/>
          <w:noProof/>
          <w:lang w:val="en-US"/>
        </w:rPr>
        <w:t>Journals of Gerontology - Series A Biological Sciences and Medical Sciences</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52</w:t>
      </w:r>
      <w:r w:rsidRPr="006B4E0A">
        <w:rPr>
          <w:rFonts w:ascii="Times New Roman" w:hAnsi="Times New Roman" w:cs="Times New Roman"/>
          <w:noProof/>
          <w:lang w:val="en-US"/>
        </w:rPr>
        <w:t>(5), 267–276. https://doi.org/10.1093/gerona/52A.5.B267</w:t>
      </w:r>
    </w:p>
    <w:p w14:paraId="637F9C5F"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Michikawa, T., Nishiwaki, Y., Takebayashi, T., &amp; Toyama, Y. (2009). One-leg standing test for elderly populations. </w:t>
      </w:r>
      <w:r w:rsidRPr="006B4E0A">
        <w:rPr>
          <w:rFonts w:ascii="Times New Roman" w:hAnsi="Times New Roman" w:cs="Times New Roman"/>
          <w:i/>
          <w:iCs/>
          <w:noProof/>
          <w:lang w:val="en-US"/>
        </w:rPr>
        <w:t>Journal of Orthopaedic Science</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14</w:t>
      </w:r>
      <w:r w:rsidRPr="006B4E0A">
        <w:rPr>
          <w:rFonts w:ascii="Times New Roman" w:hAnsi="Times New Roman" w:cs="Times New Roman"/>
          <w:noProof/>
          <w:lang w:val="en-US"/>
        </w:rPr>
        <w:t>(5), 675–685. https://doi.org/10.1007/s00776-009-1371-6</w:t>
      </w:r>
    </w:p>
    <w:p w14:paraId="319ED516"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Nevitt, M. C., &amp; Cummings, S. R. (1993). Type of fall and risk of hip and wrist fractures: The study of osteoporotic fractures. </w:t>
      </w:r>
      <w:r w:rsidRPr="006B4E0A">
        <w:rPr>
          <w:rFonts w:ascii="Times New Roman" w:hAnsi="Times New Roman" w:cs="Times New Roman"/>
          <w:i/>
          <w:iCs/>
          <w:noProof/>
          <w:lang w:val="en-US"/>
        </w:rPr>
        <w:t>Journal of the American Geriatrics Society</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41</w:t>
      </w:r>
      <w:r w:rsidRPr="006B4E0A">
        <w:rPr>
          <w:rFonts w:ascii="Times New Roman" w:hAnsi="Times New Roman" w:cs="Times New Roman"/>
          <w:noProof/>
          <w:lang w:val="en-US"/>
        </w:rPr>
        <w:t>(11), 1226–1234. https://doi.org/10.1111/j.1532-5415.1993.tb07307.x</w:t>
      </w:r>
    </w:p>
    <w:p w14:paraId="35616809"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Nitschke, J. E., McMeeken, J. M., Burry, H. C., &amp; Matyas, T. A. (1999). When is a change a genuine change?: A clinically meaningful interpretation of grip strength measurements in healthy and disabled women. </w:t>
      </w:r>
      <w:r w:rsidRPr="006B4E0A">
        <w:rPr>
          <w:rFonts w:ascii="Times New Roman" w:hAnsi="Times New Roman" w:cs="Times New Roman"/>
          <w:i/>
          <w:iCs/>
          <w:noProof/>
          <w:lang w:val="en-US"/>
        </w:rPr>
        <w:t>Journal of Hand Therapy</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12</w:t>
      </w:r>
      <w:r w:rsidRPr="006B4E0A">
        <w:rPr>
          <w:rFonts w:ascii="Times New Roman" w:hAnsi="Times New Roman" w:cs="Times New Roman"/>
          <w:noProof/>
          <w:lang w:val="en-US"/>
        </w:rPr>
        <w:t>(1), 25–30. https://doi.org/10.1016/S0894-1130(99)80030-1</w:t>
      </w:r>
    </w:p>
    <w:p w14:paraId="74E10033"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O’Neill, T. W., Varlow, J., Silman, A. J., Reeve, J., Reid, D. M., Todd, C., &amp; Woolf, A. D. (1994). Age and sex influences on fall characteristics. </w:t>
      </w:r>
      <w:r w:rsidRPr="006B4E0A">
        <w:rPr>
          <w:rFonts w:ascii="Times New Roman" w:hAnsi="Times New Roman" w:cs="Times New Roman"/>
          <w:i/>
          <w:iCs/>
          <w:noProof/>
          <w:lang w:val="en-US"/>
        </w:rPr>
        <w:t>Annals of the Rheumatic Diseases</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53</w:t>
      </w:r>
      <w:r w:rsidRPr="006B4E0A">
        <w:rPr>
          <w:rFonts w:ascii="Times New Roman" w:hAnsi="Times New Roman" w:cs="Times New Roman"/>
          <w:noProof/>
          <w:lang w:val="en-US"/>
        </w:rPr>
        <w:t>(11), 773–775. https://doi.org/10.1136/ard.53.11.773</w:t>
      </w:r>
    </w:p>
    <w:p w14:paraId="76D1AA0C"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Peterson, M. D., Rhea, M. R., Sen, A., &amp; Gordon, P. M. (2010). Resistance exercise for muscular strength in older adults: A meta-analysis. </w:t>
      </w:r>
      <w:r w:rsidRPr="006B4E0A">
        <w:rPr>
          <w:rFonts w:ascii="Times New Roman" w:hAnsi="Times New Roman" w:cs="Times New Roman"/>
          <w:i/>
          <w:iCs/>
          <w:noProof/>
          <w:lang w:val="en-US"/>
        </w:rPr>
        <w:t>Ageing Research Reviews</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9</w:t>
      </w:r>
      <w:r w:rsidRPr="006B4E0A">
        <w:rPr>
          <w:rFonts w:ascii="Times New Roman" w:hAnsi="Times New Roman" w:cs="Times New Roman"/>
          <w:noProof/>
          <w:lang w:val="en-US"/>
        </w:rPr>
        <w:t>(3), 226–237. https://doi.org/10.1016/j.arr.2010.03.004</w:t>
      </w:r>
    </w:p>
    <w:p w14:paraId="64758292"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Public Health Agency of Canada. (2014). </w:t>
      </w:r>
      <w:r w:rsidRPr="006B4E0A">
        <w:rPr>
          <w:rFonts w:ascii="Times New Roman" w:hAnsi="Times New Roman" w:cs="Times New Roman"/>
          <w:i/>
          <w:iCs/>
          <w:noProof/>
          <w:lang w:val="en-US"/>
        </w:rPr>
        <w:t>Seniors’ Falls in Canada: Second Report - Public Health Agency of Canada</w:t>
      </w:r>
      <w:r w:rsidRPr="006B4E0A">
        <w:rPr>
          <w:rFonts w:ascii="Times New Roman" w:hAnsi="Times New Roman" w:cs="Times New Roman"/>
          <w:noProof/>
          <w:lang w:val="en-US"/>
        </w:rPr>
        <w:t>. Ottawa, ON. Retrieved from https://www.canada.ca/en/public-health/services/health-promotion/aging-seniors/publications/publications-general-</w:t>
      </w:r>
      <w:r w:rsidRPr="006B4E0A">
        <w:rPr>
          <w:rFonts w:ascii="Times New Roman" w:hAnsi="Times New Roman" w:cs="Times New Roman"/>
          <w:noProof/>
          <w:lang w:val="en-US"/>
        </w:rPr>
        <w:lastRenderedPageBreak/>
        <w:t>public/seniors-falls-canada-second-report.html</w:t>
      </w:r>
    </w:p>
    <w:p w14:paraId="0B1F10C1"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Riggs, B. L., Melton, L. J., Robb, R. A., Camp, J. J., Atkinson, E. J., Peterson, J. M., … Khosla, S. (2004). Population-based study of age and sex differences in bone volumetric density, size, geometry, and structure at different skeletal sites. </w:t>
      </w:r>
      <w:r w:rsidRPr="006B4E0A">
        <w:rPr>
          <w:rFonts w:ascii="Times New Roman" w:hAnsi="Times New Roman" w:cs="Times New Roman"/>
          <w:i/>
          <w:iCs/>
          <w:noProof/>
          <w:lang w:val="en-US"/>
        </w:rPr>
        <w:t>Journal of Bone and Mineral Research</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19</w:t>
      </w:r>
      <w:r w:rsidRPr="006B4E0A">
        <w:rPr>
          <w:rFonts w:ascii="Times New Roman" w:hAnsi="Times New Roman" w:cs="Times New Roman"/>
          <w:noProof/>
          <w:lang w:val="en-US"/>
        </w:rPr>
        <w:t>(12), 1945–1954. https://doi.org/10.1359/JBMR.040916</w:t>
      </w:r>
    </w:p>
    <w:p w14:paraId="41D27D4D"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Rijk, J. M., Roos, P. R., Deckx, L., van den Akker, M., &amp; Buntinx, F. (2016). Prognostic value of handgrip strength in people aged 60 years and older: A systematic review and meta-analysis. </w:t>
      </w:r>
      <w:r w:rsidRPr="006B4E0A">
        <w:rPr>
          <w:rFonts w:ascii="Times New Roman" w:hAnsi="Times New Roman" w:cs="Times New Roman"/>
          <w:i/>
          <w:iCs/>
          <w:noProof/>
          <w:lang w:val="en-US"/>
        </w:rPr>
        <w:t>Geriatrics &amp; Gerontology International</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16</w:t>
      </w:r>
      <w:r w:rsidRPr="006B4E0A">
        <w:rPr>
          <w:rFonts w:ascii="Times New Roman" w:hAnsi="Times New Roman" w:cs="Times New Roman"/>
          <w:noProof/>
          <w:lang w:val="en-US"/>
        </w:rPr>
        <w:t>(1), 5–20. https://doi.org/10.1111/ggi.12508</w:t>
      </w:r>
    </w:p>
    <w:p w14:paraId="431DCDDC"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Robinovitch, S. N., Normandin, S. C., Stotz, P., &amp; Maurer, J. D. (2005). Time requirement for young and elderly women to move into a position for breaking a fall with outstretched hands. </w:t>
      </w:r>
      <w:r w:rsidRPr="006B4E0A">
        <w:rPr>
          <w:rFonts w:ascii="Times New Roman" w:hAnsi="Times New Roman" w:cs="Times New Roman"/>
          <w:i/>
          <w:iCs/>
          <w:noProof/>
          <w:lang w:val="en-US"/>
        </w:rPr>
        <w:t>The Journals of Gerontology. Series A, Biological Sciences and Medical Sciences</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60</w:t>
      </w:r>
      <w:r w:rsidRPr="006B4E0A">
        <w:rPr>
          <w:rFonts w:ascii="Times New Roman" w:hAnsi="Times New Roman" w:cs="Times New Roman"/>
          <w:noProof/>
          <w:lang w:val="en-US"/>
        </w:rPr>
        <w:t>(12), 1553–1557. https://doi.org/60/12/1553 [pii]</w:t>
      </w:r>
    </w:p>
    <w:p w14:paraId="696F576C"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Sattin, R. W., Lambert Huber, D. A., DeVito, C. A., Rodriguez, J. G., Ros, A., Bacchelli, S., … Waxweiler, R. J. (1990). The incidence of fall injury events among the elderly in a defined population. </w:t>
      </w:r>
      <w:r w:rsidRPr="006B4E0A">
        <w:rPr>
          <w:rFonts w:ascii="Times New Roman" w:hAnsi="Times New Roman" w:cs="Times New Roman"/>
          <w:i/>
          <w:iCs/>
          <w:noProof/>
          <w:lang w:val="en-US"/>
        </w:rPr>
        <w:t>American Journal of Epidemiology</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131</w:t>
      </w:r>
      <w:r w:rsidRPr="006B4E0A">
        <w:rPr>
          <w:rFonts w:ascii="Times New Roman" w:hAnsi="Times New Roman" w:cs="Times New Roman"/>
          <w:noProof/>
          <w:lang w:val="en-US"/>
        </w:rPr>
        <w:t>(6), 1028–1037. Retrieved from http://www.ncbi.nlm.nih.gov/pubmed/2343855</w:t>
      </w:r>
    </w:p>
    <w:p w14:paraId="6F79B6A7"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Schonnop, R., Yang, Y., Feldman, F., Robinson, E., Loughin, M., &amp; Robinovitch, S. N. (2013). Prevalence of and factors associated with head impact during falls in older adults in long-term care. </w:t>
      </w:r>
      <w:r w:rsidRPr="006B4E0A">
        <w:rPr>
          <w:rFonts w:ascii="Times New Roman" w:hAnsi="Times New Roman" w:cs="Times New Roman"/>
          <w:i/>
          <w:iCs/>
          <w:noProof/>
          <w:lang w:val="en-US"/>
        </w:rPr>
        <w:t>Canadian Medical Association Journal</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185</w:t>
      </w:r>
      <w:r w:rsidRPr="006B4E0A">
        <w:rPr>
          <w:rFonts w:ascii="Times New Roman" w:hAnsi="Times New Roman" w:cs="Times New Roman"/>
          <w:noProof/>
          <w:lang w:val="en-US"/>
        </w:rPr>
        <w:t>(17), E803–E810. https://doi.org/10.1503/cmaj.130498</w:t>
      </w:r>
    </w:p>
    <w:p w14:paraId="2B611E81"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Smee, D. J., Anson, J. M., Waddington, G. S., &amp; Berry, H. L. (2012). Association between physical functionality and falls risk in community-living older adults. </w:t>
      </w:r>
      <w:r w:rsidRPr="006B4E0A">
        <w:rPr>
          <w:rFonts w:ascii="Times New Roman" w:hAnsi="Times New Roman" w:cs="Times New Roman"/>
          <w:i/>
          <w:iCs/>
          <w:noProof/>
          <w:lang w:val="en-US"/>
        </w:rPr>
        <w:t>Current Gerontology and Geriatrics Research</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2012</w:t>
      </w:r>
      <w:r w:rsidRPr="006B4E0A">
        <w:rPr>
          <w:rFonts w:ascii="Times New Roman" w:hAnsi="Times New Roman" w:cs="Times New Roman"/>
          <w:noProof/>
          <w:lang w:val="en-US"/>
        </w:rPr>
        <w:t>, 864516. https://doi.org/10.1155/2012/864516</w:t>
      </w:r>
    </w:p>
    <w:p w14:paraId="47DBFBD3"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lastRenderedPageBreak/>
        <w:t xml:space="preserve">Sran, M. M., Stotz, P. J., Normandin, S. C., &amp; Robinovitch, S. N. (2010). Age differences in energy absorption in the upper extremity during a descent movement: Implications for arresting a fall. </w:t>
      </w:r>
      <w:r w:rsidRPr="006B4E0A">
        <w:rPr>
          <w:rFonts w:ascii="Times New Roman" w:hAnsi="Times New Roman" w:cs="Times New Roman"/>
          <w:i/>
          <w:iCs/>
          <w:noProof/>
          <w:lang w:val="en-US"/>
        </w:rPr>
        <w:t>Journals of Gerontology - Series A Biological Sciences and Medical Sciences</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65 A</w:t>
      </w:r>
      <w:r w:rsidRPr="006B4E0A">
        <w:rPr>
          <w:rFonts w:ascii="Times New Roman" w:hAnsi="Times New Roman" w:cs="Times New Roman"/>
          <w:noProof/>
          <w:lang w:val="en-US"/>
        </w:rPr>
        <w:t>(3), 312–317. https://doi.org/10.1093/gerona/glp153</w:t>
      </w:r>
    </w:p>
    <w:p w14:paraId="5D58B9FF"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Stratford, P. W., &amp; Balsor, B. E. (1994). A comparison of make and break tests using a hand-held dynamometer and the Kin-Com. </w:t>
      </w:r>
      <w:r w:rsidRPr="006B4E0A">
        <w:rPr>
          <w:rFonts w:ascii="Times New Roman" w:hAnsi="Times New Roman" w:cs="Times New Roman"/>
          <w:i/>
          <w:iCs/>
          <w:noProof/>
          <w:lang w:val="en-US"/>
        </w:rPr>
        <w:t>Journal of Orthopaedic &amp; Sports Physical Therapy</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19</w:t>
      </w:r>
      <w:r w:rsidRPr="006B4E0A">
        <w:rPr>
          <w:rFonts w:ascii="Times New Roman" w:hAnsi="Times New Roman" w:cs="Times New Roman"/>
          <w:noProof/>
          <w:lang w:val="en-US"/>
        </w:rPr>
        <w:t>(1), 28–32. https://doi.org/10.2519/jospt.1994.19.1.28</w:t>
      </w:r>
    </w:p>
    <w:p w14:paraId="2FE45E81"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lang w:val="en-US"/>
        </w:rPr>
      </w:pPr>
      <w:r w:rsidRPr="006B4E0A">
        <w:rPr>
          <w:rFonts w:ascii="Times New Roman" w:hAnsi="Times New Roman" w:cs="Times New Roman"/>
          <w:noProof/>
          <w:lang w:val="en-US"/>
        </w:rPr>
        <w:t xml:space="preserve">Teasdale, N., Bard, C., Fleury, M., Young, D. E., &amp; Proteau, L. (1993). Determining movement onsets from temporal series. </w:t>
      </w:r>
      <w:r w:rsidRPr="006B4E0A">
        <w:rPr>
          <w:rFonts w:ascii="Times New Roman" w:hAnsi="Times New Roman" w:cs="Times New Roman"/>
          <w:i/>
          <w:iCs/>
          <w:noProof/>
          <w:lang w:val="en-US"/>
        </w:rPr>
        <w:t>Journal of Motor Behavior</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25</w:t>
      </w:r>
      <w:r w:rsidRPr="006B4E0A">
        <w:rPr>
          <w:rFonts w:ascii="Times New Roman" w:hAnsi="Times New Roman" w:cs="Times New Roman"/>
          <w:noProof/>
          <w:lang w:val="en-US"/>
        </w:rPr>
        <w:t>(2), 97–106. https://doi.org/10.1080/00222895.1993.9941644</w:t>
      </w:r>
    </w:p>
    <w:p w14:paraId="670A3FCC" w14:textId="77777777" w:rsidR="006B4E0A" w:rsidRPr="006B4E0A" w:rsidRDefault="006B4E0A" w:rsidP="006B4E0A">
      <w:pPr>
        <w:widowControl w:val="0"/>
        <w:autoSpaceDE w:val="0"/>
        <w:autoSpaceDN w:val="0"/>
        <w:adjustRightInd w:val="0"/>
        <w:spacing w:line="480" w:lineRule="auto"/>
        <w:ind w:left="480" w:hanging="480"/>
        <w:rPr>
          <w:rFonts w:ascii="Times New Roman" w:hAnsi="Times New Roman" w:cs="Times New Roman"/>
          <w:noProof/>
        </w:rPr>
      </w:pPr>
      <w:r w:rsidRPr="006B4E0A">
        <w:rPr>
          <w:rFonts w:ascii="Times New Roman" w:hAnsi="Times New Roman" w:cs="Times New Roman"/>
          <w:noProof/>
          <w:lang w:val="en-US"/>
        </w:rPr>
        <w:t xml:space="preserve">Washburn, R. A., Smith, K. W., Jette, A. M., &amp; Janney, C. A. (1993). The Physical Activity Scale for the Elderly (PASE): development and evaluation. </w:t>
      </w:r>
      <w:r w:rsidRPr="006B4E0A">
        <w:rPr>
          <w:rFonts w:ascii="Times New Roman" w:hAnsi="Times New Roman" w:cs="Times New Roman"/>
          <w:i/>
          <w:iCs/>
          <w:noProof/>
          <w:lang w:val="en-US"/>
        </w:rPr>
        <w:t>Journal of Clinical Epidemiology</w:t>
      </w:r>
      <w:r w:rsidRPr="006B4E0A">
        <w:rPr>
          <w:rFonts w:ascii="Times New Roman" w:hAnsi="Times New Roman" w:cs="Times New Roman"/>
          <w:noProof/>
          <w:lang w:val="en-US"/>
        </w:rPr>
        <w:t xml:space="preserve">, </w:t>
      </w:r>
      <w:r w:rsidRPr="006B4E0A">
        <w:rPr>
          <w:rFonts w:ascii="Times New Roman" w:hAnsi="Times New Roman" w:cs="Times New Roman"/>
          <w:i/>
          <w:iCs/>
          <w:noProof/>
          <w:lang w:val="en-US"/>
        </w:rPr>
        <w:t>46</w:t>
      </w:r>
      <w:r w:rsidRPr="006B4E0A">
        <w:rPr>
          <w:rFonts w:ascii="Times New Roman" w:hAnsi="Times New Roman" w:cs="Times New Roman"/>
          <w:noProof/>
          <w:lang w:val="en-US"/>
        </w:rPr>
        <w:t>(2), 153–162. Retrieved from http://www.ncbi.nlm.nih.gov/pubmed/8437031</w:t>
      </w:r>
    </w:p>
    <w:p w14:paraId="7FF1546C" w14:textId="3F5270AA" w:rsidR="002945E9" w:rsidRPr="009B2CDA" w:rsidRDefault="00F35E24" w:rsidP="006B4E0A">
      <w:pPr>
        <w:widowControl w:val="0"/>
        <w:autoSpaceDE w:val="0"/>
        <w:autoSpaceDN w:val="0"/>
        <w:adjustRightInd w:val="0"/>
        <w:spacing w:line="480" w:lineRule="auto"/>
        <w:ind w:left="480" w:hanging="480"/>
        <w:rPr>
          <w:rFonts w:ascii="Times New Roman" w:hAnsi="Times New Roman" w:cs="Times New Roman"/>
        </w:rPr>
      </w:pPr>
      <w:r w:rsidRPr="009B2CDA">
        <w:rPr>
          <w:rFonts w:ascii="Times New Roman" w:hAnsi="Times New Roman" w:cs="Times New Roman"/>
        </w:rPr>
        <w:fldChar w:fldCharType="end"/>
      </w:r>
    </w:p>
    <w:p w14:paraId="2CB36F57" w14:textId="513FBFFA" w:rsidR="00A33C2E" w:rsidRDefault="00A33C2E">
      <w:pPr>
        <w:rPr>
          <w:rFonts w:ascii="Times New Roman" w:hAnsi="Times New Roman" w:cs="Times New Roman"/>
        </w:rPr>
      </w:pPr>
      <w:r>
        <w:rPr>
          <w:rFonts w:ascii="Times New Roman" w:hAnsi="Times New Roman" w:cs="Times New Roman"/>
        </w:rPr>
        <w:br w:type="page"/>
      </w:r>
    </w:p>
    <w:p w14:paraId="15B4C891" w14:textId="77777777" w:rsidR="00B108DF" w:rsidRPr="009B2CDA" w:rsidRDefault="00B108DF" w:rsidP="00492E69">
      <w:pPr>
        <w:widowControl w:val="0"/>
        <w:autoSpaceDE w:val="0"/>
        <w:autoSpaceDN w:val="0"/>
        <w:adjustRightInd w:val="0"/>
        <w:ind w:left="640" w:hanging="640"/>
        <w:rPr>
          <w:rFonts w:ascii="Times New Roman" w:hAnsi="Times New Roman" w:cs="Times New Roman"/>
        </w:rPr>
      </w:pPr>
    </w:p>
    <w:p w14:paraId="5BA4DA02" w14:textId="5025062C" w:rsidR="007428CB" w:rsidRPr="009B2CDA" w:rsidRDefault="0073795B" w:rsidP="0090608A">
      <w:pPr>
        <w:rPr>
          <w:rFonts w:ascii="Times New Roman" w:hAnsi="Times New Roman" w:cs="Times New Roman"/>
          <w:b/>
          <w:u w:val="single"/>
        </w:rPr>
      </w:pPr>
      <w:r w:rsidRPr="009B2CDA">
        <w:rPr>
          <w:rFonts w:ascii="Times New Roman" w:hAnsi="Times New Roman" w:cs="Times New Roman"/>
          <w:b/>
          <w:u w:val="single"/>
        </w:rPr>
        <w:t>Figures</w:t>
      </w:r>
    </w:p>
    <w:p w14:paraId="033894C7" w14:textId="3577421E" w:rsidR="002945E9" w:rsidRPr="009B2CDA" w:rsidRDefault="002945E9" w:rsidP="0090608A">
      <w:pPr>
        <w:rPr>
          <w:rFonts w:ascii="Times New Roman" w:hAnsi="Times New Roman" w:cs="Times New Roman"/>
        </w:rPr>
      </w:pPr>
    </w:p>
    <w:p w14:paraId="40BC3507" w14:textId="3C4CDA57" w:rsidR="004E6BBC" w:rsidRPr="009B2CDA" w:rsidRDefault="00E8438E" w:rsidP="0090608A">
      <w:pPr>
        <w:rPr>
          <w:rFonts w:ascii="Times New Roman" w:hAnsi="Times New Roman" w:cs="Times New Roman"/>
        </w:rPr>
      </w:pPr>
      <w:r w:rsidRPr="009B2CDA">
        <w:rPr>
          <w:rFonts w:ascii="Times New Roman" w:hAnsi="Times New Roman" w:cs="Times New Roman"/>
          <w:noProof/>
          <w:lang w:val="en-US"/>
        </w:rPr>
        <w:drawing>
          <wp:inline distT="0" distB="0" distL="0" distR="0" wp14:anchorId="6B6122EE" wp14:editId="1DCC810B">
            <wp:extent cx="5943600" cy="3735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_MT_PictureFigure_v1.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3600" cy="3735705"/>
                    </a:xfrm>
                    <a:prstGeom prst="rect">
                      <a:avLst/>
                    </a:prstGeom>
                  </pic:spPr>
                </pic:pic>
              </a:graphicData>
            </a:graphic>
          </wp:inline>
        </w:drawing>
      </w:r>
    </w:p>
    <w:p w14:paraId="05F8331D" w14:textId="77777777" w:rsidR="00E8438E" w:rsidRPr="009B2CDA" w:rsidRDefault="00E8438E" w:rsidP="0090608A">
      <w:pPr>
        <w:rPr>
          <w:rFonts w:ascii="Times New Roman" w:hAnsi="Times New Roman" w:cs="Times New Roman"/>
        </w:rPr>
      </w:pPr>
    </w:p>
    <w:p w14:paraId="4D93F6CD" w14:textId="749BB5B9" w:rsidR="00C429B7" w:rsidRPr="009B2CDA" w:rsidRDefault="0073795B" w:rsidP="0090608A">
      <w:pPr>
        <w:rPr>
          <w:rFonts w:ascii="Times New Roman" w:hAnsi="Times New Roman" w:cs="Times New Roman"/>
        </w:rPr>
      </w:pPr>
      <w:r w:rsidRPr="009B2CDA">
        <w:rPr>
          <w:rFonts w:ascii="Times New Roman" w:hAnsi="Times New Roman" w:cs="Times New Roman"/>
          <w:b/>
        </w:rPr>
        <w:t>Figure 1:</w:t>
      </w:r>
      <w:r w:rsidRPr="009B2CDA">
        <w:rPr>
          <w:rFonts w:ascii="Times New Roman" w:hAnsi="Times New Roman" w:cs="Times New Roman"/>
        </w:rPr>
        <w:t xml:space="preserve"> Experimental set-up for reaction and movement time</w:t>
      </w:r>
      <w:r w:rsidR="000035EA" w:rsidRPr="009B2CDA">
        <w:rPr>
          <w:rFonts w:ascii="Times New Roman" w:hAnsi="Times New Roman" w:cs="Times New Roman"/>
        </w:rPr>
        <w:t>. From a standing position with arms by their side</w:t>
      </w:r>
      <w:r w:rsidR="00CA7168" w:rsidRPr="009B2CDA">
        <w:rPr>
          <w:rFonts w:ascii="Times New Roman" w:hAnsi="Times New Roman" w:cs="Times New Roman"/>
        </w:rPr>
        <w:t xml:space="preserve"> (</w:t>
      </w:r>
      <w:r w:rsidR="00E8438E" w:rsidRPr="009B2CDA">
        <w:rPr>
          <w:rFonts w:ascii="Times New Roman" w:hAnsi="Times New Roman" w:cs="Times New Roman"/>
        </w:rPr>
        <w:t>left</w:t>
      </w:r>
      <w:r w:rsidR="00CA7168" w:rsidRPr="009B2CDA">
        <w:rPr>
          <w:rFonts w:ascii="Times New Roman" w:hAnsi="Times New Roman" w:cs="Times New Roman"/>
        </w:rPr>
        <w:t>)</w:t>
      </w:r>
      <w:r w:rsidR="000035EA" w:rsidRPr="009B2CDA">
        <w:rPr>
          <w:rFonts w:ascii="Times New Roman" w:hAnsi="Times New Roman" w:cs="Times New Roman"/>
        </w:rPr>
        <w:t>, participants responded</w:t>
      </w:r>
      <w:r w:rsidR="008A18EC" w:rsidRPr="009B2CDA">
        <w:rPr>
          <w:rFonts w:ascii="Times New Roman" w:hAnsi="Times New Roman" w:cs="Times New Roman"/>
        </w:rPr>
        <w:t>, as fast as possible,</w:t>
      </w:r>
      <w:r w:rsidR="000035EA" w:rsidRPr="009B2CDA">
        <w:rPr>
          <w:rFonts w:ascii="Times New Roman" w:hAnsi="Times New Roman" w:cs="Times New Roman"/>
        </w:rPr>
        <w:t xml:space="preserve"> to a</w:t>
      </w:r>
      <w:r w:rsidR="00EE0C77" w:rsidRPr="009B2CDA">
        <w:rPr>
          <w:rFonts w:ascii="Times New Roman" w:hAnsi="Times New Roman" w:cs="Times New Roman"/>
        </w:rPr>
        <w:t>n</w:t>
      </w:r>
      <w:r w:rsidR="000035EA" w:rsidRPr="009B2CDA">
        <w:rPr>
          <w:rFonts w:ascii="Times New Roman" w:hAnsi="Times New Roman" w:cs="Times New Roman"/>
        </w:rPr>
        <w:t xml:space="preserve"> audible signal</w:t>
      </w:r>
      <w:r w:rsidR="00AE454B" w:rsidRPr="009B2CDA">
        <w:rPr>
          <w:rFonts w:ascii="Times New Roman" w:hAnsi="Times New Roman" w:cs="Times New Roman"/>
        </w:rPr>
        <w:t xml:space="preserve"> presented after a randomized delay</w:t>
      </w:r>
      <w:r w:rsidR="000035EA" w:rsidRPr="009B2CDA">
        <w:rPr>
          <w:rFonts w:ascii="Times New Roman" w:hAnsi="Times New Roman" w:cs="Times New Roman"/>
        </w:rPr>
        <w:t>, by reaching both arms forward to touch dual force plates (OR6-7, AMTI, Watertown, MA</w:t>
      </w:r>
      <w:r w:rsidR="00686202" w:rsidRPr="009B2CDA">
        <w:rPr>
          <w:rFonts w:ascii="Times New Roman" w:hAnsi="Times New Roman" w:cs="Times New Roman"/>
        </w:rPr>
        <w:t>, USA</w:t>
      </w:r>
      <w:r w:rsidR="000035EA" w:rsidRPr="009B2CDA">
        <w:rPr>
          <w:rFonts w:ascii="Times New Roman" w:hAnsi="Times New Roman" w:cs="Times New Roman"/>
        </w:rPr>
        <w:t>), positioned below shoulder height</w:t>
      </w:r>
      <w:r w:rsidR="00C46A21" w:rsidRPr="009B2CDA">
        <w:rPr>
          <w:rFonts w:ascii="Times New Roman" w:hAnsi="Times New Roman" w:cs="Times New Roman"/>
        </w:rPr>
        <w:t>. P</w:t>
      </w:r>
      <w:r w:rsidR="000035EA" w:rsidRPr="009B2CDA">
        <w:rPr>
          <w:rFonts w:ascii="Times New Roman" w:hAnsi="Times New Roman" w:cs="Times New Roman"/>
        </w:rPr>
        <w:t>articipant</w:t>
      </w:r>
      <w:r w:rsidR="00C46A21" w:rsidRPr="009B2CDA">
        <w:rPr>
          <w:rFonts w:ascii="Times New Roman" w:hAnsi="Times New Roman" w:cs="Times New Roman"/>
        </w:rPr>
        <w:t>s were</w:t>
      </w:r>
      <w:r w:rsidR="000035EA" w:rsidRPr="009B2CDA">
        <w:rPr>
          <w:rFonts w:ascii="Times New Roman" w:hAnsi="Times New Roman" w:cs="Times New Roman"/>
        </w:rPr>
        <w:t xml:space="preserve"> instructed to contact the targets as ‘‘quickly as possible’’ with both hands after hearing </w:t>
      </w:r>
      <w:r w:rsidR="00AE454B" w:rsidRPr="009B2CDA">
        <w:rPr>
          <w:rFonts w:ascii="Times New Roman" w:hAnsi="Times New Roman" w:cs="Times New Roman"/>
        </w:rPr>
        <w:t xml:space="preserve">the </w:t>
      </w:r>
      <w:r w:rsidR="00C46A21" w:rsidRPr="009B2CDA">
        <w:rPr>
          <w:rFonts w:ascii="Times New Roman" w:hAnsi="Times New Roman" w:cs="Times New Roman"/>
        </w:rPr>
        <w:t>auditory</w:t>
      </w:r>
      <w:r w:rsidR="000035EA" w:rsidRPr="009B2CDA">
        <w:rPr>
          <w:rFonts w:ascii="Times New Roman" w:hAnsi="Times New Roman" w:cs="Times New Roman"/>
        </w:rPr>
        <w:t xml:space="preserve"> cue</w:t>
      </w:r>
      <w:r w:rsidR="00CA7168" w:rsidRPr="009B2CDA">
        <w:rPr>
          <w:rFonts w:ascii="Times New Roman" w:hAnsi="Times New Roman" w:cs="Times New Roman"/>
        </w:rPr>
        <w:t xml:space="preserve"> (</w:t>
      </w:r>
      <w:r w:rsidR="00E8438E" w:rsidRPr="009B2CDA">
        <w:rPr>
          <w:rFonts w:ascii="Times New Roman" w:hAnsi="Times New Roman" w:cs="Times New Roman"/>
        </w:rPr>
        <w:t>right</w:t>
      </w:r>
      <w:r w:rsidR="00CA7168" w:rsidRPr="009B2CDA">
        <w:rPr>
          <w:rFonts w:ascii="Times New Roman" w:hAnsi="Times New Roman" w:cs="Times New Roman"/>
        </w:rPr>
        <w:t>)</w:t>
      </w:r>
      <w:r w:rsidR="000035EA" w:rsidRPr="009B2CDA">
        <w:rPr>
          <w:rFonts w:ascii="Times New Roman" w:hAnsi="Times New Roman" w:cs="Times New Roman"/>
        </w:rPr>
        <w:t>.</w:t>
      </w:r>
    </w:p>
    <w:p w14:paraId="3E5D8C62" w14:textId="464941A2" w:rsidR="00E60EEE" w:rsidRPr="009B2CDA" w:rsidRDefault="00E60EEE">
      <w:pPr>
        <w:rPr>
          <w:rFonts w:ascii="Times New Roman" w:hAnsi="Times New Roman" w:cs="Times New Roman"/>
          <w:b/>
        </w:rPr>
      </w:pPr>
      <w:r w:rsidRPr="009B2CDA">
        <w:rPr>
          <w:rFonts w:ascii="Times New Roman" w:hAnsi="Times New Roman" w:cs="Times New Roman"/>
          <w:b/>
        </w:rPr>
        <w:br w:type="page"/>
      </w:r>
    </w:p>
    <w:p w14:paraId="1789EBAC" w14:textId="58F4B200" w:rsidR="00E368DF" w:rsidRPr="009B2CDA" w:rsidRDefault="00E368DF" w:rsidP="0090608A">
      <w:pPr>
        <w:rPr>
          <w:rFonts w:ascii="Times New Roman" w:hAnsi="Times New Roman" w:cs="Times New Roman"/>
          <w:b/>
        </w:rPr>
      </w:pPr>
    </w:p>
    <w:p w14:paraId="4E276459" w14:textId="64212177" w:rsidR="00E368DF" w:rsidRPr="009B2CDA" w:rsidRDefault="00711B87" w:rsidP="0090608A">
      <w:pPr>
        <w:rPr>
          <w:rFonts w:ascii="Times New Roman" w:hAnsi="Times New Roman" w:cs="Times New Roman"/>
          <w:b/>
        </w:rPr>
      </w:pPr>
      <w:r w:rsidRPr="009B2CDA">
        <w:rPr>
          <w:rFonts w:ascii="Times New Roman" w:hAnsi="Times New Roman" w:cs="Times New Roman"/>
          <w:noProof/>
          <w:lang w:val="en-US"/>
        </w:rPr>
        <w:drawing>
          <wp:inline distT="0" distB="0" distL="0" distR="0" wp14:anchorId="09B73E65" wp14:editId="3289EE9A">
            <wp:extent cx="3600000" cy="2160000"/>
            <wp:effectExtent l="0" t="0" r="0" b="0"/>
            <wp:docPr id="4" name="Chart 4">
              <a:extLst xmlns:a="http://schemas.openxmlformats.org/drawingml/2006/main">
                <a:ext uri="{FF2B5EF4-FFF2-40B4-BE49-F238E27FC236}">
                  <a16:creationId xmlns:a16="http://schemas.microsoft.com/office/drawing/2014/main" id="{0BD71C14-3BA6-594A-AC9F-C98E279F9B1C}"/>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843B5F" w:rsidRPr="009B2CDA">
        <w:rPr>
          <w:rFonts w:ascii="Times New Roman" w:hAnsi="Times New Roman" w:cs="Times New Roman"/>
          <w:noProof/>
        </w:rPr>
        <w:t xml:space="preserve"> </w:t>
      </w:r>
      <w:r w:rsidR="00843B5F" w:rsidRPr="009B2CDA">
        <w:rPr>
          <w:rFonts w:ascii="Times New Roman" w:hAnsi="Times New Roman" w:cs="Times New Roman"/>
          <w:noProof/>
          <w:lang w:val="en-US"/>
        </w:rPr>
        <w:drawing>
          <wp:inline distT="0" distB="0" distL="0" distR="0" wp14:anchorId="6A01DB9E" wp14:editId="70935206">
            <wp:extent cx="3600000" cy="2160000"/>
            <wp:effectExtent l="0" t="0" r="0" b="0"/>
            <wp:docPr id="5" name="Chart 5">
              <a:extLst xmlns:a="http://schemas.openxmlformats.org/drawingml/2006/main">
                <a:ext uri="{FF2B5EF4-FFF2-40B4-BE49-F238E27FC236}">
                  <a16:creationId xmlns:a16="http://schemas.microsoft.com/office/drawing/2014/main" id="{10994FEC-53D8-304B-8825-D52C8D84338C}"/>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9A2367" w14:textId="234BDD14" w:rsidR="00E12FF9" w:rsidRPr="009B2CDA" w:rsidRDefault="00E12FF9" w:rsidP="0090608A">
      <w:pPr>
        <w:rPr>
          <w:rFonts w:ascii="Times New Roman" w:hAnsi="Times New Roman" w:cs="Times New Roman"/>
          <w:b/>
        </w:rPr>
      </w:pPr>
    </w:p>
    <w:p w14:paraId="461DE909" w14:textId="4064CF9C" w:rsidR="00D5587F" w:rsidRPr="009B2CDA" w:rsidRDefault="0073795B" w:rsidP="0090608A">
      <w:pPr>
        <w:rPr>
          <w:rFonts w:ascii="Times New Roman" w:hAnsi="Times New Roman" w:cs="Times New Roman"/>
        </w:rPr>
      </w:pPr>
      <w:r w:rsidRPr="009B2CDA">
        <w:rPr>
          <w:rFonts w:ascii="Times New Roman" w:hAnsi="Times New Roman" w:cs="Times New Roman"/>
          <w:b/>
        </w:rPr>
        <w:t>Figure 2:</w:t>
      </w:r>
      <w:r w:rsidRPr="009B2CDA">
        <w:rPr>
          <w:rFonts w:ascii="Times New Roman" w:hAnsi="Times New Roman" w:cs="Times New Roman"/>
        </w:rPr>
        <w:t xml:space="preserve"> </w:t>
      </w:r>
      <w:r w:rsidR="008F7201" w:rsidRPr="009B2CDA">
        <w:rPr>
          <w:rFonts w:ascii="Times New Roman" w:hAnsi="Times New Roman" w:cs="Times New Roman"/>
        </w:rPr>
        <w:t>Regression analyses of handgrip (HG) strength with reaction time (</w:t>
      </w:r>
      <w:r w:rsidR="002945E9" w:rsidRPr="009B2CDA">
        <w:rPr>
          <w:rFonts w:ascii="Times New Roman" w:hAnsi="Times New Roman" w:cs="Times New Roman"/>
        </w:rPr>
        <w:t>left</w:t>
      </w:r>
      <w:r w:rsidR="008F7201" w:rsidRPr="009B2CDA">
        <w:rPr>
          <w:rFonts w:ascii="Times New Roman" w:hAnsi="Times New Roman" w:cs="Times New Roman"/>
        </w:rPr>
        <w:t>, linear regression) and the shoulder flexion (SF) strength with movement time (</w:t>
      </w:r>
      <w:r w:rsidR="002945E9" w:rsidRPr="009B2CDA">
        <w:rPr>
          <w:rFonts w:ascii="Times New Roman" w:hAnsi="Times New Roman" w:cs="Times New Roman"/>
        </w:rPr>
        <w:t>right</w:t>
      </w:r>
      <w:r w:rsidR="008F7201" w:rsidRPr="009B2CDA">
        <w:rPr>
          <w:rFonts w:ascii="Times New Roman" w:hAnsi="Times New Roman" w:cs="Times New Roman"/>
        </w:rPr>
        <w:t xml:space="preserve">, </w:t>
      </w:r>
      <w:r w:rsidR="005042C9" w:rsidRPr="009B2CDA">
        <w:rPr>
          <w:rFonts w:ascii="Times New Roman" w:hAnsi="Times New Roman" w:cs="Times New Roman"/>
        </w:rPr>
        <w:t xml:space="preserve">transformed </w:t>
      </w:r>
      <w:r w:rsidR="008F7201" w:rsidRPr="009B2CDA">
        <w:rPr>
          <w:rFonts w:ascii="Times New Roman" w:hAnsi="Times New Roman" w:cs="Times New Roman"/>
        </w:rPr>
        <w:t>l</w:t>
      </w:r>
      <w:r w:rsidR="005042C9" w:rsidRPr="009B2CDA">
        <w:rPr>
          <w:rFonts w:ascii="Times New Roman" w:hAnsi="Times New Roman" w:cs="Times New Roman"/>
        </w:rPr>
        <w:t>inear</w:t>
      </w:r>
      <w:r w:rsidR="008F7201" w:rsidRPr="009B2CDA">
        <w:rPr>
          <w:rFonts w:ascii="Times New Roman" w:hAnsi="Times New Roman" w:cs="Times New Roman"/>
        </w:rPr>
        <w:t xml:space="preserve"> regression)</w:t>
      </w:r>
      <w:r w:rsidR="007767F5" w:rsidRPr="009B2CDA">
        <w:rPr>
          <w:rFonts w:ascii="Times New Roman" w:hAnsi="Times New Roman" w:cs="Times New Roman"/>
        </w:rPr>
        <w:t>.</w:t>
      </w:r>
    </w:p>
    <w:p w14:paraId="035AF339" w14:textId="77777777" w:rsidR="002945E9" w:rsidRPr="009B2CDA" w:rsidRDefault="002945E9" w:rsidP="0090608A">
      <w:pPr>
        <w:rPr>
          <w:rFonts w:ascii="Times New Roman" w:hAnsi="Times New Roman" w:cs="Times New Roman"/>
        </w:rPr>
        <w:sectPr w:rsidR="002945E9" w:rsidRPr="009B2CDA" w:rsidSect="00E60EEE">
          <w:headerReference w:type="even" r:id="rId14"/>
          <w:headerReference w:type="default" r:id="rId15"/>
          <w:pgSz w:w="12240" w:h="15840"/>
          <w:pgMar w:top="1440" w:right="1440" w:bottom="1440" w:left="1440" w:header="709" w:footer="709" w:gutter="0"/>
          <w:lnNumType w:countBy="1" w:restart="continuous"/>
          <w:cols w:space="708"/>
          <w:docGrid w:linePitch="360"/>
        </w:sectPr>
      </w:pPr>
    </w:p>
    <w:p w14:paraId="21C181E7" w14:textId="77CA0735" w:rsidR="0073795B" w:rsidRPr="009B2CDA" w:rsidRDefault="0073795B" w:rsidP="0090608A">
      <w:pPr>
        <w:rPr>
          <w:rFonts w:ascii="Times New Roman" w:hAnsi="Times New Roman" w:cs="Times New Roman"/>
          <w:b/>
          <w:u w:val="single"/>
        </w:rPr>
      </w:pPr>
      <w:r w:rsidRPr="009B2CDA">
        <w:rPr>
          <w:rFonts w:ascii="Times New Roman" w:hAnsi="Times New Roman" w:cs="Times New Roman"/>
          <w:b/>
          <w:u w:val="single"/>
        </w:rPr>
        <w:lastRenderedPageBreak/>
        <w:t>Tables</w:t>
      </w:r>
    </w:p>
    <w:p w14:paraId="6477EA03" w14:textId="40733C93" w:rsidR="0073795B" w:rsidRPr="009B2CDA" w:rsidRDefault="0073795B" w:rsidP="0090608A">
      <w:pPr>
        <w:rPr>
          <w:rFonts w:ascii="Times New Roman" w:hAnsi="Times New Roman" w:cs="Times New Roman"/>
        </w:rPr>
      </w:pPr>
      <w:r w:rsidRPr="009B2CDA">
        <w:rPr>
          <w:rFonts w:ascii="Times New Roman" w:hAnsi="Times New Roman" w:cs="Times New Roman"/>
          <w:b/>
        </w:rPr>
        <w:t>Table 1</w:t>
      </w:r>
      <w:r w:rsidRPr="009B2CDA">
        <w:rPr>
          <w:rFonts w:ascii="Times New Roman" w:hAnsi="Times New Roman" w:cs="Times New Roman"/>
        </w:rPr>
        <w:t xml:space="preserve">: </w:t>
      </w:r>
      <w:r w:rsidR="00496424" w:rsidRPr="009B2CDA">
        <w:rPr>
          <w:rFonts w:ascii="Times New Roman" w:hAnsi="Times New Roman" w:cs="Times New Roman"/>
        </w:rPr>
        <w:t>Overview of variable definitions and p</w:t>
      </w:r>
      <w:r w:rsidRPr="009B2CDA">
        <w:rPr>
          <w:rFonts w:ascii="Times New Roman" w:hAnsi="Times New Roman" w:cs="Times New Roman"/>
        </w:rPr>
        <w:t>hysical function and strength measure protocols</w:t>
      </w:r>
    </w:p>
    <w:tbl>
      <w:tblPr>
        <w:tblStyle w:val="TableGrid"/>
        <w:tblW w:w="100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222"/>
      </w:tblGrid>
      <w:tr w:rsidR="0073795B" w:rsidRPr="009B2CDA" w14:paraId="552CC162" w14:textId="77777777" w:rsidTr="00B85CBC">
        <w:tc>
          <w:tcPr>
            <w:tcW w:w="1838" w:type="dxa"/>
            <w:tcBorders>
              <w:top w:val="single" w:sz="4" w:space="0" w:color="auto"/>
              <w:bottom w:val="single" w:sz="4" w:space="0" w:color="auto"/>
            </w:tcBorders>
          </w:tcPr>
          <w:p w14:paraId="3F09C45F" w14:textId="6130F5C2" w:rsidR="0073795B" w:rsidRPr="009B2CDA" w:rsidRDefault="0073795B" w:rsidP="0090608A">
            <w:pPr>
              <w:rPr>
                <w:rFonts w:ascii="Times New Roman" w:hAnsi="Times New Roman" w:cs="Times New Roman"/>
                <w:b/>
              </w:rPr>
            </w:pPr>
          </w:p>
        </w:tc>
        <w:tc>
          <w:tcPr>
            <w:tcW w:w="8222" w:type="dxa"/>
            <w:tcBorders>
              <w:top w:val="single" w:sz="4" w:space="0" w:color="auto"/>
              <w:bottom w:val="single" w:sz="4" w:space="0" w:color="auto"/>
            </w:tcBorders>
          </w:tcPr>
          <w:p w14:paraId="74BF59A2" w14:textId="14A7635F" w:rsidR="0073795B" w:rsidRPr="009B2CDA" w:rsidRDefault="0073795B" w:rsidP="0090608A">
            <w:pPr>
              <w:rPr>
                <w:rFonts w:ascii="Times New Roman" w:hAnsi="Times New Roman" w:cs="Times New Roman"/>
                <w:b/>
              </w:rPr>
            </w:pPr>
            <w:r w:rsidRPr="009B2CDA">
              <w:rPr>
                <w:rFonts w:ascii="Times New Roman" w:hAnsi="Times New Roman" w:cs="Times New Roman"/>
                <w:b/>
              </w:rPr>
              <w:t>Protocol</w:t>
            </w:r>
            <w:r w:rsidR="00496424" w:rsidRPr="009B2CDA">
              <w:rPr>
                <w:rFonts w:ascii="Times New Roman" w:hAnsi="Times New Roman" w:cs="Times New Roman"/>
                <w:b/>
              </w:rPr>
              <w:t>:</w:t>
            </w:r>
          </w:p>
        </w:tc>
      </w:tr>
      <w:tr w:rsidR="0073795B" w:rsidRPr="009B2CDA" w14:paraId="7CC3898E" w14:textId="77777777" w:rsidTr="00B85CBC">
        <w:tc>
          <w:tcPr>
            <w:tcW w:w="1838" w:type="dxa"/>
            <w:tcBorders>
              <w:top w:val="single" w:sz="4" w:space="0" w:color="auto"/>
            </w:tcBorders>
            <w:vAlign w:val="center"/>
          </w:tcPr>
          <w:p w14:paraId="3103A88A" w14:textId="19BFE507" w:rsidR="0073795B" w:rsidRPr="009B2CDA" w:rsidRDefault="0073795B" w:rsidP="00B85CBC">
            <w:pPr>
              <w:rPr>
                <w:rFonts w:ascii="Times New Roman" w:hAnsi="Times New Roman" w:cs="Times New Roman"/>
              </w:rPr>
            </w:pPr>
            <w:r w:rsidRPr="009B2CDA">
              <w:rPr>
                <w:rFonts w:ascii="Times New Roman" w:hAnsi="Times New Roman" w:cs="Times New Roman"/>
              </w:rPr>
              <w:t>Handgrip</w:t>
            </w:r>
          </w:p>
        </w:tc>
        <w:tc>
          <w:tcPr>
            <w:tcW w:w="8222" w:type="dxa"/>
            <w:tcBorders>
              <w:top w:val="single" w:sz="4" w:space="0" w:color="auto"/>
            </w:tcBorders>
          </w:tcPr>
          <w:p w14:paraId="0504F756" w14:textId="3D825C70" w:rsidR="0073795B" w:rsidRPr="009B2CDA" w:rsidRDefault="00290037" w:rsidP="0090608A">
            <w:pPr>
              <w:rPr>
                <w:rFonts w:ascii="Times New Roman" w:hAnsi="Times New Roman" w:cs="Times New Roman"/>
              </w:rPr>
            </w:pPr>
            <w:r w:rsidRPr="009B2CDA">
              <w:rPr>
                <w:rFonts w:ascii="Times New Roman" w:hAnsi="Times New Roman" w:cs="Times New Roman"/>
              </w:rPr>
              <w:t>HG was assessed using a calibrated handgrip dynamometer (Model #5030J1, JAMAR, DMM</w:t>
            </w:r>
            <w:r w:rsidR="00686202" w:rsidRPr="009B2CDA">
              <w:rPr>
                <w:rFonts w:ascii="Times New Roman" w:hAnsi="Times New Roman" w:cs="Times New Roman"/>
              </w:rPr>
              <w:t>,</w:t>
            </w:r>
            <w:r w:rsidRPr="009B2CDA">
              <w:rPr>
                <w:rFonts w:ascii="Times New Roman" w:hAnsi="Times New Roman" w:cs="Times New Roman"/>
              </w:rPr>
              <w:t xml:space="preserve"> Canada) with the handle positioned in the second notch. The participant was seated in a chair, back supported, feet flat on the floor with the elbow at 90 degrees, wrist in neutral and the shoulder adducted to the body</w:t>
            </w:r>
            <w:r w:rsidR="002E7500" w:rsidRPr="009B2CDA">
              <w:rPr>
                <w:rFonts w:ascii="Times New Roman" w:hAnsi="Times New Roman" w:cs="Times New Roman"/>
              </w:rPr>
              <w:t xml:space="preserve"> </w:t>
            </w:r>
            <w:r w:rsidR="002E7500"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{"citationItems":[{"id":"ITEM-1","itemData":{"DOI":"10.1016/S0894-1130(99)80030-1","ISSN":"08941130","PMID":"10192632","abstract":"The aim of this study was twofold: 1) to use estimates of random and systematic error to ascertain the test-retest reliability of grip strength measurements obtained with the Jamar hand dynamometer in healthy and disabled women, and 2) to determine the size of the change required to detect a genuine change in grip strength for accurate and meaningful clinical interpretation. Previous research has shown grip strength measurements obtained with a Jamar hand dynamometer from healthy and disabled subjects on different occasions to be reliable. However, the test-retest reliability has been based on correlation coefficients rather than on the actual size of the test-retest differences required to detect a genuine change in grip. The test-retest reliability of maximum grip strength measurements in 32 healthy women and painfree grip in 10 disabled women with nonspecific regional pain (NSRP) was determined. Reliability, based on estimates of systematic and random error, was high in both subject groups. There was no statistically significant systematic error between tests. Test-retest measurement error was ± 5.7 kg (12.5 lb) and ± 5.9 kg (13.0 lb) in healthy and disabled subjects, respectively, 95% of the time. In this population of healthy women and women with NSRP, any change in grip of less than 6 kg (13.2 lb) could have occurred by chance. The results of our study suggest that a change of more than 6 kg (13.2 lb) is necessary to detect a genuine change in grip strength 95% of the time.","author":[{"dropping-particle":"","family":"Nitschke","given":"Julie E.","non-dropping-particle":"","parse-names":false,"suffix":""},{"dropping-particle":"","family":"McMeeken","given":"Joan M.","non-dropping-particle":"","parse-names":false,"suffix":""},{"dropping-particle":"","family":"Burry","given":"Hugh C.","non-dropping-particle":"","parse-names":false,"suffix":""},{"dropping-particle":"","family":"Matyas","given":"Thomas A.","non-dropping-particle":"","parse-names":false,"suffix":""}],"container-title":"Journal of Hand Therapy","id":"ITEM-1","issue":"1","issued":{"date-parts":[["1999"]]},"page":"25-30","publisher":"Hanley &amp; Belfus, Inc.","title":"When is a change a genuine change?: A clinically meaningful interpretation of grip strength measurements in healthy and disabled women","type":"article-journal","volume":"12"},"uris":["http://www.mendeley.com/documents/?uuid=6c8df56c-f3fb-433e-8e7f-b76be5e64003"]}],"mendeley":{"formattedCitation":"(Nitschke et al., 1999)","plainTextFormattedCitation":"(Nitschke et al., 1999)","previouslyFormattedCitation":"(Nitschke et al., 1999)"},"properties":{"noteIndex":0},"schema":"https://github.com/citation-style-language/schema/raw/master/csl-citation.json"}</w:instrText>
            </w:r>
            <w:r w:rsidR="002E7500" w:rsidRPr="009B2CDA">
              <w:rPr>
                <w:rFonts w:ascii="Times New Roman" w:hAnsi="Times New Roman" w:cs="Times New Roman"/>
              </w:rPr>
              <w:fldChar w:fldCharType="separate"/>
            </w:r>
            <w:r w:rsidR="00BB5C78" w:rsidRPr="009B2CDA">
              <w:rPr>
                <w:rFonts w:ascii="Times New Roman" w:hAnsi="Times New Roman" w:cs="Times New Roman"/>
                <w:noProof/>
              </w:rPr>
              <w:t>(Nitschke et al., 1999)</w:t>
            </w:r>
            <w:r w:rsidR="002E7500" w:rsidRPr="009B2CDA">
              <w:rPr>
                <w:rFonts w:ascii="Times New Roman" w:hAnsi="Times New Roman" w:cs="Times New Roman"/>
              </w:rPr>
              <w:fldChar w:fldCharType="end"/>
            </w:r>
            <w:r w:rsidRPr="009B2CDA">
              <w:rPr>
                <w:rFonts w:ascii="Times New Roman" w:hAnsi="Times New Roman" w:cs="Times New Roman"/>
              </w:rPr>
              <w:t>.</w:t>
            </w:r>
            <w:r w:rsidR="003A2DE2" w:rsidRPr="009B2CDA">
              <w:rPr>
                <w:rFonts w:ascii="Times New Roman" w:hAnsi="Times New Roman" w:cs="Times New Roman"/>
              </w:rPr>
              <w:t xml:space="preserve"> </w:t>
            </w:r>
            <w:r w:rsidRPr="009B2CDA">
              <w:rPr>
                <w:rFonts w:ascii="Times New Roman" w:hAnsi="Times New Roman" w:cs="Times New Roman"/>
              </w:rPr>
              <w:t>Participants received the same instruction and motivational cues, resulting in a hold of approximately</w:t>
            </w:r>
            <w:r w:rsidR="00DE7F60" w:rsidRPr="009B2CDA">
              <w:rPr>
                <w:rFonts w:ascii="Times New Roman" w:hAnsi="Times New Roman" w:cs="Times New Roman"/>
              </w:rPr>
              <w:t xml:space="preserve"> </w:t>
            </w:r>
            <w:r w:rsidRPr="009B2CDA">
              <w:rPr>
                <w:rFonts w:ascii="Times New Roman" w:hAnsi="Times New Roman" w:cs="Times New Roman"/>
              </w:rPr>
              <w:t>5 seconds.</w:t>
            </w:r>
          </w:p>
          <w:p w14:paraId="74658B19" w14:textId="51ECD06E" w:rsidR="00CA0539" w:rsidRPr="009B2CDA" w:rsidRDefault="00CA0539" w:rsidP="0090608A">
            <w:pPr>
              <w:rPr>
                <w:rFonts w:ascii="Times New Roman" w:hAnsi="Times New Roman" w:cs="Times New Roman"/>
              </w:rPr>
            </w:pPr>
          </w:p>
        </w:tc>
      </w:tr>
      <w:tr w:rsidR="0073795B" w:rsidRPr="009B2CDA" w14:paraId="7F070EDA" w14:textId="77777777" w:rsidTr="00B85CBC">
        <w:tc>
          <w:tcPr>
            <w:tcW w:w="1838" w:type="dxa"/>
            <w:vAlign w:val="center"/>
          </w:tcPr>
          <w:p w14:paraId="7481163A" w14:textId="6E5F4473" w:rsidR="0073795B" w:rsidRPr="009B2CDA" w:rsidRDefault="0073795B" w:rsidP="00B85CBC">
            <w:pPr>
              <w:rPr>
                <w:rFonts w:ascii="Times New Roman" w:hAnsi="Times New Roman" w:cs="Times New Roman"/>
              </w:rPr>
            </w:pPr>
            <w:r w:rsidRPr="009B2CDA">
              <w:rPr>
                <w:rFonts w:ascii="Times New Roman" w:hAnsi="Times New Roman" w:cs="Times New Roman"/>
              </w:rPr>
              <w:t>Sit to Stand</w:t>
            </w:r>
          </w:p>
        </w:tc>
        <w:tc>
          <w:tcPr>
            <w:tcW w:w="8222" w:type="dxa"/>
          </w:tcPr>
          <w:p w14:paraId="437104AE" w14:textId="119E843B" w:rsidR="0073795B" w:rsidRPr="009B2CDA" w:rsidRDefault="00092506" w:rsidP="0090608A">
            <w:pPr>
              <w:rPr>
                <w:rFonts w:ascii="Times New Roman" w:hAnsi="Times New Roman" w:cs="Times New Roman"/>
              </w:rPr>
            </w:pPr>
            <w:r w:rsidRPr="009B2CDA">
              <w:rPr>
                <w:rFonts w:ascii="Times New Roman" w:hAnsi="Times New Roman" w:cs="Times New Roman"/>
              </w:rPr>
              <w:t xml:space="preserve">Participants started seated </w:t>
            </w:r>
            <w:r w:rsidR="00A249E3" w:rsidRPr="009B2CDA">
              <w:rPr>
                <w:rFonts w:ascii="Times New Roman" w:hAnsi="Times New Roman" w:cs="Times New Roman"/>
              </w:rPr>
              <w:t xml:space="preserve">in a standard chair </w:t>
            </w:r>
            <w:r w:rsidRPr="009B2CDA">
              <w:rPr>
                <w:rFonts w:ascii="Times New Roman" w:hAnsi="Times New Roman" w:cs="Times New Roman"/>
              </w:rPr>
              <w:t xml:space="preserve">with their feet flat on the floor and arms crossed on their chest. Participants were instructed to stand up to a fully upright position and sit back down in a controlled manner, this was considered one repetition. </w:t>
            </w:r>
            <w:r w:rsidR="004E1431" w:rsidRPr="009B2CDA">
              <w:rPr>
                <w:rFonts w:ascii="Times New Roman" w:hAnsi="Times New Roman" w:cs="Times New Roman"/>
              </w:rPr>
              <w:t>Participants completed maximum repetitions in a 30 second period</w:t>
            </w:r>
            <w:r w:rsidR="00947A82" w:rsidRPr="009B2CDA">
              <w:rPr>
                <w:rFonts w:ascii="Times New Roman" w:hAnsi="Times New Roman" w:cs="Times New Roman"/>
              </w:rPr>
              <w:t xml:space="preserve"> </w:t>
            </w:r>
            <w:r w:rsidR="00947A82"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{"citationItems":[{"id":"ITEM-1","itemData":{"DOI":"10.1080/02701367.1999.10608028","ISSN":"0270-1367","abstract":"Measuring lower body strength is critical in evaluating the functional performance of older adults. The purpose of this study was to assess the test-retest reliability and the criterion-related and...","author":[{"dropping-particle":"","family":"Jones","given":"C. Jessie","non-dropping-particle":"","parse-names":false,"suffix":""},{"dropping-particle":"","family":"Rikli","given":"Roberta E.","non-dropping-particle":"","parse-names":false,"suffix":""},{"dropping-particle":"","family":"Beam","given":"William C.","non-dropping-particle":"","parse-names":false,"suffix":""}],"container-title":"Research Quarterly for Exercise and Sport","id":"ITEM-1","issue":"2","issued":{"date-parts":[["1999","6"]]},"page":"113-119","publisher":"Taylor &amp; Francis Group","title":"A 30-s Chair-Stand Test as a Measure of Lower Body Strength in Community-Residing Older Adults","type":"article-journal","volume":"70"},"uris":["http://www.mendeley.com/documents/?uuid=307259da-3906-307e-b477-1a1efdfa2640"]}],"mendeley":{"formattedCitation":"(Jones et al., 1999)","plainTextFormattedCitation":"(Jones et al., 1999)","previouslyFormattedCitation":"(Jones et al., 1999)"},"properties":{"noteIndex":0},"schema":"https://github.com/citation-style-language/schema/raw/master/csl-citation.json"}</w:instrText>
            </w:r>
            <w:r w:rsidR="00947A82" w:rsidRPr="009B2CDA">
              <w:rPr>
                <w:rFonts w:ascii="Times New Roman" w:hAnsi="Times New Roman" w:cs="Times New Roman"/>
              </w:rPr>
              <w:fldChar w:fldCharType="separate"/>
            </w:r>
            <w:r w:rsidR="00BB5C78" w:rsidRPr="009B2CDA">
              <w:rPr>
                <w:rFonts w:ascii="Times New Roman" w:hAnsi="Times New Roman" w:cs="Times New Roman"/>
                <w:noProof/>
              </w:rPr>
              <w:t>(Jones et al., 1999)</w:t>
            </w:r>
            <w:r w:rsidR="00947A82" w:rsidRPr="009B2CDA">
              <w:rPr>
                <w:rFonts w:ascii="Times New Roman" w:hAnsi="Times New Roman" w:cs="Times New Roman"/>
              </w:rPr>
              <w:fldChar w:fldCharType="end"/>
            </w:r>
            <w:r w:rsidR="004E1431" w:rsidRPr="009B2CDA">
              <w:rPr>
                <w:rFonts w:ascii="Times New Roman" w:hAnsi="Times New Roman" w:cs="Times New Roman"/>
              </w:rPr>
              <w:t>.</w:t>
            </w:r>
            <w:r w:rsidR="00A249E3" w:rsidRPr="009B2CDA">
              <w:rPr>
                <w:rFonts w:ascii="Times New Roman" w:hAnsi="Times New Roman" w:cs="Times New Roman"/>
              </w:rPr>
              <w:t xml:space="preserve"> One trial was used after one practice sit to stand.</w:t>
            </w:r>
          </w:p>
          <w:p w14:paraId="173EA2D6" w14:textId="6AA47D8A" w:rsidR="00CA0539" w:rsidRPr="009B2CDA" w:rsidRDefault="00CA0539" w:rsidP="0090608A">
            <w:pPr>
              <w:rPr>
                <w:rFonts w:ascii="Times New Roman" w:hAnsi="Times New Roman" w:cs="Times New Roman"/>
              </w:rPr>
            </w:pPr>
          </w:p>
        </w:tc>
      </w:tr>
      <w:tr w:rsidR="0073795B" w:rsidRPr="009B2CDA" w14:paraId="1DF1193E" w14:textId="77777777" w:rsidTr="00B85CBC">
        <w:tc>
          <w:tcPr>
            <w:tcW w:w="1838" w:type="dxa"/>
            <w:vAlign w:val="center"/>
          </w:tcPr>
          <w:p w14:paraId="4CD1C033" w14:textId="1F0C6515" w:rsidR="0073795B" w:rsidRPr="009B2CDA" w:rsidRDefault="0073795B" w:rsidP="00B85CBC">
            <w:pPr>
              <w:rPr>
                <w:rFonts w:ascii="Times New Roman" w:hAnsi="Times New Roman" w:cs="Times New Roman"/>
              </w:rPr>
            </w:pPr>
            <w:r w:rsidRPr="009B2CDA">
              <w:rPr>
                <w:rFonts w:ascii="Times New Roman" w:hAnsi="Times New Roman" w:cs="Times New Roman"/>
              </w:rPr>
              <w:t>SF</w:t>
            </w:r>
          </w:p>
        </w:tc>
        <w:tc>
          <w:tcPr>
            <w:tcW w:w="8222" w:type="dxa"/>
          </w:tcPr>
          <w:p w14:paraId="28EDB3D6" w14:textId="5CC4A4B3" w:rsidR="00290037" w:rsidRPr="009B2CDA" w:rsidRDefault="001E3EA6" w:rsidP="0090608A">
            <w:pPr>
              <w:rPr>
                <w:rFonts w:ascii="Times New Roman" w:hAnsi="Times New Roman" w:cs="Times New Roman"/>
                <w:color w:val="000000"/>
              </w:rPr>
            </w:pPr>
            <w:r w:rsidRPr="009B2CDA">
              <w:rPr>
                <w:rFonts w:ascii="Times New Roman" w:hAnsi="Times New Roman" w:cs="Times New Roman"/>
                <w:color w:val="000000"/>
              </w:rPr>
              <w:t>Laying supine on a standard plinth, w</w:t>
            </w:r>
            <w:r w:rsidR="00290037" w:rsidRPr="009B2CDA">
              <w:rPr>
                <w:rFonts w:ascii="Times New Roman" w:hAnsi="Times New Roman" w:cs="Times New Roman"/>
                <w:color w:val="000000"/>
              </w:rPr>
              <w:t>ith the shoulder flexed to 90° with 90° of horizontal adduction</w:t>
            </w:r>
            <w:r w:rsidRPr="009B2CDA">
              <w:rPr>
                <w:rFonts w:ascii="Times New Roman" w:hAnsi="Times New Roman" w:cs="Times New Roman"/>
                <w:color w:val="000000"/>
              </w:rPr>
              <w:t xml:space="preserve"> and t</w:t>
            </w:r>
            <w:r w:rsidR="00290037" w:rsidRPr="009B2CDA">
              <w:rPr>
                <w:rFonts w:ascii="Times New Roman" w:hAnsi="Times New Roman" w:cs="Times New Roman"/>
                <w:color w:val="000000"/>
              </w:rPr>
              <w:t>he forearm neutrally rotated with palm facing medially. The</w:t>
            </w:r>
            <w:r w:rsidRPr="009B2CDA">
              <w:rPr>
                <w:rFonts w:ascii="Times New Roman" w:hAnsi="Times New Roman" w:cs="Times New Roman"/>
                <w:color w:val="000000"/>
              </w:rPr>
              <w:t xml:space="preserve"> HHD</w:t>
            </w:r>
            <w:r w:rsidR="00290037" w:rsidRPr="009B2CDA">
              <w:rPr>
                <w:rFonts w:ascii="Times New Roman" w:hAnsi="Times New Roman" w:cs="Times New Roman"/>
                <w:color w:val="000000"/>
              </w:rPr>
              <w:t xml:space="preserve"> was placed proximal to the elbow joint on the anterior border of the upper, the tester provided support at the lateral border of the scapula</w:t>
            </w:r>
            <w:r w:rsidR="00947A82" w:rsidRPr="009B2CDA">
              <w:rPr>
                <w:rFonts w:ascii="Times New Roman" w:hAnsi="Times New Roman" w:cs="Times New Roman"/>
                <w:color w:val="000000"/>
              </w:rPr>
              <w:t xml:space="preserve"> </w:t>
            </w:r>
            <w:r w:rsidR="00947A82" w:rsidRPr="009B2CDA">
              <w:rPr>
                <w:rFonts w:ascii="Times New Roman" w:hAnsi="Times New Roman" w:cs="Times New Roman"/>
                <w:color w:val="000000"/>
              </w:rPr>
              <w:fldChar w:fldCharType="begin" w:fldLock="1"/>
            </w:r>
            <w:r w:rsidR="005B5832" w:rsidRPr="009B2CDA">
              <w:rPr>
                <w:rFonts w:ascii="Times New Roman" w:hAnsi="Times New Roman" w:cs="Times New Roman"/>
                <w:color w:val="000000"/>
              </w:rPr>
              <w:instrText>ADDIN CSL_CITATION {"citationItems":[{"id":"ITEM-1","itemData":{"DOI":"10.1093/ptj/76.3.248","ISSN":"0031-9023","author":[{"dropping-particle":"","family":"Andrews","given":"A Williams","non-dropping-particle":"","parse-names":false,"suffix":""},{"dropping-particle":"","family":"Thomas","given":"Michael W","non-dropping-particle":"","parse-names":false,"suffix":""},{"dropping-particle":"","family":"Bohannon","given":"Richard W","non-dropping-particle":"","parse-names":false,"suffix":""}],"container-title":"Physical Therapy","id":"ITEM-1","issue":"3","issued":{"date-parts":[["1996","3","1"]]},"page":"248-259","publisher":"Oxford University Press","title":"Normative Values for Isometric Muscle Force Measurements Obtained With Hand-held Dynamometers","type":"article-journal","volume":"76"},"uris":["http://www.mendeley.com/documents/?uuid=965c46ae-49ec-36c0-818b-125a2eb5134e"]}],"mendeley":{"formattedCitation":"(Andrews et al., 1996)","plainTextFormattedCitation":"(Andrews et al., 1996)","previouslyFormattedCitation":"(Andrews et al., 1996)"},"properties":{"noteIndex":0},"schema":"https://github.com/citation-style-language/schema/raw/master/csl-citation.json"}</w:instrText>
            </w:r>
            <w:r w:rsidR="00947A82" w:rsidRPr="009B2CDA">
              <w:rPr>
                <w:rFonts w:ascii="Times New Roman" w:hAnsi="Times New Roman" w:cs="Times New Roman"/>
                <w:color w:val="000000"/>
              </w:rPr>
              <w:fldChar w:fldCharType="separate"/>
            </w:r>
            <w:r w:rsidR="00BB5C78" w:rsidRPr="009B2CDA">
              <w:rPr>
                <w:rFonts w:ascii="Times New Roman" w:hAnsi="Times New Roman" w:cs="Times New Roman"/>
                <w:noProof/>
                <w:color w:val="000000"/>
              </w:rPr>
              <w:t>(Andrews et al., 1996)</w:t>
            </w:r>
            <w:r w:rsidR="00947A82" w:rsidRPr="009B2CDA">
              <w:rPr>
                <w:rFonts w:ascii="Times New Roman" w:hAnsi="Times New Roman" w:cs="Times New Roman"/>
                <w:color w:val="000000"/>
              </w:rPr>
              <w:fldChar w:fldCharType="end"/>
            </w:r>
            <w:r w:rsidRPr="009B2CDA">
              <w:rPr>
                <w:rFonts w:ascii="Times New Roman" w:hAnsi="Times New Roman" w:cs="Times New Roman"/>
                <w:color w:val="000000"/>
              </w:rPr>
              <w:t xml:space="preserve">. A 5 second make test </w:t>
            </w:r>
            <w:r w:rsidR="00C56C0F" w:rsidRPr="009B2CDA">
              <w:rPr>
                <w:rFonts w:ascii="Times New Roman" w:hAnsi="Times New Roman" w:cs="Times New Roman"/>
                <w:color w:val="000000"/>
              </w:rPr>
              <w:fldChar w:fldCharType="begin" w:fldLock="1"/>
            </w:r>
            <w:r w:rsidR="005B5832" w:rsidRPr="009B2CDA">
              <w:rPr>
                <w:rFonts w:ascii="Times New Roman" w:hAnsi="Times New Roman" w:cs="Times New Roman"/>
                <w:color w:val="000000"/>
              </w:rPr>
              <w:instrText>ADDIN CSL_CITATION {"citationItems":[{"id":"ITEM-1","itemData":{"DOI":"10.2519/jospt.1994.19.1.28","ISSN":"0190-6011","abstract":"The assessment of muscle strength is a task performed frequently by physical therapists. The purposes of this study were to determine whether intrasession test-retest reliability differs between make and break tests and strength tests that do not require an assessor (eg., isometric Kin-Com test) and hand-held dynamometer (HHD) assessments. The elbow flexor strength of 32 healthy, female volunteers was measured under four test conditions: Kin-Com make and break, and HHD make and break. Two measurements were performed for each test condition by the same rater. The results showed: 1) measurements obtained using the HHD deviated from a normal distribution, 2) comparable reliability coefficients for the make and break tests were obtained from the Kin-Com device, 3) there was a higher reliability coefficient for the make test compared with the break test for the HHD tests, and 4) the measured forces for the break tests were higher than the make tests. The results support the premise that hand-held dynamometry i...","author":[{"dropping-particle":"","family":"Stratford","given":"Paul W.","non-dropping-particle":"","parse-names":false,"suffix":""},{"dropping-particle":"","family":"Balsor","given":"Bradley E.","non-dropping-particle":"","parse-names":false,"suffix":""}],"container-title":"Journal of Orthopaedic &amp; Sports Physical Therapy","id":"ITEM-1","issue":"1","issued":{"date-parts":[["1994","1","1"]]},"page":"28-32","publisher":"JOSPT, Inc. JOSPT, 1033 North Fairfax Street, Suite 304, Alexandria, VA 22134-1540","title":"A comparison of make and break tests using a hand-held dynamometer and the Kin-Com","type":"article-journal","volume":"19"},"uris":["http://www.mendeley.com/documents/?uuid=be627303-2357-3fce-aac1-bbc1f7e6f37a"]}],"mendeley":{"formattedCitation":"(Stratford &amp; Balsor, 1994)","plainTextFormattedCitation":"(Stratford &amp; Balsor, 1994)","previouslyFormattedCitation":"(Stratford &amp; Balsor, 1994)"},"properties":{"noteIndex":0},"schema":"https://github.com/citation-style-language/schema/raw/master/csl-citation.json"}</w:instrText>
            </w:r>
            <w:r w:rsidR="00C56C0F" w:rsidRPr="009B2CDA">
              <w:rPr>
                <w:rFonts w:ascii="Times New Roman" w:hAnsi="Times New Roman" w:cs="Times New Roman"/>
                <w:color w:val="000000"/>
              </w:rPr>
              <w:fldChar w:fldCharType="separate"/>
            </w:r>
            <w:r w:rsidR="005B5832" w:rsidRPr="009B2CDA">
              <w:rPr>
                <w:rFonts w:ascii="Times New Roman" w:hAnsi="Times New Roman" w:cs="Times New Roman"/>
                <w:noProof/>
                <w:color w:val="000000"/>
              </w:rPr>
              <w:t>(Stratford &amp; Balsor, 1994)</w:t>
            </w:r>
            <w:r w:rsidR="00C56C0F" w:rsidRPr="009B2CDA">
              <w:rPr>
                <w:rFonts w:ascii="Times New Roman" w:hAnsi="Times New Roman" w:cs="Times New Roman"/>
                <w:color w:val="000000"/>
              </w:rPr>
              <w:fldChar w:fldCharType="end"/>
            </w:r>
            <w:r w:rsidR="00C56C0F" w:rsidRPr="009B2CDA">
              <w:rPr>
                <w:rFonts w:ascii="Times New Roman" w:hAnsi="Times New Roman" w:cs="Times New Roman"/>
                <w:color w:val="000000"/>
              </w:rPr>
              <w:t xml:space="preserve"> </w:t>
            </w:r>
            <w:r w:rsidRPr="009B2CDA">
              <w:rPr>
                <w:rFonts w:ascii="Times New Roman" w:hAnsi="Times New Roman" w:cs="Times New Roman"/>
                <w:color w:val="000000"/>
              </w:rPr>
              <w:t>was administered.</w:t>
            </w:r>
          </w:p>
          <w:p w14:paraId="25C739DF" w14:textId="183E4BC6" w:rsidR="00C56C0F" w:rsidRPr="009B2CDA" w:rsidRDefault="00C56C0F" w:rsidP="0090608A">
            <w:pPr>
              <w:rPr>
                <w:rFonts w:ascii="Times New Roman" w:hAnsi="Times New Roman" w:cs="Times New Roman"/>
              </w:rPr>
            </w:pPr>
          </w:p>
        </w:tc>
      </w:tr>
      <w:tr w:rsidR="0073795B" w:rsidRPr="009B2CDA" w14:paraId="08A28D3B" w14:textId="77777777" w:rsidTr="00B85CBC">
        <w:tc>
          <w:tcPr>
            <w:tcW w:w="1838" w:type="dxa"/>
            <w:vAlign w:val="center"/>
          </w:tcPr>
          <w:p w14:paraId="14DAC5CF" w14:textId="50034B16" w:rsidR="0073795B" w:rsidRPr="009B2CDA" w:rsidRDefault="0073795B" w:rsidP="00B85CBC">
            <w:pPr>
              <w:rPr>
                <w:rFonts w:ascii="Times New Roman" w:hAnsi="Times New Roman" w:cs="Times New Roman"/>
              </w:rPr>
            </w:pPr>
            <w:r w:rsidRPr="009B2CDA">
              <w:rPr>
                <w:rFonts w:ascii="Times New Roman" w:hAnsi="Times New Roman" w:cs="Times New Roman"/>
              </w:rPr>
              <w:t>EE</w:t>
            </w:r>
          </w:p>
        </w:tc>
        <w:tc>
          <w:tcPr>
            <w:tcW w:w="8222" w:type="dxa"/>
          </w:tcPr>
          <w:p w14:paraId="509B0142" w14:textId="14FDF6FD" w:rsidR="0073795B" w:rsidRPr="009B2CDA" w:rsidRDefault="00290037" w:rsidP="0090608A">
            <w:pPr>
              <w:rPr>
                <w:rFonts w:ascii="Times New Roman" w:hAnsi="Times New Roman" w:cs="Times New Roman"/>
                <w:color w:val="000000"/>
              </w:rPr>
            </w:pPr>
            <w:r w:rsidRPr="009B2CDA">
              <w:rPr>
                <w:rFonts w:ascii="Times New Roman" w:hAnsi="Times New Roman" w:cs="Times New Roman"/>
                <w:color w:val="000000"/>
              </w:rPr>
              <w:t>Laying supine</w:t>
            </w:r>
            <w:r w:rsidR="001E3EA6" w:rsidRPr="009B2CDA">
              <w:rPr>
                <w:rFonts w:ascii="Times New Roman" w:hAnsi="Times New Roman" w:cs="Times New Roman"/>
                <w:color w:val="000000"/>
              </w:rPr>
              <w:t xml:space="preserve"> on a standard plinth</w:t>
            </w:r>
            <w:r w:rsidRPr="009B2CDA">
              <w:rPr>
                <w:rFonts w:ascii="Times New Roman" w:hAnsi="Times New Roman" w:cs="Times New Roman"/>
                <w:color w:val="000000"/>
              </w:rPr>
              <w:t xml:space="preserve">, with their upper arm adducted to the body </w:t>
            </w:r>
            <w:r w:rsidR="001E3EA6" w:rsidRPr="009B2CDA">
              <w:rPr>
                <w:rFonts w:ascii="Times New Roman" w:hAnsi="Times New Roman" w:cs="Times New Roman"/>
                <w:color w:val="000000"/>
              </w:rPr>
              <w:t xml:space="preserve">and </w:t>
            </w:r>
            <w:r w:rsidRPr="009B2CDA">
              <w:rPr>
                <w:rFonts w:ascii="Times New Roman" w:hAnsi="Times New Roman" w:cs="Times New Roman"/>
                <w:color w:val="000000"/>
              </w:rPr>
              <w:t>their elbow flexed to 90 degrees,</w:t>
            </w:r>
            <w:r w:rsidR="001E3EA6" w:rsidRPr="009B2CDA">
              <w:rPr>
                <w:rFonts w:ascii="Times New Roman" w:hAnsi="Times New Roman" w:cs="Times New Roman"/>
                <w:color w:val="000000"/>
              </w:rPr>
              <w:t xml:space="preserve"> t</w:t>
            </w:r>
            <w:r w:rsidRPr="009B2CDA">
              <w:rPr>
                <w:rFonts w:ascii="Times New Roman" w:hAnsi="Times New Roman" w:cs="Times New Roman"/>
                <w:color w:val="000000"/>
              </w:rPr>
              <w:t>he participant's forearm was neutrally rotated with the palm facing medially</w:t>
            </w:r>
            <w:r w:rsidR="001E3EA6" w:rsidRPr="009B2CDA">
              <w:rPr>
                <w:rFonts w:ascii="Times New Roman" w:hAnsi="Times New Roman" w:cs="Times New Roman"/>
                <w:color w:val="000000"/>
              </w:rPr>
              <w:t>.</w:t>
            </w:r>
            <w:r w:rsidR="003A2DE2" w:rsidRPr="009B2CDA">
              <w:rPr>
                <w:rFonts w:ascii="Times New Roman" w:hAnsi="Times New Roman" w:cs="Times New Roman"/>
                <w:color w:val="000000"/>
              </w:rPr>
              <w:t xml:space="preserve"> </w:t>
            </w:r>
            <w:r w:rsidR="001E3EA6" w:rsidRPr="009B2CDA">
              <w:rPr>
                <w:rFonts w:ascii="Times New Roman" w:hAnsi="Times New Roman" w:cs="Times New Roman"/>
                <w:color w:val="000000"/>
              </w:rPr>
              <w:t>A small towel rolled underneath the arm ensured stabilization of the upper arm and t</w:t>
            </w:r>
            <w:r w:rsidRPr="009B2CDA">
              <w:rPr>
                <w:rFonts w:ascii="Times New Roman" w:hAnsi="Times New Roman" w:cs="Times New Roman"/>
                <w:color w:val="000000"/>
              </w:rPr>
              <w:t>he tester provided support at the distal end of the biceps muscle near the elbow joint.</w:t>
            </w:r>
            <w:r w:rsidR="003A2DE2" w:rsidRPr="009B2CDA">
              <w:rPr>
                <w:rFonts w:ascii="Times New Roman" w:hAnsi="Times New Roman" w:cs="Times New Roman"/>
                <w:color w:val="000000"/>
              </w:rPr>
              <w:t xml:space="preserve"> </w:t>
            </w:r>
            <w:r w:rsidR="001E3EA6" w:rsidRPr="009B2CDA">
              <w:rPr>
                <w:rFonts w:ascii="Times New Roman" w:hAnsi="Times New Roman" w:cs="Times New Roman"/>
                <w:color w:val="000000"/>
              </w:rPr>
              <w:t xml:space="preserve">The HHD was placed on the lateral border and proximal to the styloid process of the ulna </w:t>
            </w:r>
            <w:r w:rsidR="00947A82" w:rsidRPr="009B2CDA">
              <w:rPr>
                <w:rFonts w:ascii="Times New Roman" w:hAnsi="Times New Roman" w:cs="Times New Roman"/>
                <w:color w:val="000000"/>
              </w:rPr>
              <w:fldChar w:fldCharType="begin" w:fldLock="1"/>
            </w:r>
            <w:r w:rsidR="005B5832" w:rsidRPr="009B2CDA">
              <w:rPr>
                <w:rFonts w:ascii="Times New Roman" w:hAnsi="Times New Roman" w:cs="Times New Roman"/>
                <w:color w:val="000000"/>
              </w:rPr>
              <w:instrText>ADDIN CSL_CITATION {"citationItems":[{"id":"ITEM-1","itemData":{"DOI":"10.1093/ptj/76.3.248","ISSN":"0031-9023","author":[{"dropping-particle":"","family":"Andrews","given":"A Williams","non-dropping-particle":"","parse-names":false,"suffix":""},{"dropping-particle":"","family":"Thomas","given":"Michael W","non-dropping-particle":"","parse-names":false,"suffix":""},{"dropping-particle":"","family":"Bohannon","given":"Richard W","non-dropping-particle":"","parse-names":false,"suffix":""}],"container-title":"Physical Therapy","id":"ITEM-1","issue":"3","issued":{"date-parts":[["1996","3","1"]]},"page":"248-259","publisher":"Oxford University Press","title":"Normative Values for Isometric Muscle Force Measurements Obtained With Hand-held Dynamometers","type":"article-journal","volume":"76"},"uris":["http://www.mendeley.com/documents/?uuid=965c46ae-49ec-36c0-818b-125a2eb5134e"]}],"mendeley":{"formattedCitation":"(Andrews et al., 1996)","plainTextFormattedCitation":"(Andrews et al., 1996)","previouslyFormattedCitation":"(Andrews et al., 1996)"},"properties":{"noteIndex":0},"schema":"https://github.com/citation-style-language/schema/raw/master/csl-citation.json"}</w:instrText>
            </w:r>
            <w:r w:rsidR="00947A82" w:rsidRPr="009B2CDA">
              <w:rPr>
                <w:rFonts w:ascii="Times New Roman" w:hAnsi="Times New Roman" w:cs="Times New Roman"/>
                <w:color w:val="000000"/>
              </w:rPr>
              <w:fldChar w:fldCharType="separate"/>
            </w:r>
            <w:r w:rsidR="00BB5C78" w:rsidRPr="009B2CDA">
              <w:rPr>
                <w:rFonts w:ascii="Times New Roman" w:hAnsi="Times New Roman" w:cs="Times New Roman"/>
                <w:noProof/>
                <w:color w:val="000000"/>
              </w:rPr>
              <w:t>(Andrews et al., 1996)</w:t>
            </w:r>
            <w:r w:rsidR="00947A82" w:rsidRPr="009B2CDA">
              <w:rPr>
                <w:rFonts w:ascii="Times New Roman" w:hAnsi="Times New Roman" w:cs="Times New Roman"/>
                <w:color w:val="000000"/>
              </w:rPr>
              <w:fldChar w:fldCharType="end"/>
            </w:r>
            <w:r w:rsidR="00947A82" w:rsidRPr="009B2CDA">
              <w:rPr>
                <w:rFonts w:ascii="Times New Roman" w:hAnsi="Times New Roman" w:cs="Times New Roman"/>
                <w:color w:val="000000"/>
              </w:rPr>
              <w:t xml:space="preserve"> </w:t>
            </w:r>
            <w:r w:rsidR="001E3EA6" w:rsidRPr="009B2CDA">
              <w:rPr>
                <w:rFonts w:ascii="Times New Roman" w:hAnsi="Times New Roman" w:cs="Times New Roman"/>
                <w:color w:val="000000"/>
              </w:rPr>
              <w:t>and a 5 second make test</w:t>
            </w:r>
            <w:r w:rsidR="00947A82" w:rsidRPr="009B2CDA">
              <w:rPr>
                <w:rFonts w:ascii="Times New Roman" w:hAnsi="Times New Roman" w:cs="Times New Roman"/>
                <w:color w:val="000000"/>
              </w:rPr>
              <w:t xml:space="preserve"> </w:t>
            </w:r>
            <w:r w:rsidR="00947A82" w:rsidRPr="009B2CDA">
              <w:rPr>
                <w:rFonts w:ascii="Times New Roman" w:hAnsi="Times New Roman" w:cs="Times New Roman"/>
                <w:color w:val="000000"/>
              </w:rPr>
              <w:fldChar w:fldCharType="begin" w:fldLock="1"/>
            </w:r>
            <w:r w:rsidR="005B5832" w:rsidRPr="009B2CDA">
              <w:rPr>
                <w:rFonts w:ascii="Times New Roman" w:hAnsi="Times New Roman" w:cs="Times New Roman"/>
                <w:color w:val="000000"/>
              </w:rPr>
              <w:instrText>ADDIN CSL_CITATION {"citationItems":[{"id":"ITEM-1","itemData":{"DOI":"10.2519/jospt.1994.19.1.28","ISSN":"0190-6011","abstract":"The assessment of muscle strength is a task performed frequently by physical therapists. The purposes of this study were to determine whether intrasession test-retest reliability differs between make and break tests and strength tests that do not require an assessor (eg., isometric Kin-Com test) and hand-held dynamometer (HHD) assessments. The elbow flexor strength of 32 healthy, female volunteers was measured under four test conditions: Kin-Com make and break, and HHD make and break. Two measurements were performed for each test condition by the same rater. The results showed: 1) measurements obtained using the HHD deviated from a normal distribution, 2) comparable reliability coefficients for the make and break tests were obtained from the Kin-Com device, 3) there was a higher reliability coefficient for the make test compared with the break test for the HHD tests, and 4) the measured forces for the break tests were higher than the make tests. The results support the premise that hand-held dynamometry i...","author":[{"dropping-particle":"","family":"Stratford","given":"Paul W.","non-dropping-particle":"","parse-names":false,"suffix":""},{"dropping-particle":"","family":"Balsor","given":"Bradley E.","non-dropping-particle":"","parse-names":false,"suffix":""}],"container-title":"Journal of Orthopaedic &amp; Sports Physical Therapy","id":"ITEM-1","issue":"1","issued":{"date-parts":[["1994","1","1"]]},"page":"28-32","publisher":"JOSPT, Inc. JOSPT, 1033 North Fairfax Street, Suite 304, Alexandria, VA 22134-1540","title":"A comparison of make and break tests using a hand-held dynamometer and the Kin-Com","type":"article-journal","volume":"19"},"uris":["http://www.mendeley.com/documents/?uuid=be627303-2357-3fce-aac1-bbc1f7e6f37a"]}],"mendeley":{"formattedCitation":"(Stratford &amp; Balsor, 1994)","plainTextFormattedCitation":"(Stratford &amp; Balsor, 1994)","previouslyFormattedCitation":"(Stratford &amp; Balsor, 1994)"},"properties":{"noteIndex":0},"schema":"https://github.com/citation-style-language/schema/raw/master/csl-citation.json"}</w:instrText>
            </w:r>
            <w:r w:rsidR="00947A82" w:rsidRPr="009B2CDA">
              <w:rPr>
                <w:rFonts w:ascii="Times New Roman" w:hAnsi="Times New Roman" w:cs="Times New Roman"/>
                <w:color w:val="000000"/>
              </w:rPr>
              <w:fldChar w:fldCharType="separate"/>
            </w:r>
            <w:r w:rsidR="005B5832" w:rsidRPr="009B2CDA">
              <w:rPr>
                <w:rFonts w:ascii="Times New Roman" w:hAnsi="Times New Roman" w:cs="Times New Roman"/>
                <w:noProof/>
                <w:color w:val="000000"/>
              </w:rPr>
              <w:t>(Stratford &amp; Balsor, 1994)</w:t>
            </w:r>
            <w:r w:rsidR="00947A82" w:rsidRPr="009B2CDA">
              <w:rPr>
                <w:rFonts w:ascii="Times New Roman" w:hAnsi="Times New Roman" w:cs="Times New Roman"/>
                <w:color w:val="000000"/>
              </w:rPr>
              <w:fldChar w:fldCharType="end"/>
            </w:r>
            <w:r w:rsidR="001E3EA6" w:rsidRPr="009B2CDA">
              <w:rPr>
                <w:rFonts w:ascii="Times New Roman" w:hAnsi="Times New Roman" w:cs="Times New Roman"/>
                <w:color w:val="000000"/>
              </w:rPr>
              <w:t xml:space="preserve"> was administered.</w:t>
            </w:r>
          </w:p>
          <w:p w14:paraId="27E3518B" w14:textId="4218E877" w:rsidR="00C56C0F" w:rsidRPr="009B2CDA" w:rsidRDefault="00C56C0F" w:rsidP="0090608A">
            <w:pPr>
              <w:rPr>
                <w:rFonts w:ascii="Times New Roman" w:hAnsi="Times New Roman" w:cs="Times New Roman"/>
              </w:rPr>
            </w:pPr>
          </w:p>
        </w:tc>
      </w:tr>
      <w:tr w:rsidR="0073795B" w:rsidRPr="009B2CDA" w14:paraId="5B459A5B" w14:textId="77777777" w:rsidTr="00B85CBC">
        <w:tc>
          <w:tcPr>
            <w:tcW w:w="1838" w:type="dxa"/>
            <w:vAlign w:val="center"/>
          </w:tcPr>
          <w:p w14:paraId="5F10B945" w14:textId="0DA584B3" w:rsidR="0073795B" w:rsidRPr="009B2CDA" w:rsidRDefault="0073795B" w:rsidP="00B85CBC">
            <w:pPr>
              <w:rPr>
                <w:rFonts w:ascii="Times New Roman" w:hAnsi="Times New Roman" w:cs="Times New Roman"/>
              </w:rPr>
            </w:pPr>
            <w:r w:rsidRPr="009B2CDA">
              <w:rPr>
                <w:rFonts w:ascii="Times New Roman" w:hAnsi="Times New Roman" w:cs="Times New Roman"/>
              </w:rPr>
              <w:t>OLB</w:t>
            </w:r>
          </w:p>
        </w:tc>
        <w:tc>
          <w:tcPr>
            <w:tcW w:w="8222" w:type="dxa"/>
          </w:tcPr>
          <w:p w14:paraId="4DBF1523" w14:textId="60400860" w:rsidR="0073795B" w:rsidRPr="009B2CDA" w:rsidRDefault="00F83C3A" w:rsidP="0090608A">
            <w:pPr>
              <w:rPr>
                <w:rFonts w:ascii="Times New Roman" w:hAnsi="Times New Roman" w:cs="Times New Roman"/>
              </w:rPr>
            </w:pPr>
            <w:r w:rsidRPr="009B2CDA">
              <w:rPr>
                <w:rFonts w:ascii="Times New Roman" w:hAnsi="Times New Roman" w:cs="Times New Roman"/>
              </w:rPr>
              <w:t>Participants were asked to stand on one leg on a hard-floor surface for as long as possible or until a 60 second period had been completed.</w:t>
            </w:r>
            <w:r w:rsidR="003A2DE2" w:rsidRPr="009B2CDA">
              <w:rPr>
                <w:rFonts w:ascii="Times New Roman" w:hAnsi="Times New Roman" w:cs="Times New Roman"/>
              </w:rPr>
              <w:t xml:space="preserve"> </w:t>
            </w:r>
            <w:r w:rsidRPr="009B2CDA">
              <w:rPr>
                <w:rFonts w:ascii="Times New Roman" w:hAnsi="Times New Roman" w:cs="Times New Roman"/>
              </w:rPr>
              <w:t>Two trials were conducted on each leg</w:t>
            </w:r>
            <w:r w:rsidR="00D06974" w:rsidRPr="009B2CDA">
              <w:rPr>
                <w:rFonts w:ascii="Times New Roman" w:hAnsi="Times New Roman" w:cs="Times New Roman"/>
              </w:rPr>
              <w:t>, the trial was stopped if any-body part or the non-contact leg made contact to a surface for balance</w:t>
            </w:r>
            <w:r w:rsidR="00BA785A" w:rsidRPr="009B2CDA">
              <w:rPr>
                <w:rFonts w:ascii="Times New Roman" w:hAnsi="Times New Roman" w:cs="Times New Roman"/>
              </w:rPr>
              <w:t xml:space="preserve"> </w:t>
            </w:r>
            <w:r w:rsidR="00BA785A"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{"citationItems":[{"id":"ITEM-1","itemData":{"DOI":"10.1007/s00776-009-1371-6","ISBN":"1436-2023","ISSN":"09492658","PMID":"19802686","abstract":"BACKGROUND: The one-leg standing (OLS) test is one of the balance tests used to diagnose musculoskeletal ambulation disability symptom complex (MARS), a condition newly defined by three professional Japanese medical societies in 2006 to help identify the symptoms of motor organ deterioration and establish preventive strategies. Although many studies have used the OLS test, none has shown conclusively that the test can be used as a practical marker of frailty among elderly people, especially in community settings. Based on the type of epidemiological study -- i.e., descriptive epidemiology and analytical epidemiology (observational and intervention studies) -- we reviewed evidence on three fundamental issues related to the OLS test: (1) testing procedures and reference values; (2) the associations between the OLS time and negative events; (3) improvement of the OLS time by intervention. These issues are key to any discussion of whether the OLS test can be used as a practical marker for predicting frailty in community-dwelling elderly populations. METHODS: Articles were collected from MEDLINE databases using the search terms \"one- leg standing\" and the other names included in the same category. RESULTS: Because various procedures are used to carry out the OLS test, the measured values for the OLS time varied widely from study to study. Some observational studies showed that the OLS time is related to negative events such as falls, declines in activity of daily living, and other morbidity. OLS times could be improved by several interventions. CONCLUSIONS: This review suggests that the OLS test can be a tool for predicting frailty in community-dwelling elderly populations. However, our review should be interpreted with caution because we did not confirm the evidence level of each of the studies we selected. Further research on this topic is needed.","author":[{"dropping-particle":"","family":"Michikawa","given":"Takehiro","non-dropping-particle":"","parse-names":false,"suffix":""},{"dropping-particle":"","family":"Nishiwaki","given":"Yuji","non-dropping-particle":"","parse-names":false,"suffix":""},{"dropping-particle":"","family":"Takebayashi","given":"Toru","non-dropping-particle":"","parse-names":false,"suffix":""},{"dropping-particle":"","family":"Toyama","given":"Yoshiaki","non-dropping-particle":"","parse-names":false,"suffix":""}],"container-title":"Journal of Orthopaedic Science","id":"ITEM-1","issue":"5","issued":{"date-parts":[["2009"]]},"page":"675-685","title":"One-leg standing test for elderly populations","type":"article-journal","volume":"14"},"uris":["http://www.mendeley.com/documents/?uuid=8ffb54da-a228-45fc-b82f-9f7b0940344c"]}],"mendeley":{"formattedCitation":"(Michikawa et al., 2009)","plainTextFormattedCitation":"(Michikawa et al., 2009)","previouslyFormattedCitation":"(Michikawa et al., 2009)"},"properties":{"noteIndex":0},"schema":"https://github.com/citation-style-language/schema/raw/master/csl-citation.json"}</w:instrText>
            </w:r>
            <w:r w:rsidR="00BA785A" w:rsidRPr="009B2CDA">
              <w:rPr>
                <w:rFonts w:ascii="Times New Roman" w:hAnsi="Times New Roman" w:cs="Times New Roman"/>
              </w:rPr>
              <w:fldChar w:fldCharType="separate"/>
            </w:r>
            <w:r w:rsidR="00BB5C78" w:rsidRPr="009B2CDA">
              <w:rPr>
                <w:rFonts w:ascii="Times New Roman" w:hAnsi="Times New Roman" w:cs="Times New Roman"/>
                <w:noProof/>
              </w:rPr>
              <w:t>(Michikawa et al., 2009)</w:t>
            </w:r>
            <w:r w:rsidR="00BA785A" w:rsidRPr="009B2CDA">
              <w:rPr>
                <w:rFonts w:ascii="Times New Roman" w:hAnsi="Times New Roman" w:cs="Times New Roman"/>
              </w:rPr>
              <w:fldChar w:fldCharType="end"/>
            </w:r>
            <w:r w:rsidRPr="009B2CDA">
              <w:rPr>
                <w:rFonts w:ascii="Times New Roman" w:hAnsi="Times New Roman" w:cs="Times New Roman"/>
              </w:rPr>
              <w:t>.</w:t>
            </w:r>
            <w:r w:rsidR="00D06974" w:rsidRPr="009B2CDA">
              <w:rPr>
                <w:rFonts w:ascii="Times New Roman" w:hAnsi="Times New Roman" w:cs="Times New Roman"/>
              </w:rPr>
              <w:t xml:space="preserve"> For safety, the test was completed next to a support table.</w:t>
            </w:r>
          </w:p>
          <w:p w14:paraId="1FA065AF" w14:textId="658C2D9F" w:rsidR="00C56C0F" w:rsidRPr="009B2CDA" w:rsidRDefault="00C56C0F" w:rsidP="0090608A">
            <w:pPr>
              <w:rPr>
                <w:rFonts w:ascii="Times New Roman" w:hAnsi="Times New Roman" w:cs="Times New Roman"/>
              </w:rPr>
            </w:pPr>
          </w:p>
        </w:tc>
      </w:tr>
      <w:tr w:rsidR="0073795B" w:rsidRPr="009B2CDA" w14:paraId="75933B6F" w14:textId="77777777" w:rsidTr="00B85CBC">
        <w:tc>
          <w:tcPr>
            <w:tcW w:w="1838" w:type="dxa"/>
            <w:vAlign w:val="center"/>
          </w:tcPr>
          <w:p w14:paraId="183F8887" w14:textId="4BE0FECB" w:rsidR="0073795B" w:rsidRPr="009B2CDA" w:rsidRDefault="0073795B" w:rsidP="00B85CBC">
            <w:pPr>
              <w:rPr>
                <w:rFonts w:ascii="Times New Roman" w:hAnsi="Times New Roman" w:cs="Times New Roman"/>
              </w:rPr>
            </w:pPr>
            <w:r w:rsidRPr="009B2CDA">
              <w:rPr>
                <w:rFonts w:ascii="Times New Roman" w:hAnsi="Times New Roman" w:cs="Times New Roman"/>
              </w:rPr>
              <w:t>PASE</w:t>
            </w:r>
          </w:p>
        </w:tc>
        <w:tc>
          <w:tcPr>
            <w:tcW w:w="8222" w:type="dxa"/>
          </w:tcPr>
          <w:p w14:paraId="68F2AC93" w14:textId="53ABCA0B" w:rsidR="0073795B" w:rsidRPr="009B2CDA" w:rsidRDefault="00290037" w:rsidP="0090608A">
            <w:pPr>
              <w:rPr>
                <w:rFonts w:ascii="Times New Roman" w:hAnsi="Times New Roman" w:cs="Times New Roman"/>
              </w:rPr>
            </w:pPr>
            <w:r w:rsidRPr="009B2CDA">
              <w:rPr>
                <w:rFonts w:ascii="Times New Roman" w:hAnsi="Times New Roman" w:cs="Times New Roman"/>
              </w:rPr>
              <w:t>The Physical Activity Scale for the Elderly (PASE</w:t>
            </w:r>
            <w:r w:rsidR="00C56C0F" w:rsidRPr="009B2CDA">
              <w:rPr>
                <w:rFonts w:ascii="Times New Roman" w:hAnsi="Times New Roman" w:cs="Times New Roman"/>
              </w:rPr>
              <w:t xml:space="preserve">) </w:t>
            </w:r>
            <w:r w:rsidRPr="009B2CDA">
              <w:rPr>
                <w:rFonts w:ascii="Times New Roman" w:hAnsi="Times New Roman" w:cs="Times New Roman"/>
              </w:rPr>
              <w:fldChar w:fldCharType="begin" w:fldLock="1"/>
            </w:r>
            <w:r w:rsidR="005B5832" w:rsidRPr="009B2CDA">
              <w:rPr>
                <w:rFonts w:ascii="Times New Roman" w:hAnsi="Times New Roman" w:cs="Times New Roman"/>
              </w:rPr>
              <w:instrText>ADDIN CSL_CITATION {"citationItems":[{"id":"ITEM-1","itemData":{"ISSN":"0895-4356","PMID":"8437031","abstract":"A Physical Activity Scale for the Elderly (PASE) was evaluated in a sample of community-dwelling, older adults. Respondents were randomly assigned to complete the PASE by mail or telephone before or after a home visit assessment. Item weights for the PASE were derived by regressing a physical activity principal component score on responses to the PASE. The component score was based on 3-day motion sensor counts, a 3-day physical activity dairy and a global activity self-assessment. Test-retest reliability, assessed over a 3-7 week interval, was 0.75 (95% CI = 0.69-0.80). Reliability for mail administration (r = 0.84) was higher than for telephone administration (r = 0.68). Construct validity was established by correlating PASE scores with health status and physiologic measures. As hypothesized, PASE scores were positively associated with grip strength (r = 0.37), static balance (r = +0.33), leg strength (r = 0.25) and negatively correlated with resting heart rate (r = -0.13), age (r = -0.34) and perceived health status (r = -0.34); and overall Sickness Impact Profile score (r = -0.42). The PASE is a brief, easily scored, reliable and valid instrument for the assessment of physical activity in epidemiologic studies of older people.","author":[{"dropping-particle":"","family":"Washburn","given":"R A","non-dropping-particle":"","parse-names":false,"suffix":""},{"dropping-particle":"","family":"Smith","given":"K W","non-dropping-particle":"","parse-names":false,"suffix":""},{"dropping-particle":"","family":"Jette","given":"A M","non-dropping-particle":"","parse-names":false,"suffix":""},{"dropping-particle":"","family":"Janney","given":"C A","non-dropping-particle":"","parse-names":false,"suffix":""}],"container-title":"Journal of clinical epidemiology","id":"ITEM-1","issue":"2","issued":{"date-parts":[["1993","2"]]},"page":"153-62","title":"The Physical Activity Scale for the Elderly (PASE): development and evaluation.","type":"article-journal","volume":"46"},"uris":["http://www.mendeley.com/documents/?uuid=8081691b-e925-3a51-95c4-7bb53deed5be"]}],"mendeley":{"formattedCitation":"(Washburn et al., 1993)","plainTextFormattedCitation":"(Washburn et al., 1993)","previouslyFormattedCitation":"(Washburn et al., 1993)"},"properties":{"noteIndex":0},"schema":"https://github.com/citation-style-language/schema/raw/master/csl-citation.json"}</w:instrText>
            </w:r>
            <w:r w:rsidRPr="009B2CDA">
              <w:rPr>
                <w:rFonts w:ascii="Times New Roman" w:hAnsi="Times New Roman" w:cs="Times New Roman"/>
              </w:rPr>
              <w:fldChar w:fldCharType="separate"/>
            </w:r>
            <w:r w:rsidR="00BB5C78" w:rsidRPr="009B2CDA">
              <w:rPr>
                <w:rFonts w:ascii="Times New Roman" w:hAnsi="Times New Roman" w:cs="Times New Roman"/>
                <w:noProof/>
              </w:rPr>
              <w:t>(Washburn et al., 1993)</w:t>
            </w:r>
            <w:r w:rsidRPr="009B2CDA">
              <w:rPr>
                <w:rFonts w:ascii="Times New Roman" w:hAnsi="Times New Roman" w:cs="Times New Roman"/>
              </w:rPr>
              <w:fldChar w:fldCharType="end"/>
            </w:r>
            <w:r w:rsidRPr="009B2CDA">
              <w:rPr>
                <w:rFonts w:ascii="Times New Roman" w:hAnsi="Times New Roman" w:cs="Times New Roman"/>
              </w:rPr>
              <w:t xml:space="preserve"> questionnaire</w:t>
            </w:r>
            <w:r w:rsidR="00A249E3" w:rsidRPr="009B2CDA">
              <w:rPr>
                <w:rFonts w:ascii="Times New Roman" w:hAnsi="Times New Roman" w:cs="Times New Roman"/>
              </w:rPr>
              <w:t>, collecting physical activity reports in the past 7 days</w:t>
            </w:r>
          </w:p>
          <w:p w14:paraId="586552FF" w14:textId="369ABA87" w:rsidR="00C56C0F" w:rsidRPr="009B2CDA" w:rsidRDefault="00C56C0F" w:rsidP="0090608A">
            <w:pPr>
              <w:rPr>
                <w:rFonts w:ascii="Times New Roman" w:hAnsi="Times New Roman" w:cs="Times New Roman"/>
              </w:rPr>
            </w:pPr>
          </w:p>
        </w:tc>
      </w:tr>
      <w:tr w:rsidR="0073795B" w:rsidRPr="009B2CDA" w14:paraId="3E5BFE77" w14:textId="77777777" w:rsidTr="00B85CBC">
        <w:tc>
          <w:tcPr>
            <w:tcW w:w="1838" w:type="dxa"/>
            <w:tcBorders>
              <w:top w:val="nil"/>
              <w:bottom w:val="single" w:sz="4" w:space="0" w:color="auto"/>
            </w:tcBorders>
            <w:vAlign w:val="center"/>
          </w:tcPr>
          <w:p w14:paraId="53D6F686" w14:textId="068C6BF9" w:rsidR="0073795B" w:rsidRPr="009B2CDA" w:rsidRDefault="0073795B" w:rsidP="00B85CBC">
            <w:pPr>
              <w:rPr>
                <w:rFonts w:ascii="Times New Roman" w:hAnsi="Times New Roman" w:cs="Times New Roman"/>
              </w:rPr>
            </w:pPr>
          </w:p>
        </w:tc>
        <w:tc>
          <w:tcPr>
            <w:tcW w:w="8222" w:type="dxa"/>
            <w:tcBorders>
              <w:top w:val="nil"/>
              <w:bottom w:val="single" w:sz="4" w:space="0" w:color="auto"/>
            </w:tcBorders>
          </w:tcPr>
          <w:p w14:paraId="78BC5CDA" w14:textId="66DBADCC" w:rsidR="0073795B" w:rsidRPr="009B2CDA" w:rsidRDefault="00496424" w:rsidP="0090608A">
            <w:pPr>
              <w:rPr>
                <w:rFonts w:ascii="Times New Roman" w:hAnsi="Times New Roman" w:cs="Times New Roman"/>
                <w:b/>
              </w:rPr>
            </w:pPr>
            <w:r w:rsidRPr="009B2CDA">
              <w:rPr>
                <w:rFonts w:ascii="Times New Roman" w:hAnsi="Times New Roman" w:cs="Times New Roman"/>
                <w:b/>
              </w:rPr>
              <w:t>Definition:</w:t>
            </w:r>
          </w:p>
        </w:tc>
      </w:tr>
      <w:tr w:rsidR="0073795B" w:rsidRPr="009B2CDA" w14:paraId="0473831D" w14:textId="77777777" w:rsidTr="00B85CBC">
        <w:tc>
          <w:tcPr>
            <w:tcW w:w="1838" w:type="dxa"/>
            <w:tcBorders>
              <w:top w:val="single" w:sz="4" w:space="0" w:color="auto"/>
            </w:tcBorders>
            <w:vAlign w:val="center"/>
          </w:tcPr>
          <w:p w14:paraId="6A3DEE79" w14:textId="6BC94A59" w:rsidR="0073795B" w:rsidRPr="009B2CDA" w:rsidRDefault="00496424" w:rsidP="00B85CBC">
            <w:pPr>
              <w:rPr>
                <w:rFonts w:ascii="Times New Roman" w:hAnsi="Times New Roman" w:cs="Times New Roman"/>
              </w:rPr>
            </w:pPr>
            <w:r w:rsidRPr="009B2CDA">
              <w:rPr>
                <w:rFonts w:ascii="Times New Roman" w:hAnsi="Times New Roman" w:cs="Times New Roman"/>
              </w:rPr>
              <w:t>RT</w:t>
            </w:r>
          </w:p>
        </w:tc>
        <w:tc>
          <w:tcPr>
            <w:tcW w:w="8222" w:type="dxa"/>
            <w:tcBorders>
              <w:top w:val="single" w:sz="4" w:space="0" w:color="auto"/>
            </w:tcBorders>
          </w:tcPr>
          <w:p w14:paraId="64F29097" w14:textId="3E86C758" w:rsidR="0073795B" w:rsidRPr="009B2CDA" w:rsidRDefault="00496424" w:rsidP="0090608A">
            <w:pPr>
              <w:rPr>
                <w:rFonts w:ascii="Times New Roman" w:hAnsi="Times New Roman" w:cs="Times New Roman"/>
              </w:rPr>
            </w:pPr>
            <w:r w:rsidRPr="009B2CDA">
              <w:rPr>
                <w:rFonts w:ascii="Times New Roman" w:hAnsi="Times New Roman" w:cs="Times New Roman"/>
              </w:rPr>
              <w:t>Time from the audible sound to initiation of movement</w:t>
            </w:r>
          </w:p>
        </w:tc>
      </w:tr>
      <w:tr w:rsidR="00496424" w:rsidRPr="009B2CDA" w14:paraId="47C32929" w14:textId="77777777" w:rsidTr="00B85CBC">
        <w:tc>
          <w:tcPr>
            <w:tcW w:w="1838" w:type="dxa"/>
            <w:vAlign w:val="center"/>
          </w:tcPr>
          <w:p w14:paraId="7A532849" w14:textId="72403503" w:rsidR="00496424" w:rsidRPr="009B2CDA" w:rsidRDefault="00496424" w:rsidP="00B85CBC">
            <w:pPr>
              <w:rPr>
                <w:rFonts w:ascii="Times New Roman" w:hAnsi="Times New Roman" w:cs="Times New Roman"/>
              </w:rPr>
            </w:pPr>
            <w:r w:rsidRPr="009B2CDA">
              <w:rPr>
                <w:rFonts w:ascii="Times New Roman" w:hAnsi="Times New Roman" w:cs="Times New Roman"/>
              </w:rPr>
              <w:t>MT</w:t>
            </w:r>
          </w:p>
        </w:tc>
        <w:tc>
          <w:tcPr>
            <w:tcW w:w="8222" w:type="dxa"/>
          </w:tcPr>
          <w:p w14:paraId="633D7520" w14:textId="64D0C28E" w:rsidR="00496424" w:rsidRPr="009B2CDA" w:rsidRDefault="00496424" w:rsidP="0090608A">
            <w:pPr>
              <w:rPr>
                <w:rFonts w:ascii="Times New Roman" w:hAnsi="Times New Roman" w:cs="Times New Roman"/>
              </w:rPr>
            </w:pPr>
            <w:r w:rsidRPr="009B2CDA">
              <w:rPr>
                <w:rFonts w:ascii="Times New Roman" w:hAnsi="Times New Roman" w:cs="Times New Roman"/>
              </w:rPr>
              <w:t>Time from initial arm movement to contact with the target</w:t>
            </w:r>
          </w:p>
        </w:tc>
      </w:tr>
      <w:tr w:rsidR="00496424" w:rsidRPr="009B2CDA" w14:paraId="34CC5721" w14:textId="77777777" w:rsidTr="00B85CBC">
        <w:tc>
          <w:tcPr>
            <w:tcW w:w="1838" w:type="dxa"/>
            <w:vAlign w:val="center"/>
          </w:tcPr>
          <w:p w14:paraId="618279BB" w14:textId="7CAEF235" w:rsidR="00496424" w:rsidRPr="009B2CDA" w:rsidRDefault="00496424" w:rsidP="00B85CBC">
            <w:pPr>
              <w:rPr>
                <w:rFonts w:ascii="Times New Roman" w:hAnsi="Times New Roman" w:cs="Times New Roman"/>
              </w:rPr>
            </w:pPr>
            <w:r w:rsidRPr="009B2CDA">
              <w:rPr>
                <w:rFonts w:ascii="Times New Roman" w:hAnsi="Times New Roman" w:cs="Times New Roman"/>
              </w:rPr>
              <w:t>Fall Risk</w:t>
            </w:r>
          </w:p>
        </w:tc>
        <w:tc>
          <w:tcPr>
            <w:tcW w:w="8222" w:type="dxa"/>
          </w:tcPr>
          <w:p w14:paraId="6584DAD7" w14:textId="3368EE9C" w:rsidR="00496424" w:rsidRPr="009B2CDA" w:rsidRDefault="00496424" w:rsidP="0090608A">
            <w:pPr>
              <w:rPr>
                <w:rFonts w:ascii="Times New Roman" w:hAnsi="Times New Roman" w:cs="Times New Roman"/>
              </w:rPr>
            </w:pPr>
            <w:r w:rsidRPr="009B2CDA">
              <w:rPr>
                <w:rFonts w:ascii="Times New Roman" w:hAnsi="Times New Roman" w:cs="Times New Roman"/>
              </w:rPr>
              <w:t>Determined by having one or more falls in the previous 12 months</w:t>
            </w:r>
            <w:r w:rsidR="008C15F6" w:rsidRPr="009B2CDA">
              <w:rPr>
                <w:rFonts w:ascii="Times New Roman" w:hAnsi="Times New Roman" w:cs="Times New Roman"/>
              </w:rPr>
              <w:t>. A fall</w:t>
            </w:r>
            <w:r w:rsidR="00843B5F" w:rsidRPr="009B2CDA">
              <w:rPr>
                <w:rFonts w:ascii="Times New Roman" w:hAnsi="Times New Roman" w:cs="Times New Roman"/>
              </w:rPr>
              <w:t xml:space="preserve"> was defined as </w:t>
            </w:r>
            <w:proofErr w:type="spellStart"/>
            <w:r w:rsidR="00843B5F" w:rsidRPr="009B2CDA">
              <w:rPr>
                <w:rFonts w:ascii="Times New Roman" w:hAnsi="Times New Roman" w:cs="Times New Roman"/>
              </w:rPr>
              <w:t>any body</w:t>
            </w:r>
            <w:proofErr w:type="spellEnd"/>
            <w:r w:rsidR="00843B5F" w:rsidRPr="009B2CDA">
              <w:rPr>
                <w:rFonts w:ascii="Times New Roman" w:hAnsi="Times New Roman" w:cs="Times New Roman"/>
              </w:rPr>
              <w:t xml:space="preserve"> part coming to rest on the ground, floor or a lower surface.</w:t>
            </w:r>
          </w:p>
        </w:tc>
      </w:tr>
      <w:tr w:rsidR="00496424" w:rsidRPr="009B2CDA" w14:paraId="1805D33D" w14:textId="77777777" w:rsidTr="00B85CBC">
        <w:tc>
          <w:tcPr>
            <w:tcW w:w="1838" w:type="dxa"/>
            <w:vAlign w:val="center"/>
          </w:tcPr>
          <w:p w14:paraId="1E374B7B" w14:textId="2694CB23" w:rsidR="00496424" w:rsidRPr="009B2CDA" w:rsidRDefault="00496424" w:rsidP="00B85CBC">
            <w:pPr>
              <w:rPr>
                <w:rFonts w:ascii="Times New Roman" w:hAnsi="Times New Roman" w:cs="Times New Roman"/>
              </w:rPr>
            </w:pPr>
            <w:r w:rsidRPr="009B2CDA">
              <w:rPr>
                <w:rFonts w:ascii="Times New Roman" w:hAnsi="Times New Roman" w:cs="Times New Roman"/>
              </w:rPr>
              <w:t>Age</w:t>
            </w:r>
          </w:p>
        </w:tc>
        <w:tc>
          <w:tcPr>
            <w:tcW w:w="8222" w:type="dxa"/>
          </w:tcPr>
          <w:p w14:paraId="4A5773E4" w14:textId="3541BD41" w:rsidR="00496424" w:rsidRPr="009B2CDA" w:rsidRDefault="00496424" w:rsidP="0090608A">
            <w:pPr>
              <w:rPr>
                <w:rFonts w:ascii="Times New Roman" w:hAnsi="Times New Roman" w:cs="Times New Roman"/>
              </w:rPr>
            </w:pPr>
            <w:r w:rsidRPr="009B2CDA">
              <w:rPr>
                <w:rFonts w:ascii="Times New Roman" w:hAnsi="Times New Roman" w:cs="Times New Roman"/>
              </w:rPr>
              <w:t>Chronological age</w:t>
            </w:r>
          </w:p>
        </w:tc>
      </w:tr>
    </w:tbl>
    <w:p w14:paraId="5EF679E1" w14:textId="1C9C9E3E" w:rsidR="0037052F" w:rsidRPr="009B2CDA" w:rsidRDefault="0073795B" w:rsidP="0090608A">
      <w:pPr>
        <w:rPr>
          <w:rFonts w:ascii="Times New Roman" w:hAnsi="Times New Roman" w:cs="Times New Roman"/>
        </w:rPr>
      </w:pPr>
      <w:r w:rsidRPr="009B2CDA">
        <w:rPr>
          <w:rFonts w:ascii="Times New Roman" w:hAnsi="Times New Roman" w:cs="Times New Roman"/>
        </w:rPr>
        <w:t xml:space="preserve">HG: handgrip, STS: sit-to-stand, SF: shoulder flexion, EE: elbow extension, OLB: one-legged balance, PASE: Physical Activity </w:t>
      </w:r>
      <w:r w:rsidR="00290037" w:rsidRPr="009B2CDA">
        <w:rPr>
          <w:rFonts w:ascii="Times New Roman" w:hAnsi="Times New Roman" w:cs="Times New Roman"/>
        </w:rPr>
        <w:t>S</w:t>
      </w:r>
      <w:r w:rsidRPr="009B2CDA">
        <w:rPr>
          <w:rFonts w:ascii="Times New Roman" w:hAnsi="Times New Roman" w:cs="Times New Roman"/>
        </w:rPr>
        <w:t>cale for the Elderly, HHD: hand-held dynamomet</w:t>
      </w:r>
      <w:r w:rsidR="001E3EA6" w:rsidRPr="009B2CDA">
        <w:rPr>
          <w:rFonts w:ascii="Times New Roman" w:hAnsi="Times New Roman" w:cs="Times New Roman"/>
        </w:rPr>
        <w:t>e</w:t>
      </w:r>
      <w:r w:rsidRPr="009B2CDA">
        <w:rPr>
          <w:rFonts w:ascii="Times New Roman" w:hAnsi="Times New Roman" w:cs="Times New Roman"/>
        </w:rPr>
        <w:t>r</w:t>
      </w:r>
      <w:r w:rsidR="001E3EA6" w:rsidRPr="009B2CDA">
        <w:rPr>
          <w:rFonts w:ascii="Times New Roman" w:hAnsi="Times New Roman" w:cs="Times New Roman"/>
        </w:rPr>
        <w:t xml:space="preserve"> (Model </w:t>
      </w:r>
      <w:r w:rsidR="001E3EA6" w:rsidRPr="009B2CDA">
        <w:rPr>
          <w:rFonts w:ascii="Times New Roman" w:hAnsi="Times New Roman" w:cs="Times New Roman"/>
        </w:rPr>
        <w:lastRenderedPageBreak/>
        <w:t>#01165, Lafayette Instrument Inc., Lafayette, Indiana</w:t>
      </w:r>
      <w:r w:rsidR="00686202" w:rsidRPr="009B2CDA">
        <w:rPr>
          <w:rFonts w:ascii="Times New Roman" w:hAnsi="Times New Roman" w:cs="Times New Roman"/>
        </w:rPr>
        <w:t>, USA</w:t>
      </w:r>
      <w:r w:rsidR="001E3EA6" w:rsidRPr="009B2CDA">
        <w:rPr>
          <w:rFonts w:ascii="Times New Roman" w:hAnsi="Times New Roman" w:cs="Times New Roman"/>
        </w:rPr>
        <w:t>)</w:t>
      </w:r>
      <w:r w:rsidRPr="009B2CDA">
        <w:rPr>
          <w:rFonts w:ascii="Times New Roman" w:hAnsi="Times New Roman" w:cs="Times New Roman"/>
        </w:rPr>
        <w:t>.</w:t>
      </w:r>
      <w:r w:rsidR="00496424" w:rsidRPr="009B2CDA">
        <w:rPr>
          <w:rFonts w:ascii="Times New Roman" w:hAnsi="Times New Roman" w:cs="Times New Roman"/>
        </w:rPr>
        <w:t xml:space="preserve"> RT: reaction time, MT: movement time.</w:t>
      </w:r>
    </w:p>
    <w:p w14:paraId="46DCB09C" w14:textId="77777777" w:rsidR="00684225" w:rsidRPr="009B2CDA" w:rsidRDefault="00684225" w:rsidP="0090608A">
      <w:pPr>
        <w:rPr>
          <w:rFonts w:ascii="Times New Roman" w:hAnsi="Times New Roman" w:cs="Times New Roman"/>
        </w:rPr>
      </w:pPr>
    </w:p>
    <w:p w14:paraId="77DF8433" w14:textId="7CEAE991" w:rsidR="00385CE7" w:rsidRPr="009B2CDA" w:rsidRDefault="00385CE7" w:rsidP="0090608A">
      <w:pPr>
        <w:rPr>
          <w:rFonts w:ascii="Times New Roman" w:hAnsi="Times New Roman" w:cs="Times New Roman"/>
        </w:rPr>
      </w:pPr>
      <w:r w:rsidRPr="009B2CDA">
        <w:rPr>
          <w:rFonts w:ascii="Times New Roman" w:hAnsi="Times New Roman" w:cs="Times New Roman"/>
          <w:b/>
        </w:rPr>
        <w:t>Table 2</w:t>
      </w:r>
      <w:r w:rsidRPr="009B2CDA">
        <w:rPr>
          <w:rFonts w:ascii="Times New Roman" w:hAnsi="Times New Roman" w:cs="Times New Roman"/>
        </w:rPr>
        <w:t xml:space="preserve">: </w:t>
      </w:r>
      <w:r w:rsidR="00F10AA8" w:rsidRPr="009B2CDA">
        <w:rPr>
          <w:rFonts w:ascii="Times New Roman" w:hAnsi="Times New Roman" w:cs="Times New Roman"/>
        </w:rPr>
        <w:t>Means and standard deviation (SD) for all variables</w:t>
      </w:r>
      <w:r w:rsidR="00E3613B" w:rsidRPr="009B2CDA">
        <w:rPr>
          <w:rFonts w:ascii="Times New Roman" w:hAnsi="Times New Roman" w:cs="Times New Roman"/>
        </w:rPr>
        <w:t>,</w:t>
      </w:r>
      <w:r w:rsidR="00F10AA8" w:rsidRPr="009B2CDA">
        <w:rPr>
          <w:rFonts w:ascii="Times New Roman" w:hAnsi="Times New Roman" w:cs="Times New Roman"/>
        </w:rPr>
        <w:t xml:space="preserve"> the corresponding bivariate linear regression significance values for each variable with RT and MT.</w:t>
      </w:r>
    </w:p>
    <w:tbl>
      <w:tblPr>
        <w:tblStyle w:val="TableGrid"/>
        <w:tblW w:w="69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843"/>
        <w:gridCol w:w="1139"/>
        <w:gridCol w:w="1706"/>
      </w:tblGrid>
      <w:tr w:rsidR="002176F0" w:rsidRPr="009B2CDA" w14:paraId="0EAE5851" w14:textId="07AF4351" w:rsidTr="00684225">
        <w:tc>
          <w:tcPr>
            <w:tcW w:w="2268" w:type="dxa"/>
            <w:tcBorders>
              <w:top w:val="single" w:sz="4" w:space="0" w:color="auto"/>
              <w:bottom w:val="nil"/>
            </w:tcBorders>
          </w:tcPr>
          <w:p w14:paraId="2F3FE7B7" w14:textId="77777777" w:rsidR="002176F0" w:rsidRPr="009B2CDA" w:rsidRDefault="002176F0" w:rsidP="002176F0">
            <w:pPr>
              <w:jc w:val="center"/>
              <w:rPr>
                <w:rFonts w:ascii="Times New Roman" w:hAnsi="Times New Roman" w:cs="Times New Roman"/>
                <w:b/>
              </w:rPr>
            </w:pPr>
          </w:p>
        </w:tc>
        <w:tc>
          <w:tcPr>
            <w:tcW w:w="1843" w:type="dxa"/>
            <w:tcBorders>
              <w:top w:val="single" w:sz="4" w:space="0" w:color="auto"/>
              <w:bottom w:val="nil"/>
            </w:tcBorders>
          </w:tcPr>
          <w:p w14:paraId="41A91599" w14:textId="27AB3581" w:rsidR="002176F0" w:rsidRPr="009B2CDA" w:rsidRDefault="002176F0" w:rsidP="002176F0">
            <w:pPr>
              <w:jc w:val="center"/>
              <w:rPr>
                <w:rFonts w:ascii="Times New Roman" w:hAnsi="Times New Roman" w:cs="Times New Roman"/>
                <w:b/>
              </w:rPr>
            </w:pPr>
            <w:r w:rsidRPr="009B2CDA">
              <w:rPr>
                <w:rFonts w:ascii="Times New Roman" w:hAnsi="Times New Roman" w:cs="Times New Roman"/>
                <w:b/>
              </w:rPr>
              <w:t xml:space="preserve">Mean </w:t>
            </w:r>
            <w:r w:rsidRPr="009B2CDA">
              <w:rPr>
                <w:rFonts w:ascii="Times New Roman" w:hAnsi="Times New Roman" w:cs="Times New Roman"/>
                <w:b/>
              </w:rPr>
              <w:sym w:font="Symbol" w:char="F0B1"/>
            </w:r>
            <w:r w:rsidRPr="009B2CDA">
              <w:rPr>
                <w:rFonts w:ascii="Times New Roman" w:hAnsi="Times New Roman" w:cs="Times New Roman"/>
                <w:b/>
              </w:rPr>
              <w:t xml:space="preserve"> SD</w:t>
            </w:r>
          </w:p>
        </w:tc>
        <w:tc>
          <w:tcPr>
            <w:tcW w:w="2845" w:type="dxa"/>
            <w:gridSpan w:val="2"/>
            <w:tcBorders>
              <w:top w:val="single" w:sz="4" w:space="0" w:color="auto"/>
              <w:bottom w:val="nil"/>
            </w:tcBorders>
          </w:tcPr>
          <w:p w14:paraId="3546A352" w14:textId="77777777" w:rsidR="00CB53B1" w:rsidRPr="009B2CDA" w:rsidRDefault="002176F0" w:rsidP="002176F0">
            <w:pPr>
              <w:jc w:val="center"/>
              <w:rPr>
                <w:rFonts w:ascii="Times New Roman" w:hAnsi="Times New Roman" w:cs="Times New Roman"/>
                <w:b/>
              </w:rPr>
            </w:pPr>
            <w:r w:rsidRPr="009B2CDA">
              <w:rPr>
                <w:rFonts w:ascii="Times New Roman" w:hAnsi="Times New Roman" w:cs="Times New Roman"/>
                <w:b/>
              </w:rPr>
              <w:t>Bivariate Regression</w:t>
            </w:r>
            <w:r w:rsidR="00385CE7" w:rsidRPr="009B2CDA">
              <w:rPr>
                <w:rFonts w:ascii="Times New Roman" w:hAnsi="Times New Roman" w:cs="Times New Roman"/>
                <w:b/>
              </w:rPr>
              <w:t xml:space="preserve"> </w:t>
            </w:r>
          </w:p>
          <w:p w14:paraId="69B62954" w14:textId="20E5AFF7" w:rsidR="002176F0" w:rsidRPr="009B2CDA" w:rsidRDefault="00385CE7" w:rsidP="002176F0">
            <w:pPr>
              <w:jc w:val="center"/>
              <w:rPr>
                <w:rFonts w:ascii="Times New Roman" w:hAnsi="Times New Roman" w:cs="Times New Roman"/>
                <w:b/>
              </w:rPr>
            </w:pPr>
            <w:r w:rsidRPr="009B2CDA">
              <w:rPr>
                <w:rFonts w:ascii="Times New Roman" w:hAnsi="Times New Roman" w:cs="Times New Roman"/>
                <w:b/>
              </w:rPr>
              <w:t>(</w:t>
            </w:r>
            <w:r w:rsidR="000B3CD7" w:rsidRPr="009B2CDA">
              <w:rPr>
                <w:rFonts w:ascii="Times New Roman" w:hAnsi="Times New Roman" w:cs="Times New Roman"/>
                <w:b/>
                <w:i/>
              </w:rPr>
              <w:t>P</w:t>
            </w:r>
            <w:r w:rsidRPr="009B2CDA">
              <w:rPr>
                <w:rFonts w:ascii="Times New Roman" w:hAnsi="Times New Roman" w:cs="Times New Roman"/>
                <w:b/>
              </w:rPr>
              <w:t xml:space="preserve"> value)</w:t>
            </w:r>
          </w:p>
        </w:tc>
      </w:tr>
      <w:tr w:rsidR="002176F0" w:rsidRPr="009B2CDA" w14:paraId="32F0BB25" w14:textId="77777777" w:rsidTr="00684225">
        <w:tc>
          <w:tcPr>
            <w:tcW w:w="2268" w:type="dxa"/>
            <w:tcBorders>
              <w:top w:val="nil"/>
              <w:bottom w:val="single" w:sz="4" w:space="0" w:color="auto"/>
            </w:tcBorders>
          </w:tcPr>
          <w:p w14:paraId="627B7A41" w14:textId="77777777" w:rsidR="002176F0" w:rsidRPr="009B2CDA" w:rsidRDefault="002176F0" w:rsidP="002176F0">
            <w:pPr>
              <w:jc w:val="center"/>
              <w:rPr>
                <w:rFonts w:ascii="Times New Roman" w:hAnsi="Times New Roman" w:cs="Times New Roman"/>
                <w:b/>
              </w:rPr>
            </w:pPr>
          </w:p>
        </w:tc>
        <w:tc>
          <w:tcPr>
            <w:tcW w:w="1843" w:type="dxa"/>
            <w:tcBorders>
              <w:top w:val="nil"/>
              <w:bottom w:val="single" w:sz="4" w:space="0" w:color="auto"/>
            </w:tcBorders>
          </w:tcPr>
          <w:p w14:paraId="360E0135" w14:textId="77777777" w:rsidR="002176F0" w:rsidRPr="009B2CDA" w:rsidRDefault="002176F0" w:rsidP="002176F0">
            <w:pPr>
              <w:jc w:val="center"/>
              <w:rPr>
                <w:rFonts w:ascii="Times New Roman" w:hAnsi="Times New Roman" w:cs="Times New Roman"/>
                <w:b/>
              </w:rPr>
            </w:pPr>
          </w:p>
        </w:tc>
        <w:tc>
          <w:tcPr>
            <w:tcW w:w="1139" w:type="dxa"/>
            <w:tcBorders>
              <w:top w:val="nil"/>
              <w:bottom w:val="single" w:sz="4" w:space="0" w:color="auto"/>
            </w:tcBorders>
          </w:tcPr>
          <w:p w14:paraId="52510FD1" w14:textId="1C45D419" w:rsidR="002176F0" w:rsidRPr="009B2CDA" w:rsidRDefault="002176F0" w:rsidP="002176F0">
            <w:pPr>
              <w:jc w:val="center"/>
              <w:rPr>
                <w:rFonts w:ascii="Times New Roman" w:hAnsi="Times New Roman" w:cs="Times New Roman"/>
                <w:b/>
              </w:rPr>
            </w:pPr>
            <w:r w:rsidRPr="009B2CDA">
              <w:rPr>
                <w:rFonts w:ascii="Times New Roman" w:hAnsi="Times New Roman" w:cs="Times New Roman"/>
                <w:b/>
              </w:rPr>
              <w:t>RT</w:t>
            </w:r>
          </w:p>
        </w:tc>
        <w:tc>
          <w:tcPr>
            <w:tcW w:w="1706" w:type="dxa"/>
            <w:tcBorders>
              <w:top w:val="nil"/>
              <w:bottom w:val="single" w:sz="4" w:space="0" w:color="auto"/>
            </w:tcBorders>
          </w:tcPr>
          <w:p w14:paraId="0AD89C4C" w14:textId="3DE67369" w:rsidR="002176F0" w:rsidRPr="009B2CDA" w:rsidRDefault="002176F0" w:rsidP="002176F0">
            <w:pPr>
              <w:jc w:val="center"/>
              <w:rPr>
                <w:rFonts w:ascii="Times New Roman" w:hAnsi="Times New Roman" w:cs="Times New Roman"/>
                <w:b/>
              </w:rPr>
            </w:pPr>
            <w:r w:rsidRPr="009B2CDA">
              <w:rPr>
                <w:rFonts w:ascii="Times New Roman" w:hAnsi="Times New Roman" w:cs="Times New Roman"/>
                <w:b/>
              </w:rPr>
              <w:t>MT</w:t>
            </w:r>
          </w:p>
        </w:tc>
      </w:tr>
      <w:tr w:rsidR="002176F0" w:rsidRPr="009B2CDA" w14:paraId="3D164A1E" w14:textId="0C5C707B" w:rsidTr="00684225">
        <w:tc>
          <w:tcPr>
            <w:tcW w:w="2268" w:type="dxa"/>
            <w:tcBorders>
              <w:top w:val="single" w:sz="4" w:space="0" w:color="auto"/>
            </w:tcBorders>
            <w:vAlign w:val="center"/>
          </w:tcPr>
          <w:p w14:paraId="517EC4B6" w14:textId="4B7045FC" w:rsidR="002176F0" w:rsidRPr="009B2CDA" w:rsidRDefault="002176F0" w:rsidP="002176F0">
            <w:pPr>
              <w:rPr>
                <w:rFonts w:ascii="Times New Roman" w:hAnsi="Times New Roman" w:cs="Times New Roman"/>
              </w:rPr>
            </w:pPr>
            <w:r w:rsidRPr="009B2CDA">
              <w:rPr>
                <w:rFonts w:ascii="Times New Roman" w:hAnsi="Times New Roman" w:cs="Times New Roman"/>
              </w:rPr>
              <w:t>Age</w:t>
            </w:r>
            <w:r w:rsidR="00796BA0" w:rsidRPr="009B2CDA">
              <w:rPr>
                <w:rFonts w:ascii="Times New Roman" w:hAnsi="Times New Roman" w:cs="Times New Roman"/>
              </w:rPr>
              <w:t xml:space="preserve"> (yrs)</w:t>
            </w:r>
          </w:p>
        </w:tc>
        <w:tc>
          <w:tcPr>
            <w:tcW w:w="1843" w:type="dxa"/>
            <w:tcBorders>
              <w:top w:val="single" w:sz="4" w:space="0" w:color="auto"/>
            </w:tcBorders>
            <w:vAlign w:val="center"/>
          </w:tcPr>
          <w:p w14:paraId="074D572F" w14:textId="54C0B794" w:rsidR="002176F0" w:rsidRPr="009B2CDA" w:rsidRDefault="00796BA0" w:rsidP="00F10AA8">
            <w:pPr>
              <w:jc w:val="center"/>
              <w:rPr>
                <w:rFonts w:ascii="Times New Roman" w:hAnsi="Times New Roman" w:cs="Times New Roman"/>
              </w:rPr>
            </w:pPr>
            <w:r w:rsidRPr="009B2CDA">
              <w:rPr>
                <w:rFonts w:ascii="Times New Roman" w:hAnsi="Times New Roman" w:cs="Times New Roman"/>
              </w:rPr>
              <w:t>72 ± 8</w:t>
            </w:r>
          </w:p>
        </w:tc>
        <w:tc>
          <w:tcPr>
            <w:tcW w:w="1139" w:type="dxa"/>
            <w:tcBorders>
              <w:top w:val="single" w:sz="4" w:space="0" w:color="auto"/>
            </w:tcBorders>
          </w:tcPr>
          <w:p w14:paraId="0A9F4763" w14:textId="0E3B284C" w:rsidR="002176F0" w:rsidRPr="009B2CDA" w:rsidRDefault="003116D3" w:rsidP="00F10AA8">
            <w:pPr>
              <w:jc w:val="center"/>
              <w:rPr>
                <w:rFonts w:ascii="Times New Roman" w:hAnsi="Times New Roman" w:cs="Times New Roman"/>
              </w:rPr>
            </w:pPr>
            <w:r w:rsidRPr="009B2CDA">
              <w:rPr>
                <w:rFonts w:ascii="Times New Roman" w:hAnsi="Times New Roman" w:cs="Times New Roman"/>
              </w:rPr>
              <w:t>.100</w:t>
            </w:r>
            <w:r w:rsidR="000E3D76" w:rsidRPr="009B2CDA">
              <w:rPr>
                <w:rFonts w:ascii="Times New Roman" w:hAnsi="Times New Roman" w:cs="Times New Roman"/>
                <w:vertAlign w:val="superscript"/>
              </w:rPr>
              <w:t xml:space="preserve"> </w:t>
            </w:r>
            <w:r w:rsidR="000E3D76" w:rsidRPr="003D4E2B">
              <w:rPr>
                <w:rFonts w:ascii="Times New Roman" w:hAnsi="Times New Roman" w:cs="Times New Roman"/>
                <w:b/>
                <w:vertAlign w:val="superscript"/>
              </w:rPr>
              <w:t>a</w:t>
            </w:r>
          </w:p>
        </w:tc>
        <w:tc>
          <w:tcPr>
            <w:tcW w:w="1706" w:type="dxa"/>
            <w:tcBorders>
              <w:top w:val="single" w:sz="4" w:space="0" w:color="auto"/>
            </w:tcBorders>
          </w:tcPr>
          <w:p w14:paraId="5153E6EA" w14:textId="668105A0" w:rsidR="002176F0" w:rsidRPr="009B2CDA" w:rsidRDefault="00FE7A87" w:rsidP="00F10AA8">
            <w:pPr>
              <w:jc w:val="center"/>
              <w:rPr>
                <w:rFonts w:ascii="Times New Roman" w:hAnsi="Times New Roman" w:cs="Times New Roman"/>
              </w:rPr>
            </w:pPr>
            <w:r w:rsidRPr="009B2CDA">
              <w:rPr>
                <w:rFonts w:ascii="Times New Roman" w:hAnsi="Times New Roman" w:cs="Times New Roman"/>
              </w:rPr>
              <w:t>.</w:t>
            </w:r>
            <w:r w:rsidR="003116D3" w:rsidRPr="009B2CDA">
              <w:rPr>
                <w:rFonts w:ascii="Times New Roman" w:hAnsi="Times New Roman" w:cs="Times New Roman"/>
              </w:rPr>
              <w:t>352</w:t>
            </w:r>
          </w:p>
        </w:tc>
      </w:tr>
      <w:tr w:rsidR="002176F0" w:rsidRPr="009B2CDA" w14:paraId="41619996" w14:textId="1ACE7CBF" w:rsidTr="00684225">
        <w:tc>
          <w:tcPr>
            <w:tcW w:w="2268" w:type="dxa"/>
            <w:vAlign w:val="center"/>
          </w:tcPr>
          <w:p w14:paraId="1B26228A" w14:textId="0D9F45D9" w:rsidR="002176F0" w:rsidRPr="009B2CDA" w:rsidRDefault="002176F0" w:rsidP="002176F0">
            <w:pPr>
              <w:rPr>
                <w:rFonts w:ascii="Times New Roman" w:hAnsi="Times New Roman" w:cs="Times New Roman"/>
              </w:rPr>
            </w:pPr>
            <w:r w:rsidRPr="009B2CDA">
              <w:rPr>
                <w:rFonts w:ascii="Times New Roman" w:hAnsi="Times New Roman" w:cs="Times New Roman"/>
              </w:rPr>
              <w:t>RT</w:t>
            </w:r>
            <w:r w:rsidR="00796BA0" w:rsidRPr="009B2CDA">
              <w:rPr>
                <w:rFonts w:ascii="Times New Roman" w:hAnsi="Times New Roman" w:cs="Times New Roman"/>
              </w:rPr>
              <w:t xml:space="preserve"> (sec)</w:t>
            </w:r>
          </w:p>
        </w:tc>
        <w:tc>
          <w:tcPr>
            <w:tcW w:w="1843" w:type="dxa"/>
            <w:vAlign w:val="center"/>
          </w:tcPr>
          <w:p w14:paraId="2107C01B" w14:textId="058470C1" w:rsidR="002176F0" w:rsidRPr="009B2CDA" w:rsidRDefault="00EF3133" w:rsidP="00F10AA8">
            <w:pPr>
              <w:jc w:val="center"/>
              <w:rPr>
                <w:rFonts w:ascii="Times New Roman" w:hAnsi="Times New Roman" w:cs="Times New Roman"/>
              </w:rPr>
            </w:pPr>
            <w:r w:rsidRPr="009B2CDA">
              <w:rPr>
                <w:rFonts w:ascii="Times New Roman" w:hAnsi="Times New Roman" w:cs="Times New Roman"/>
              </w:rPr>
              <w:t xml:space="preserve">.21 </w:t>
            </w:r>
            <w:r w:rsidRPr="009B2CDA">
              <w:rPr>
                <w:rFonts w:ascii="Times New Roman" w:hAnsi="Times New Roman" w:cs="Times New Roman"/>
              </w:rPr>
              <w:sym w:font="Symbol" w:char="F0B1"/>
            </w:r>
            <w:r w:rsidRPr="009B2CDA">
              <w:rPr>
                <w:rFonts w:ascii="Times New Roman" w:hAnsi="Times New Roman" w:cs="Times New Roman"/>
              </w:rPr>
              <w:t>.03</w:t>
            </w:r>
          </w:p>
        </w:tc>
        <w:tc>
          <w:tcPr>
            <w:tcW w:w="1139" w:type="dxa"/>
          </w:tcPr>
          <w:p w14:paraId="705BD6D3" w14:textId="15CD2437" w:rsidR="002176F0" w:rsidRPr="009B2CDA" w:rsidRDefault="00F477DE" w:rsidP="00F10AA8">
            <w:pPr>
              <w:jc w:val="center"/>
              <w:rPr>
                <w:rFonts w:ascii="Times New Roman" w:hAnsi="Times New Roman" w:cs="Times New Roman"/>
              </w:rPr>
            </w:pPr>
            <w:r w:rsidRPr="009B2CDA">
              <w:rPr>
                <w:rFonts w:ascii="Times New Roman" w:hAnsi="Times New Roman" w:cs="Times New Roman"/>
              </w:rPr>
              <w:t>-</w:t>
            </w:r>
          </w:p>
        </w:tc>
        <w:tc>
          <w:tcPr>
            <w:tcW w:w="1706" w:type="dxa"/>
          </w:tcPr>
          <w:p w14:paraId="7E9467C7" w14:textId="4D9C360A" w:rsidR="002176F0" w:rsidRPr="009B2CDA" w:rsidRDefault="00F10AA8" w:rsidP="00F10AA8">
            <w:pPr>
              <w:jc w:val="center"/>
              <w:rPr>
                <w:rFonts w:ascii="Times New Roman" w:hAnsi="Times New Roman" w:cs="Times New Roman"/>
              </w:rPr>
            </w:pPr>
            <w:r w:rsidRPr="009B2CDA">
              <w:rPr>
                <w:rFonts w:ascii="Times New Roman" w:hAnsi="Times New Roman" w:cs="Times New Roman"/>
              </w:rPr>
              <w:t>-</w:t>
            </w:r>
          </w:p>
        </w:tc>
      </w:tr>
      <w:tr w:rsidR="002176F0" w:rsidRPr="009B2CDA" w14:paraId="2352B733" w14:textId="1E5E2692" w:rsidTr="00684225">
        <w:tc>
          <w:tcPr>
            <w:tcW w:w="2268" w:type="dxa"/>
            <w:vAlign w:val="center"/>
          </w:tcPr>
          <w:p w14:paraId="584DD7CC" w14:textId="36F71F48" w:rsidR="002176F0" w:rsidRPr="009B2CDA" w:rsidRDefault="002176F0" w:rsidP="002176F0">
            <w:pPr>
              <w:rPr>
                <w:rFonts w:ascii="Times New Roman" w:hAnsi="Times New Roman" w:cs="Times New Roman"/>
              </w:rPr>
            </w:pPr>
            <w:r w:rsidRPr="009B2CDA">
              <w:rPr>
                <w:rFonts w:ascii="Times New Roman" w:hAnsi="Times New Roman" w:cs="Times New Roman"/>
              </w:rPr>
              <w:t>MT</w:t>
            </w:r>
            <w:r w:rsidR="00796BA0" w:rsidRPr="009B2CDA">
              <w:rPr>
                <w:rFonts w:ascii="Times New Roman" w:hAnsi="Times New Roman" w:cs="Times New Roman"/>
              </w:rPr>
              <w:t xml:space="preserve"> (sec)</w:t>
            </w:r>
          </w:p>
        </w:tc>
        <w:tc>
          <w:tcPr>
            <w:tcW w:w="1843" w:type="dxa"/>
            <w:vAlign w:val="center"/>
          </w:tcPr>
          <w:p w14:paraId="3D5C91D0" w14:textId="6DC488CC" w:rsidR="002176F0" w:rsidRPr="009B2CDA" w:rsidRDefault="00EF3133" w:rsidP="00F10AA8">
            <w:pPr>
              <w:jc w:val="center"/>
              <w:rPr>
                <w:rFonts w:ascii="Times New Roman" w:hAnsi="Times New Roman" w:cs="Times New Roman"/>
              </w:rPr>
            </w:pPr>
            <w:r w:rsidRPr="009B2CDA">
              <w:rPr>
                <w:rFonts w:ascii="Times New Roman" w:hAnsi="Times New Roman" w:cs="Times New Roman"/>
              </w:rPr>
              <w:t xml:space="preserve">.35 </w:t>
            </w:r>
            <w:r w:rsidRPr="009B2CDA">
              <w:rPr>
                <w:rFonts w:ascii="Times New Roman" w:hAnsi="Times New Roman" w:cs="Times New Roman"/>
              </w:rPr>
              <w:sym w:font="Symbol" w:char="F0B1"/>
            </w:r>
            <w:r w:rsidRPr="009B2CDA">
              <w:rPr>
                <w:rFonts w:ascii="Times New Roman" w:hAnsi="Times New Roman" w:cs="Times New Roman"/>
              </w:rPr>
              <w:t xml:space="preserve"> .11</w:t>
            </w:r>
          </w:p>
        </w:tc>
        <w:tc>
          <w:tcPr>
            <w:tcW w:w="1139" w:type="dxa"/>
          </w:tcPr>
          <w:p w14:paraId="49184D7F" w14:textId="2E5AB952" w:rsidR="002176F0" w:rsidRPr="009B2CDA" w:rsidRDefault="00F477DE" w:rsidP="00F10AA8">
            <w:pPr>
              <w:jc w:val="center"/>
              <w:rPr>
                <w:rFonts w:ascii="Times New Roman" w:hAnsi="Times New Roman" w:cs="Times New Roman"/>
              </w:rPr>
            </w:pPr>
            <w:r w:rsidRPr="009B2CDA">
              <w:rPr>
                <w:rFonts w:ascii="Times New Roman" w:hAnsi="Times New Roman" w:cs="Times New Roman"/>
              </w:rPr>
              <w:t>-</w:t>
            </w:r>
          </w:p>
        </w:tc>
        <w:tc>
          <w:tcPr>
            <w:tcW w:w="1706" w:type="dxa"/>
          </w:tcPr>
          <w:p w14:paraId="1CFA6A76" w14:textId="7CD20A33" w:rsidR="002176F0" w:rsidRPr="009B2CDA" w:rsidRDefault="00F10AA8" w:rsidP="00F10AA8">
            <w:pPr>
              <w:jc w:val="center"/>
              <w:rPr>
                <w:rFonts w:ascii="Times New Roman" w:hAnsi="Times New Roman" w:cs="Times New Roman"/>
              </w:rPr>
            </w:pPr>
            <w:r w:rsidRPr="009B2CDA">
              <w:rPr>
                <w:rFonts w:ascii="Times New Roman" w:hAnsi="Times New Roman" w:cs="Times New Roman"/>
              </w:rPr>
              <w:t>-</w:t>
            </w:r>
          </w:p>
        </w:tc>
      </w:tr>
      <w:tr w:rsidR="002176F0" w:rsidRPr="009B2CDA" w14:paraId="54243C97" w14:textId="4DD2E5EA" w:rsidTr="00684225">
        <w:tc>
          <w:tcPr>
            <w:tcW w:w="2268" w:type="dxa"/>
            <w:vAlign w:val="center"/>
          </w:tcPr>
          <w:p w14:paraId="374AE2D0" w14:textId="2D16ED4A" w:rsidR="002176F0" w:rsidRPr="009B2CDA" w:rsidRDefault="002176F0" w:rsidP="002176F0">
            <w:pPr>
              <w:rPr>
                <w:rFonts w:ascii="Times New Roman" w:hAnsi="Times New Roman" w:cs="Times New Roman"/>
              </w:rPr>
            </w:pPr>
            <w:r w:rsidRPr="009B2CDA">
              <w:rPr>
                <w:rFonts w:ascii="Times New Roman" w:hAnsi="Times New Roman" w:cs="Times New Roman"/>
              </w:rPr>
              <w:t>Handgrip</w:t>
            </w:r>
            <w:r w:rsidR="00796BA0" w:rsidRPr="009B2CDA">
              <w:rPr>
                <w:rFonts w:ascii="Times New Roman" w:hAnsi="Times New Roman" w:cs="Times New Roman"/>
              </w:rPr>
              <w:t xml:space="preserve"> (</w:t>
            </w:r>
            <w:r w:rsidR="005D6A4E" w:rsidRPr="009B2CDA">
              <w:rPr>
                <w:rFonts w:ascii="Times New Roman" w:hAnsi="Times New Roman" w:cs="Times New Roman"/>
              </w:rPr>
              <w:t>k</w:t>
            </w:r>
            <w:r w:rsidR="00796BA0" w:rsidRPr="009B2CDA">
              <w:rPr>
                <w:rFonts w:ascii="Times New Roman" w:hAnsi="Times New Roman" w:cs="Times New Roman"/>
              </w:rPr>
              <w:t>g)</w:t>
            </w:r>
          </w:p>
        </w:tc>
        <w:tc>
          <w:tcPr>
            <w:tcW w:w="1843" w:type="dxa"/>
            <w:vAlign w:val="center"/>
          </w:tcPr>
          <w:p w14:paraId="4EEC23BF" w14:textId="681E0B34" w:rsidR="002176F0" w:rsidRPr="009B2CDA" w:rsidRDefault="007767F5" w:rsidP="00F10AA8">
            <w:pPr>
              <w:jc w:val="center"/>
              <w:rPr>
                <w:rFonts w:ascii="Times New Roman" w:hAnsi="Times New Roman" w:cs="Times New Roman"/>
              </w:rPr>
            </w:pPr>
            <w:r w:rsidRPr="009B2CDA">
              <w:rPr>
                <w:rFonts w:ascii="Times New Roman" w:hAnsi="Times New Roman" w:cs="Times New Roman"/>
              </w:rPr>
              <w:t xml:space="preserve">20.69 </w:t>
            </w:r>
            <w:r w:rsidRPr="009B2CDA">
              <w:rPr>
                <w:rFonts w:ascii="Times New Roman" w:hAnsi="Times New Roman" w:cs="Times New Roman"/>
              </w:rPr>
              <w:sym w:font="Symbol" w:char="F0B1"/>
            </w:r>
            <w:r w:rsidRPr="009B2CDA">
              <w:rPr>
                <w:rFonts w:ascii="Times New Roman" w:hAnsi="Times New Roman" w:cs="Times New Roman"/>
              </w:rPr>
              <w:t xml:space="preserve"> 5.62</w:t>
            </w:r>
          </w:p>
        </w:tc>
        <w:tc>
          <w:tcPr>
            <w:tcW w:w="1139" w:type="dxa"/>
          </w:tcPr>
          <w:p w14:paraId="772EF09B" w14:textId="7DA2655D" w:rsidR="002176F0" w:rsidRPr="009B2CDA" w:rsidRDefault="003116D3" w:rsidP="00F10AA8">
            <w:pPr>
              <w:jc w:val="center"/>
              <w:rPr>
                <w:rFonts w:ascii="Times New Roman" w:hAnsi="Times New Roman" w:cs="Times New Roman"/>
              </w:rPr>
            </w:pPr>
            <w:r w:rsidRPr="009B2CDA">
              <w:rPr>
                <w:rFonts w:ascii="Times New Roman" w:hAnsi="Times New Roman" w:cs="Times New Roman"/>
              </w:rPr>
              <w:t>.013</w:t>
            </w:r>
            <w:r w:rsidR="00971179" w:rsidRPr="009B2CDA">
              <w:rPr>
                <w:rFonts w:ascii="Times New Roman" w:hAnsi="Times New Roman" w:cs="Times New Roman"/>
                <w:vertAlign w:val="superscript"/>
              </w:rPr>
              <w:t xml:space="preserve"> a</w:t>
            </w:r>
            <w:r w:rsidR="001C468E" w:rsidRPr="009B2CDA">
              <w:rPr>
                <w:rFonts w:ascii="Times New Roman" w:hAnsi="Times New Roman" w:cs="Times New Roman"/>
                <w:vertAlign w:val="superscript"/>
              </w:rPr>
              <w:t>^</w:t>
            </w:r>
          </w:p>
        </w:tc>
        <w:tc>
          <w:tcPr>
            <w:tcW w:w="1706" w:type="dxa"/>
          </w:tcPr>
          <w:p w14:paraId="2ECB32ED" w14:textId="6B4E2624" w:rsidR="002176F0" w:rsidRPr="009B2CDA" w:rsidRDefault="003116D3" w:rsidP="00F10AA8">
            <w:pPr>
              <w:jc w:val="center"/>
              <w:rPr>
                <w:rFonts w:ascii="Times New Roman" w:hAnsi="Times New Roman" w:cs="Times New Roman"/>
              </w:rPr>
            </w:pPr>
            <w:r w:rsidRPr="009B2CDA">
              <w:rPr>
                <w:rFonts w:ascii="Times New Roman" w:hAnsi="Times New Roman" w:cs="Times New Roman"/>
              </w:rPr>
              <w:t>.064</w:t>
            </w:r>
            <w:r w:rsidR="00971179" w:rsidRPr="009B2CDA">
              <w:rPr>
                <w:rFonts w:ascii="Times New Roman" w:hAnsi="Times New Roman" w:cs="Times New Roman"/>
                <w:vertAlign w:val="superscript"/>
              </w:rPr>
              <w:t xml:space="preserve"> a</w:t>
            </w:r>
          </w:p>
        </w:tc>
      </w:tr>
      <w:tr w:rsidR="002176F0" w:rsidRPr="009B2CDA" w14:paraId="588D2E30" w14:textId="446D7DAC" w:rsidTr="00684225">
        <w:tc>
          <w:tcPr>
            <w:tcW w:w="2268" w:type="dxa"/>
            <w:vAlign w:val="center"/>
          </w:tcPr>
          <w:p w14:paraId="0D353D68" w14:textId="23FB97D8" w:rsidR="002176F0" w:rsidRPr="009B2CDA" w:rsidRDefault="002176F0" w:rsidP="002176F0">
            <w:pPr>
              <w:rPr>
                <w:rFonts w:ascii="Times New Roman" w:hAnsi="Times New Roman" w:cs="Times New Roman"/>
              </w:rPr>
            </w:pPr>
            <w:r w:rsidRPr="009B2CDA">
              <w:rPr>
                <w:rFonts w:ascii="Times New Roman" w:hAnsi="Times New Roman" w:cs="Times New Roman"/>
              </w:rPr>
              <w:t>SF</w:t>
            </w:r>
            <w:r w:rsidR="00796BA0" w:rsidRPr="009B2CDA">
              <w:rPr>
                <w:rFonts w:ascii="Times New Roman" w:hAnsi="Times New Roman" w:cs="Times New Roman"/>
              </w:rPr>
              <w:t xml:space="preserve"> (</w:t>
            </w:r>
            <w:r w:rsidR="005D6A4E" w:rsidRPr="009B2CDA">
              <w:rPr>
                <w:rFonts w:ascii="Times New Roman" w:hAnsi="Times New Roman" w:cs="Times New Roman"/>
              </w:rPr>
              <w:t>k</w:t>
            </w:r>
            <w:r w:rsidR="00796BA0" w:rsidRPr="009B2CDA">
              <w:rPr>
                <w:rFonts w:ascii="Times New Roman" w:hAnsi="Times New Roman" w:cs="Times New Roman"/>
              </w:rPr>
              <w:t>g)</w:t>
            </w:r>
          </w:p>
        </w:tc>
        <w:tc>
          <w:tcPr>
            <w:tcW w:w="1843" w:type="dxa"/>
          </w:tcPr>
          <w:p w14:paraId="4E817C5F" w14:textId="43D71138" w:rsidR="002176F0" w:rsidRPr="009B2CDA" w:rsidRDefault="007767F5" w:rsidP="00F10AA8">
            <w:pPr>
              <w:jc w:val="center"/>
              <w:rPr>
                <w:rFonts w:ascii="Times New Roman" w:hAnsi="Times New Roman" w:cs="Times New Roman"/>
              </w:rPr>
            </w:pPr>
            <w:r w:rsidRPr="009B2CDA">
              <w:rPr>
                <w:rFonts w:ascii="Times New Roman" w:hAnsi="Times New Roman" w:cs="Times New Roman"/>
              </w:rPr>
              <w:t xml:space="preserve">6.35 </w:t>
            </w:r>
            <w:r w:rsidRPr="009B2CDA">
              <w:rPr>
                <w:rFonts w:ascii="Times New Roman" w:hAnsi="Times New Roman" w:cs="Times New Roman"/>
              </w:rPr>
              <w:sym w:font="Symbol" w:char="F0B1"/>
            </w:r>
            <w:r w:rsidRPr="009B2CDA">
              <w:rPr>
                <w:rFonts w:ascii="Times New Roman" w:hAnsi="Times New Roman" w:cs="Times New Roman"/>
              </w:rPr>
              <w:t xml:space="preserve"> 1.70</w:t>
            </w:r>
          </w:p>
        </w:tc>
        <w:tc>
          <w:tcPr>
            <w:tcW w:w="1139" w:type="dxa"/>
          </w:tcPr>
          <w:p w14:paraId="1F3E3FF6" w14:textId="338EE48B" w:rsidR="002176F0" w:rsidRPr="009B2CDA" w:rsidRDefault="003116D3" w:rsidP="00F10AA8">
            <w:pPr>
              <w:jc w:val="center"/>
              <w:rPr>
                <w:rFonts w:ascii="Times New Roman" w:hAnsi="Times New Roman" w:cs="Times New Roman"/>
                <w:color w:val="000000"/>
              </w:rPr>
            </w:pPr>
            <w:r w:rsidRPr="009B2CDA">
              <w:rPr>
                <w:rFonts w:ascii="Times New Roman" w:hAnsi="Times New Roman" w:cs="Times New Roman"/>
                <w:color w:val="000000"/>
              </w:rPr>
              <w:t>.102</w:t>
            </w:r>
            <w:r w:rsidR="00971179" w:rsidRPr="009B2CDA">
              <w:rPr>
                <w:rFonts w:ascii="Times New Roman" w:hAnsi="Times New Roman" w:cs="Times New Roman"/>
                <w:vertAlign w:val="superscript"/>
              </w:rPr>
              <w:t xml:space="preserve"> a</w:t>
            </w:r>
          </w:p>
        </w:tc>
        <w:tc>
          <w:tcPr>
            <w:tcW w:w="1706" w:type="dxa"/>
          </w:tcPr>
          <w:p w14:paraId="377B0594" w14:textId="271F0B2C" w:rsidR="002176F0" w:rsidRPr="009B2CDA" w:rsidRDefault="003116D3" w:rsidP="00F10AA8">
            <w:pPr>
              <w:jc w:val="center"/>
              <w:rPr>
                <w:rFonts w:ascii="Times New Roman" w:hAnsi="Times New Roman" w:cs="Times New Roman"/>
                <w:color w:val="000000"/>
              </w:rPr>
            </w:pPr>
            <w:r w:rsidRPr="009B2CDA">
              <w:rPr>
                <w:rFonts w:ascii="Times New Roman" w:hAnsi="Times New Roman" w:cs="Times New Roman"/>
                <w:color w:val="000000"/>
              </w:rPr>
              <w:t>.036</w:t>
            </w:r>
            <w:r w:rsidR="00971179" w:rsidRPr="009B2CDA">
              <w:rPr>
                <w:rFonts w:ascii="Times New Roman" w:hAnsi="Times New Roman" w:cs="Times New Roman"/>
                <w:vertAlign w:val="superscript"/>
              </w:rPr>
              <w:t xml:space="preserve"> a</w:t>
            </w:r>
            <w:r w:rsidR="00971179" w:rsidRPr="009B2CDA">
              <w:rPr>
                <w:rFonts w:ascii="Times New Roman" w:hAnsi="Times New Roman" w:cs="Times New Roman"/>
                <w:color w:val="000000"/>
                <w:vertAlign w:val="superscript"/>
              </w:rPr>
              <w:t xml:space="preserve"> </w:t>
            </w:r>
            <w:r w:rsidR="00042B6F" w:rsidRPr="009B2CDA">
              <w:rPr>
                <w:rFonts w:ascii="Times New Roman" w:hAnsi="Times New Roman" w:cs="Times New Roman"/>
                <w:color w:val="000000"/>
                <w:vertAlign w:val="superscript"/>
              </w:rPr>
              <w:t>#</w:t>
            </w:r>
          </w:p>
        </w:tc>
      </w:tr>
      <w:tr w:rsidR="002176F0" w:rsidRPr="009B2CDA" w14:paraId="06CCE7A8" w14:textId="795E9814" w:rsidTr="00684225">
        <w:tc>
          <w:tcPr>
            <w:tcW w:w="2268" w:type="dxa"/>
            <w:tcBorders>
              <w:bottom w:val="nil"/>
            </w:tcBorders>
            <w:vAlign w:val="center"/>
          </w:tcPr>
          <w:p w14:paraId="33E47C7A" w14:textId="5426258F" w:rsidR="002176F0" w:rsidRPr="009B2CDA" w:rsidRDefault="002176F0" w:rsidP="002176F0">
            <w:pPr>
              <w:rPr>
                <w:rFonts w:ascii="Times New Roman" w:hAnsi="Times New Roman" w:cs="Times New Roman"/>
              </w:rPr>
            </w:pPr>
            <w:r w:rsidRPr="009B2CDA">
              <w:rPr>
                <w:rFonts w:ascii="Times New Roman" w:hAnsi="Times New Roman" w:cs="Times New Roman"/>
              </w:rPr>
              <w:t>EE</w:t>
            </w:r>
            <w:r w:rsidR="00796BA0" w:rsidRPr="009B2CDA">
              <w:rPr>
                <w:rFonts w:ascii="Times New Roman" w:hAnsi="Times New Roman" w:cs="Times New Roman"/>
              </w:rPr>
              <w:t xml:space="preserve"> (</w:t>
            </w:r>
            <w:r w:rsidR="005D6A4E" w:rsidRPr="009B2CDA">
              <w:rPr>
                <w:rFonts w:ascii="Times New Roman" w:hAnsi="Times New Roman" w:cs="Times New Roman"/>
              </w:rPr>
              <w:t>k</w:t>
            </w:r>
            <w:r w:rsidR="00796BA0" w:rsidRPr="009B2CDA">
              <w:rPr>
                <w:rFonts w:ascii="Times New Roman" w:hAnsi="Times New Roman" w:cs="Times New Roman"/>
              </w:rPr>
              <w:t>g)</w:t>
            </w:r>
          </w:p>
        </w:tc>
        <w:tc>
          <w:tcPr>
            <w:tcW w:w="1843" w:type="dxa"/>
            <w:tcBorders>
              <w:bottom w:val="nil"/>
            </w:tcBorders>
          </w:tcPr>
          <w:p w14:paraId="5F883101" w14:textId="2EB13783" w:rsidR="002176F0" w:rsidRPr="009B2CDA" w:rsidRDefault="00EF3133" w:rsidP="00F10AA8">
            <w:pPr>
              <w:jc w:val="center"/>
              <w:rPr>
                <w:rFonts w:ascii="Times New Roman" w:hAnsi="Times New Roman" w:cs="Times New Roman"/>
              </w:rPr>
            </w:pPr>
            <w:r w:rsidRPr="009B2CDA">
              <w:rPr>
                <w:rFonts w:ascii="Times New Roman" w:hAnsi="Times New Roman" w:cs="Times New Roman"/>
              </w:rPr>
              <w:t xml:space="preserve">6.18 </w:t>
            </w:r>
            <w:r w:rsidRPr="009B2CDA">
              <w:rPr>
                <w:rFonts w:ascii="Times New Roman" w:hAnsi="Times New Roman" w:cs="Times New Roman"/>
              </w:rPr>
              <w:sym w:font="Symbol" w:char="F0B1"/>
            </w:r>
            <w:r w:rsidRPr="009B2CDA">
              <w:rPr>
                <w:rFonts w:ascii="Times New Roman" w:hAnsi="Times New Roman" w:cs="Times New Roman"/>
              </w:rPr>
              <w:t xml:space="preserve"> 1.39</w:t>
            </w:r>
          </w:p>
        </w:tc>
        <w:tc>
          <w:tcPr>
            <w:tcW w:w="1139" w:type="dxa"/>
            <w:tcBorders>
              <w:bottom w:val="nil"/>
            </w:tcBorders>
          </w:tcPr>
          <w:p w14:paraId="195376CE" w14:textId="6B2A89F6" w:rsidR="002176F0" w:rsidRPr="009B2CDA" w:rsidRDefault="003116D3" w:rsidP="00F10AA8">
            <w:pPr>
              <w:jc w:val="center"/>
              <w:rPr>
                <w:rFonts w:ascii="Times New Roman" w:hAnsi="Times New Roman" w:cs="Times New Roman"/>
              </w:rPr>
            </w:pPr>
            <w:r w:rsidRPr="009B2CDA">
              <w:rPr>
                <w:rFonts w:ascii="Times New Roman" w:hAnsi="Times New Roman" w:cs="Times New Roman"/>
              </w:rPr>
              <w:t>.138</w:t>
            </w:r>
            <w:r w:rsidR="00971179" w:rsidRPr="009B2CDA">
              <w:rPr>
                <w:rFonts w:ascii="Times New Roman" w:hAnsi="Times New Roman" w:cs="Times New Roman"/>
                <w:vertAlign w:val="superscript"/>
              </w:rPr>
              <w:t xml:space="preserve"> b</w:t>
            </w:r>
          </w:p>
        </w:tc>
        <w:tc>
          <w:tcPr>
            <w:tcW w:w="1706" w:type="dxa"/>
            <w:tcBorders>
              <w:bottom w:val="nil"/>
            </w:tcBorders>
          </w:tcPr>
          <w:p w14:paraId="3CFD4003" w14:textId="441279C3" w:rsidR="002176F0" w:rsidRPr="009B2CDA" w:rsidRDefault="003116D3" w:rsidP="00F10AA8">
            <w:pPr>
              <w:jc w:val="center"/>
              <w:rPr>
                <w:rFonts w:ascii="Times New Roman" w:hAnsi="Times New Roman" w:cs="Times New Roman"/>
              </w:rPr>
            </w:pPr>
            <w:r w:rsidRPr="009B2CDA">
              <w:rPr>
                <w:rFonts w:ascii="Times New Roman" w:hAnsi="Times New Roman" w:cs="Times New Roman"/>
              </w:rPr>
              <w:t>.329</w:t>
            </w:r>
          </w:p>
        </w:tc>
      </w:tr>
      <w:tr w:rsidR="002176F0" w:rsidRPr="009B2CDA" w14:paraId="16947558" w14:textId="5A8D7999" w:rsidTr="00684225">
        <w:tc>
          <w:tcPr>
            <w:tcW w:w="2268" w:type="dxa"/>
            <w:tcBorders>
              <w:top w:val="nil"/>
              <w:bottom w:val="nil"/>
            </w:tcBorders>
            <w:vAlign w:val="center"/>
          </w:tcPr>
          <w:p w14:paraId="7DDFC7E8" w14:textId="210796AB" w:rsidR="002176F0" w:rsidRPr="009B2CDA" w:rsidRDefault="002176F0" w:rsidP="002176F0">
            <w:pPr>
              <w:rPr>
                <w:rFonts w:ascii="Times New Roman" w:hAnsi="Times New Roman" w:cs="Times New Roman"/>
              </w:rPr>
            </w:pPr>
            <w:r w:rsidRPr="009B2CDA">
              <w:rPr>
                <w:rFonts w:ascii="Times New Roman" w:hAnsi="Times New Roman" w:cs="Times New Roman"/>
              </w:rPr>
              <w:t>S</w:t>
            </w:r>
            <w:r w:rsidR="007E0179" w:rsidRPr="009B2CDA">
              <w:rPr>
                <w:rFonts w:ascii="Times New Roman" w:hAnsi="Times New Roman" w:cs="Times New Roman"/>
              </w:rPr>
              <w:t>TS</w:t>
            </w:r>
            <w:r w:rsidR="00684225" w:rsidRPr="009B2CDA">
              <w:rPr>
                <w:rFonts w:ascii="Times New Roman" w:hAnsi="Times New Roman" w:cs="Times New Roman"/>
              </w:rPr>
              <w:t xml:space="preserve"> (reps)</w:t>
            </w:r>
          </w:p>
        </w:tc>
        <w:tc>
          <w:tcPr>
            <w:tcW w:w="1843" w:type="dxa"/>
            <w:tcBorders>
              <w:top w:val="nil"/>
              <w:bottom w:val="nil"/>
            </w:tcBorders>
          </w:tcPr>
          <w:p w14:paraId="0D05121C" w14:textId="5E23204D" w:rsidR="002176F0" w:rsidRPr="009B2CDA" w:rsidRDefault="00EF3133" w:rsidP="00F10AA8">
            <w:pPr>
              <w:jc w:val="center"/>
              <w:rPr>
                <w:rFonts w:ascii="Times New Roman" w:hAnsi="Times New Roman" w:cs="Times New Roman"/>
              </w:rPr>
            </w:pPr>
            <w:r w:rsidRPr="009B2CDA">
              <w:rPr>
                <w:rFonts w:ascii="Times New Roman" w:hAnsi="Times New Roman" w:cs="Times New Roman"/>
              </w:rPr>
              <w:t xml:space="preserve">10.45 </w:t>
            </w:r>
            <w:r w:rsidRPr="009B2CDA">
              <w:rPr>
                <w:rFonts w:ascii="Times New Roman" w:hAnsi="Times New Roman" w:cs="Times New Roman"/>
              </w:rPr>
              <w:sym w:font="Symbol" w:char="F0B1"/>
            </w:r>
            <w:r w:rsidRPr="009B2CDA">
              <w:rPr>
                <w:rFonts w:ascii="Times New Roman" w:hAnsi="Times New Roman" w:cs="Times New Roman"/>
              </w:rPr>
              <w:t xml:space="preserve"> 3.26</w:t>
            </w:r>
          </w:p>
        </w:tc>
        <w:tc>
          <w:tcPr>
            <w:tcW w:w="1139" w:type="dxa"/>
            <w:tcBorders>
              <w:top w:val="nil"/>
              <w:bottom w:val="nil"/>
            </w:tcBorders>
          </w:tcPr>
          <w:p w14:paraId="7C809BC2" w14:textId="0FDEB428" w:rsidR="002176F0" w:rsidRPr="009B2CDA" w:rsidRDefault="003116D3" w:rsidP="00F10AA8">
            <w:pPr>
              <w:jc w:val="center"/>
              <w:rPr>
                <w:rFonts w:ascii="Times New Roman" w:hAnsi="Times New Roman" w:cs="Times New Roman"/>
              </w:rPr>
            </w:pPr>
            <w:r w:rsidRPr="009B2CDA">
              <w:rPr>
                <w:rFonts w:ascii="Times New Roman" w:hAnsi="Times New Roman" w:cs="Times New Roman"/>
              </w:rPr>
              <w:t>.025</w:t>
            </w:r>
            <w:r w:rsidR="00971179" w:rsidRPr="009B2CDA">
              <w:rPr>
                <w:rFonts w:ascii="Times New Roman" w:hAnsi="Times New Roman" w:cs="Times New Roman"/>
                <w:vertAlign w:val="superscript"/>
              </w:rPr>
              <w:t xml:space="preserve"> a</w:t>
            </w:r>
          </w:p>
        </w:tc>
        <w:tc>
          <w:tcPr>
            <w:tcW w:w="1706" w:type="dxa"/>
            <w:tcBorders>
              <w:top w:val="nil"/>
              <w:bottom w:val="nil"/>
            </w:tcBorders>
          </w:tcPr>
          <w:p w14:paraId="007EB981" w14:textId="74F65145" w:rsidR="002176F0" w:rsidRPr="009B2CDA" w:rsidRDefault="003116D3" w:rsidP="00F10AA8">
            <w:pPr>
              <w:jc w:val="center"/>
              <w:rPr>
                <w:rFonts w:ascii="Times New Roman" w:hAnsi="Times New Roman" w:cs="Times New Roman"/>
              </w:rPr>
            </w:pPr>
            <w:r w:rsidRPr="009B2CDA">
              <w:rPr>
                <w:rFonts w:ascii="Times New Roman" w:hAnsi="Times New Roman" w:cs="Times New Roman"/>
              </w:rPr>
              <w:t>.156</w:t>
            </w:r>
            <w:r w:rsidR="00971179" w:rsidRPr="009B2CDA">
              <w:rPr>
                <w:rFonts w:ascii="Times New Roman" w:hAnsi="Times New Roman" w:cs="Times New Roman"/>
                <w:vertAlign w:val="superscript"/>
              </w:rPr>
              <w:t xml:space="preserve"> a</w:t>
            </w:r>
          </w:p>
        </w:tc>
      </w:tr>
      <w:tr w:rsidR="002176F0" w:rsidRPr="009B2CDA" w14:paraId="06C6E942" w14:textId="189F31F4" w:rsidTr="00684225">
        <w:tc>
          <w:tcPr>
            <w:tcW w:w="2268" w:type="dxa"/>
            <w:tcBorders>
              <w:top w:val="nil"/>
            </w:tcBorders>
            <w:vAlign w:val="center"/>
          </w:tcPr>
          <w:p w14:paraId="58667B26" w14:textId="56259DEA" w:rsidR="002176F0" w:rsidRPr="009B2CDA" w:rsidRDefault="002176F0" w:rsidP="002176F0">
            <w:pPr>
              <w:rPr>
                <w:rFonts w:ascii="Times New Roman" w:hAnsi="Times New Roman" w:cs="Times New Roman"/>
              </w:rPr>
            </w:pPr>
            <w:r w:rsidRPr="009B2CDA">
              <w:rPr>
                <w:rFonts w:ascii="Times New Roman" w:hAnsi="Times New Roman" w:cs="Times New Roman"/>
              </w:rPr>
              <w:t>OLB</w:t>
            </w:r>
            <w:r w:rsidR="00684225" w:rsidRPr="009B2CDA">
              <w:rPr>
                <w:rFonts w:ascii="Times New Roman" w:hAnsi="Times New Roman" w:cs="Times New Roman"/>
              </w:rPr>
              <w:t xml:space="preserve"> (sec)</w:t>
            </w:r>
          </w:p>
        </w:tc>
        <w:tc>
          <w:tcPr>
            <w:tcW w:w="1843" w:type="dxa"/>
            <w:tcBorders>
              <w:top w:val="nil"/>
            </w:tcBorders>
          </w:tcPr>
          <w:p w14:paraId="6E8F33E6" w14:textId="4B68330B" w:rsidR="002176F0" w:rsidRPr="009B2CDA" w:rsidRDefault="00EF3133" w:rsidP="00F10AA8">
            <w:pPr>
              <w:jc w:val="center"/>
              <w:rPr>
                <w:rFonts w:ascii="Times New Roman" w:hAnsi="Times New Roman" w:cs="Times New Roman"/>
              </w:rPr>
            </w:pPr>
            <w:r w:rsidRPr="009B2CDA">
              <w:rPr>
                <w:rFonts w:ascii="Times New Roman" w:hAnsi="Times New Roman" w:cs="Times New Roman"/>
              </w:rPr>
              <w:t xml:space="preserve">28.78 </w:t>
            </w:r>
            <w:r w:rsidRPr="009B2CDA">
              <w:rPr>
                <w:rFonts w:ascii="Times New Roman" w:hAnsi="Times New Roman" w:cs="Times New Roman"/>
              </w:rPr>
              <w:sym w:font="Symbol" w:char="F0B1"/>
            </w:r>
            <w:r w:rsidRPr="009B2CDA">
              <w:rPr>
                <w:rFonts w:ascii="Times New Roman" w:hAnsi="Times New Roman" w:cs="Times New Roman"/>
              </w:rPr>
              <w:t xml:space="preserve"> 20.77</w:t>
            </w:r>
          </w:p>
        </w:tc>
        <w:tc>
          <w:tcPr>
            <w:tcW w:w="1139" w:type="dxa"/>
            <w:tcBorders>
              <w:top w:val="nil"/>
            </w:tcBorders>
          </w:tcPr>
          <w:p w14:paraId="0DBE21D4" w14:textId="4EF70C38" w:rsidR="002176F0" w:rsidRPr="009B2CDA" w:rsidRDefault="003116D3" w:rsidP="00F10AA8">
            <w:pPr>
              <w:jc w:val="center"/>
              <w:rPr>
                <w:rFonts w:ascii="Times New Roman" w:hAnsi="Times New Roman" w:cs="Times New Roman"/>
              </w:rPr>
            </w:pPr>
            <w:r w:rsidRPr="009B2CDA">
              <w:rPr>
                <w:rFonts w:ascii="Times New Roman" w:hAnsi="Times New Roman" w:cs="Times New Roman"/>
              </w:rPr>
              <w:t>.188</w:t>
            </w:r>
            <w:r w:rsidR="00971179" w:rsidRPr="009B2CDA">
              <w:rPr>
                <w:rFonts w:ascii="Times New Roman" w:hAnsi="Times New Roman" w:cs="Times New Roman"/>
                <w:vertAlign w:val="superscript"/>
              </w:rPr>
              <w:t xml:space="preserve"> a</w:t>
            </w:r>
          </w:p>
        </w:tc>
        <w:tc>
          <w:tcPr>
            <w:tcW w:w="1706" w:type="dxa"/>
            <w:tcBorders>
              <w:top w:val="nil"/>
            </w:tcBorders>
          </w:tcPr>
          <w:p w14:paraId="2E4C17F0" w14:textId="2B701932" w:rsidR="002176F0" w:rsidRPr="009B2CDA" w:rsidRDefault="003116D3" w:rsidP="00F10AA8">
            <w:pPr>
              <w:jc w:val="center"/>
              <w:rPr>
                <w:rFonts w:ascii="Times New Roman" w:hAnsi="Times New Roman" w:cs="Times New Roman"/>
              </w:rPr>
            </w:pPr>
            <w:r w:rsidRPr="009B2CDA">
              <w:rPr>
                <w:rFonts w:ascii="Times New Roman" w:hAnsi="Times New Roman" w:cs="Times New Roman"/>
              </w:rPr>
              <w:t>.156</w:t>
            </w:r>
            <w:r w:rsidR="00971179" w:rsidRPr="009B2CDA">
              <w:rPr>
                <w:rFonts w:ascii="Times New Roman" w:hAnsi="Times New Roman" w:cs="Times New Roman"/>
                <w:vertAlign w:val="superscript"/>
              </w:rPr>
              <w:t xml:space="preserve"> a</w:t>
            </w:r>
          </w:p>
        </w:tc>
      </w:tr>
      <w:tr w:rsidR="002176F0" w:rsidRPr="009B2CDA" w14:paraId="4E6FDB32" w14:textId="383F1D4E" w:rsidTr="00684225">
        <w:tc>
          <w:tcPr>
            <w:tcW w:w="2268" w:type="dxa"/>
            <w:vAlign w:val="center"/>
          </w:tcPr>
          <w:p w14:paraId="17EF2F45" w14:textId="69D4EED7" w:rsidR="002176F0" w:rsidRPr="009B2CDA" w:rsidRDefault="002176F0" w:rsidP="002176F0">
            <w:pPr>
              <w:rPr>
                <w:rFonts w:ascii="Times New Roman" w:hAnsi="Times New Roman" w:cs="Times New Roman"/>
              </w:rPr>
            </w:pPr>
            <w:r w:rsidRPr="009B2CDA">
              <w:rPr>
                <w:rFonts w:ascii="Times New Roman" w:hAnsi="Times New Roman" w:cs="Times New Roman"/>
              </w:rPr>
              <w:t>PASE</w:t>
            </w:r>
          </w:p>
        </w:tc>
        <w:tc>
          <w:tcPr>
            <w:tcW w:w="1843" w:type="dxa"/>
          </w:tcPr>
          <w:p w14:paraId="4DF51693" w14:textId="2D656CF2" w:rsidR="002176F0" w:rsidRPr="009B2CDA" w:rsidRDefault="00EF3133" w:rsidP="00F10AA8">
            <w:pPr>
              <w:jc w:val="center"/>
              <w:rPr>
                <w:rFonts w:ascii="Times New Roman" w:hAnsi="Times New Roman" w:cs="Times New Roman"/>
              </w:rPr>
            </w:pPr>
            <w:r w:rsidRPr="009B2CDA">
              <w:rPr>
                <w:rFonts w:ascii="Times New Roman" w:hAnsi="Times New Roman" w:cs="Times New Roman"/>
              </w:rPr>
              <w:t xml:space="preserve">120.72 </w:t>
            </w:r>
            <w:r w:rsidRPr="009B2CDA">
              <w:rPr>
                <w:rFonts w:ascii="Times New Roman" w:hAnsi="Times New Roman" w:cs="Times New Roman"/>
              </w:rPr>
              <w:sym w:font="Symbol" w:char="F0B1"/>
            </w:r>
            <w:r w:rsidRPr="009B2CDA">
              <w:rPr>
                <w:rFonts w:ascii="Times New Roman" w:hAnsi="Times New Roman" w:cs="Times New Roman"/>
              </w:rPr>
              <w:t xml:space="preserve"> 61.38</w:t>
            </w:r>
          </w:p>
        </w:tc>
        <w:tc>
          <w:tcPr>
            <w:tcW w:w="1139" w:type="dxa"/>
          </w:tcPr>
          <w:p w14:paraId="5EBE91C9" w14:textId="1D6E35C1" w:rsidR="002176F0" w:rsidRPr="009B2CDA" w:rsidRDefault="003116D3" w:rsidP="00F10AA8">
            <w:pPr>
              <w:jc w:val="center"/>
              <w:rPr>
                <w:rFonts w:ascii="Times New Roman" w:hAnsi="Times New Roman" w:cs="Times New Roman"/>
              </w:rPr>
            </w:pPr>
            <w:r w:rsidRPr="009B2CDA">
              <w:rPr>
                <w:rFonts w:ascii="Times New Roman" w:hAnsi="Times New Roman" w:cs="Times New Roman"/>
              </w:rPr>
              <w:t>.722</w:t>
            </w:r>
          </w:p>
        </w:tc>
        <w:tc>
          <w:tcPr>
            <w:tcW w:w="1706" w:type="dxa"/>
          </w:tcPr>
          <w:p w14:paraId="685403A0" w14:textId="765F27E0" w:rsidR="002176F0" w:rsidRPr="009B2CDA" w:rsidRDefault="003116D3" w:rsidP="00F10AA8">
            <w:pPr>
              <w:jc w:val="center"/>
              <w:rPr>
                <w:rFonts w:ascii="Times New Roman" w:hAnsi="Times New Roman" w:cs="Times New Roman"/>
              </w:rPr>
            </w:pPr>
            <w:r w:rsidRPr="009B2CDA">
              <w:rPr>
                <w:rFonts w:ascii="Times New Roman" w:hAnsi="Times New Roman" w:cs="Times New Roman"/>
              </w:rPr>
              <w:t>.518</w:t>
            </w:r>
          </w:p>
        </w:tc>
      </w:tr>
      <w:tr w:rsidR="00684225" w:rsidRPr="009B2CDA" w14:paraId="26FA8CD5" w14:textId="55658C89" w:rsidTr="00684225">
        <w:tc>
          <w:tcPr>
            <w:tcW w:w="2268" w:type="dxa"/>
            <w:vAlign w:val="center"/>
          </w:tcPr>
          <w:p w14:paraId="1D4E1464" w14:textId="5A16AB07" w:rsidR="00684225" w:rsidRPr="009B2CDA" w:rsidRDefault="00684225" w:rsidP="00684225">
            <w:pPr>
              <w:rPr>
                <w:rFonts w:ascii="Times New Roman" w:hAnsi="Times New Roman" w:cs="Times New Roman"/>
              </w:rPr>
            </w:pPr>
            <w:r w:rsidRPr="009B2CDA">
              <w:rPr>
                <w:rFonts w:ascii="Times New Roman" w:hAnsi="Times New Roman" w:cs="Times New Roman"/>
              </w:rPr>
              <w:t>Number of falls</w:t>
            </w:r>
          </w:p>
        </w:tc>
        <w:tc>
          <w:tcPr>
            <w:tcW w:w="1843" w:type="dxa"/>
          </w:tcPr>
          <w:p w14:paraId="57710C87" w14:textId="24A32EA2" w:rsidR="00684225" w:rsidRPr="009B2CDA" w:rsidRDefault="00684225" w:rsidP="00684225">
            <w:pPr>
              <w:jc w:val="center"/>
              <w:rPr>
                <w:rFonts w:ascii="Times New Roman" w:hAnsi="Times New Roman" w:cs="Times New Roman"/>
              </w:rPr>
            </w:pPr>
            <w:r w:rsidRPr="009B2CDA">
              <w:rPr>
                <w:rFonts w:ascii="Times New Roman" w:hAnsi="Times New Roman" w:cs="Times New Roman"/>
              </w:rPr>
              <w:t>.</w:t>
            </w:r>
            <w:r w:rsidR="00EF3133" w:rsidRPr="009B2CDA">
              <w:rPr>
                <w:rFonts w:ascii="Times New Roman" w:hAnsi="Times New Roman" w:cs="Times New Roman"/>
              </w:rPr>
              <w:t xml:space="preserve">39 </w:t>
            </w:r>
            <w:r w:rsidR="00EF3133" w:rsidRPr="009B2CDA">
              <w:rPr>
                <w:rFonts w:ascii="Times New Roman" w:hAnsi="Times New Roman" w:cs="Times New Roman"/>
              </w:rPr>
              <w:sym w:font="Symbol" w:char="F0B1"/>
            </w:r>
            <w:r w:rsidR="00EF3133" w:rsidRPr="009B2CDA">
              <w:rPr>
                <w:rFonts w:ascii="Times New Roman" w:hAnsi="Times New Roman" w:cs="Times New Roman"/>
              </w:rPr>
              <w:t xml:space="preserve"> .49</w:t>
            </w:r>
          </w:p>
        </w:tc>
        <w:tc>
          <w:tcPr>
            <w:tcW w:w="1139" w:type="dxa"/>
          </w:tcPr>
          <w:p w14:paraId="54174D94" w14:textId="32AC1797" w:rsidR="00684225" w:rsidRPr="009B2CDA" w:rsidRDefault="00684225" w:rsidP="00684225">
            <w:pPr>
              <w:jc w:val="center"/>
              <w:rPr>
                <w:rFonts w:ascii="Times New Roman" w:hAnsi="Times New Roman" w:cs="Times New Roman"/>
              </w:rPr>
            </w:pPr>
            <w:r w:rsidRPr="009B2CDA">
              <w:rPr>
                <w:rFonts w:ascii="Times New Roman" w:hAnsi="Times New Roman" w:cs="Times New Roman"/>
              </w:rPr>
              <w:t>.594</w:t>
            </w:r>
          </w:p>
        </w:tc>
        <w:tc>
          <w:tcPr>
            <w:tcW w:w="1706" w:type="dxa"/>
          </w:tcPr>
          <w:p w14:paraId="33CD3824" w14:textId="0F11D2DA" w:rsidR="00684225" w:rsidRPr="009B2CDA" w:rsidRDefault="00684225" w:rsidP="00684225">
            <w:pPr>
              <w:jc w:val="center"/>
              <w:rPr>
                <w:rFonts w:ascii="Times New Roman" w:hAnsi="Times New Roman" w:cs="Times New Roman"/>
              </w:rPr>
            </w:pPr>
            <w:r w:rsidRPr="009B2CDA">
              <w:rPr>
                <w:rFonts w:ascii="Times New Roman" w:hAnsi="Times New Roman" w:cs="Times New Roman"/>
              </w:rPr>
              <w:t>.639</w:t>
            </w:r>
          </w:p>
        </w:tc>
      </w:tr>
    </w:tbl>
    <w:p w14:paraId="2F18D555" w14:textId="05D150BF" w:rsidR="002176F0" w:rsidRPr="009B2CDA" w:rsidRDefault="002176F0" w:rsidP="002176F0">
      <w:pPr>
        <w:rPr>
          <w:rFonts w:ascii="Times New Roman" w:hAnsi="Times New Roman" w:cs="Times New Roman"/>
        </w:rPr>
      </w:pPr>
      <w:r w:rsidRPr="009B2CDA">
        <w:rPr>
          <w:rFonts w:ascii="Times New Roman" w:hAnsi="Times New Roman" w:cs="Times New Roman"/>
        </w:rPr>
        <w:t xml:space="preserve">RT: reaction time, MT: movement time, HG: handgrip, STS: sit-to-stand, TUG: timed-up and go, SF: shoulder flexion, SA: shoulder abduction, EE: elbow extension, OLB: one-legged balance, PASE: Physical Activity Scale for the Elderly. Number of falls </w:t>
      </w:r>
      <w:r w:rsidR="00385CE7" w:rsidRPr="009B2CDA">
        <w:rPr>
          <w:rFonts w:ascii="Times New Roman" w:hAnsi="Times New Roman" w:cs="Times New Roman"/>
        </w:rPr>
        <w:t>reflects previous 12-months.</w:t>
      </w:r>
    </w:p>
    <w:p w14:paraId="5FF403BA" w14:textId="6CA817EE" w:rsidR="002176F0" w:rsidRPr="009B2CDA" w:rsidRDefault="00971179" w:rsidP="0090608A">
      <w:pPr>
        <w:rPr>
          <w:rFonts w:ascii="Times New Roman" w:hAnsi="Times New Roman" w:cs="Times New Roman"/>
        </w:rPr>
      </w:pPr>
      <w:proofErr w:type="spellStart"/>
      <w:proofErr w:type="gramStart"/>
      <w:r w:rsidRPr="009B2CDA">
        <w:rPr>
          <w:rFonts w:ascii="Times New Roman" w:hAnsi="Times New Roman" w:cs="Times New Roman"/>
          <w:vertAlign w:val="superscript"/>
        </w:rPr>
        <w:t>a</w:t>
      </w:r>
      <w:proofErr w:type="spellEnd"/>
      <w:proofErr w:type="gramEnd"/>
      <w:r w:rsidRPr="009B2CDA">
        <w:rPr>
          <w:rFonts w:ascii="Times New Roman" w:hAnsi="Times New Roman" w:cs="Times New Roman"/>
        </w:rPr>
        <w:t xml:space="preserve"> i</w:t>
      </w:r>
      <w:r w:rsidR="00385CE7" w:rsidRPr="009B2CDA">
        <w:rPr>
          <w:rFonts w:ascii="Times New Roman" w:hAnsi="Times New Roman" w:cs="Times New Roman"/>
        </w:rPr>
        <w:t>ncluded in the multiple regression step-wise backward selection model.</w:t>
      </w:r>
    </w:p>
    <w:p w14:paraId="7B4673AC" w14:textId="2A85EA32" w:rsidR="003116D3" w:rsidRPr="009B2CDA" w:rsidRDefault="00971179" w:rsidP="0090608A">
      <w:pPr>
        <w:rPr>
          <w:rFonts w:ascii="Times New Roman" w:hAnsi="Times New Roman" w:cs="Times New Roman"/>
        </w:rPr>
      </w:pPr>
      <w:r w:rsidRPr="009B2CDA">
        <w:rPr>
          <w:rFonts w:ascii="Times New Roman" w:hAnsi="Times New Roman" w:cs="Times New Roman"/>
          <w:vertAlign w:val="superscript"/>
        </w:rPr>
        <w:t>b</w:t>
      </w:r>
      <w:r w:rsidR="003116D3" w:rsidRPr="009B2CDA">
        <w:rPr>
          <w:rFonts w:ascii="Times New Roman" w:hAnsi="Times New Roman" w:cs="Times New Roman"/>
        </w:rPr>
        <w:t xml:space="preserve"> not included in multiple regression step-wise backward selection model</w:t>
      </w:r>
      <w:r w:rsidR="00E74965" w:rsidRPr="009B2CDA">
        <w:rPr>
          <w:rFonts w:ascii="Times New Roman" w:hAnsi="Times New Roman" w:cs="Times New Roman"/>
        </w:rPr>
        <w:t>, strongly correlated to SF (</w:t>
      </w:r>
      <w:r w:rsidR="00E74965" w:rsidRPr="009B2CDA">
        <w:rPr>
          <w:rFonts w:ascii="Times New Roman" w:hAnsi="Times New Roman" w:cs="Times New Roman"/>
          <w:i/>
        </w:rPr>
        <w:t>r</w:t>
      </w:r>
      <w:r w:rsidR="00E74965" w:rsidRPr="009B2CDA">
        <w:rPr>
          <w:rFonts w:ascii="Times New Roman" w:hAnsi="Times New Roman" w:cs="Times New Roman"/>
        </w:rPr>
        <w:t xml:space="preserve">=.645, </w:t>
      </w:r>
      <w:r w:rsidR="009969F3" w:rsidRPr="009B2CDA">
        <w:rPr>
          <w:rFonts w:ascii="Times New Roman" w:hAnsi="Times New Roman" w:cs="Times New Roman"/>
          <w:i/>
        </w:rPr>
        <w:t>P</w:t>
      </w:r>
      <w:r w:rsidR="00E74965" w:rsidRPr="009B2CDA">
        <w:rPr>
          <w:rFonts w:ascii="Times New Roman" w:hAnsi="Times New Roman" w:cs="Times New Roman"/>
        </w:rPr>
        <w:t xml:space="preserve">&lt;0.05), violation of </w:t>
      </w:r>
      <w:r w:rsidR="003116D3" w:rsidRPr="009B2CDA">
        <w:rPr>
          <w:rFonts w:ascii="Times New Roman" w:hAnsi="Times New Roman" w:cs="Times New Roman"/>
        </w:rPr>
        <w:t>multicollinearity.</w:t>
      </w:r>
    </w:p>
    <w:p w14:paraId="1D030264" w14:textId="2B8C0EC6" w:rsidR="001C468E" w:rsidRPr="009B2CDA" w:rsidRDefault="001C468E" w:rsidP="0090608A">
      <w:pPr>
        <w:rPr>
          <w:rFonts w:ascii="Times New Roman" w:hAnsi="Times New Roman" w:cs="Times New Roman"/>
        </w:rPr>
      </w:pPr>
      <w:r w:rsidRPr="009B2CDA">
        <w:rPr>
          <w:rFonts w:ascii="Times New Roman" w:hAnsi="Times New Roman" w:cs="Times New Roman"/>
          <w:vertAlign w:val="superscript"/>
        </w:rPr>
        <w:t>^</w:t>
      </w:r>
      <w:r w:rsidRPr="009B2CDA">
        <w:rPr>
          <w:rFonts w:ascii="Times New Roman" w:hAnsi="Times New Roman" w:cs="Times New Roman"/>
        </w:rPr>
        <w:t xml:space="preserve"> </w:t>
      </w:r>
      <w:r w:rsidR="00E3613B" w:rsidRPr="009B2CDA">
        <w:rPr>
          <w:rFonts w:ascii="Times New Roman" w:hAnsi="Times New Roman" w:cs="Times New Roman"/>
        </w:rPr>
        <w:t>Final p</w:t>
      </w:r>
      <w:r w:rsidR="00297E14" w:rsidRPr="009B2CDA">
        <w:rPr>
          <w:rFonts w:ascii="Times New Roman" w:hAnsi="Times New Roman" w:cs="Times New Roman"/>
        </w:rPr>
        <w:t>redictor variable for</w:t>
      </w:r>
      <w:r w:rsidR="00AC48D3" w:rsidRPr="009B2CDA">
        <w:rPr>
          <w:rFonts w:ascii="Times New Roman" w:hAnsi="Times New Roman" w:cs="Times New Roman"/>
        </w:rPr>
        <w:t xml:space="preserve"> RT</w:t>
      </w:r>
      <w:r w:rsidR="00297E14" w:rsidRPr="009B2CDA">
        <w:rPr>
          <w:rFonts w:ascii="Times New Roman" w:hAnsi="Times New Roman" w:cs="Times New Roman"/>
        </w:rPr>
        <w:t xml:space="preserve"> (Beta = -.002) </w:t>
      </w:r>
      <w:r w:rsidR="00E3613B" w:rsidRPr="009B2CDA">
        <w:rPr>
          <w:rFonts w:ascii="Times New Roman" w:hAnsi="Times New Roman" w:cs="Times New Roman"/>
        </w:rPr>
        <w:t>following multiple regression step-wise backward selection model.</w:t>
      </w:r>
    </w:p>
    <w:p w14:paraId="6FE79DCF" w14:textId="368C3444" w:rsidR="001C468E" w:rsidRPr="009B2CDA" w:rsidRDefault="001C468E" w:rsidP="0090608A">
      <w:pPr>
        <w:rPr>
          <w:rFonts w:ascii="Times New Roman" w:hAnsi="Times New Roman" w:cs="Times New Roman"/>
        </w:rPr>
      </w:pPr>
      <w:r w:rsidRPr="009B2CDA">
        <w:rPr>
          <w:rFonts w:ascii="Times New Roman" w:hAnsi="Times New Roman" w:cs="Times New Roman"/>
          <w:vertAlign w:val="superscript"/>
        </w:rPr>
        <w:t>#</w:t>
      </w:r>
      <w:r w:rsidRPr="009B2CDA">
        <w:rPr>
          <w:rFonts w:ascii="Times New Roman" w:hAnsi="Times New Roman" w:cs="Times New Roman"/>
        </w:rPr>
        <w:t xml:space="preserve"> </w:t>
      </w:r>
      <w:r w:rsidR="00E3613B" w:rsidRPr="009B2CDA">
        <w:rPr>
          <w:rFonts w:ascii="Times New Roman" w:hAnsi="Times New Roman" w:cs="Times New Roman"/>
        </w:rPr>
        <w:t>Final p</w:t>
      </w:r>
      <w:r w:rsidR="00297E14" w:rsidRPr="009B2CDA">
        <w:rPr>
          <w:rFonts w:ascii="Times New Roman" w:hAnsi="Times New Roman" w:cs="Times New Roman"/>
        </w:rPr>
        <w:t>redictor variable for</w:t>
      </w:r>
      <w:r w:rsidR="00AC48D3" w:rsidRPr="009B2CDA">
        <w:rPr>
          <w:rFonts w:ascii="Times New Roman" w:hAnsi="Times New Roman" w:cs="Times New Roman"/>
        </w:rPr>
        <w:t xml:space="preserve"> MT</w:t>
      </w:r>
      <w:r w:rsidR="00297E14" w:rsidRPr="009B2CDA">
        <w:rPr>
          <w:rFonts w:ascii="Times New Roman" w:hAnsi="Times New Roman" w:cs="Times New Roman"/>
        </w:rPr>
        <w:t xml:space="preserve"> (Beta = -.04) </w:t>
      </w:r>
      <w:r w:rsidR="00E3613B" w:rsidRPr="009B2CDA">
        <w:rPr>
          <w:rFonts w:ascii="Times New Roman" w:hAnsi="Times New Roman" w:cs="Times New Roman"/>
        </w:rPr>
        <w:t>following multiple regression step-wise backward selection model.</w:t>
      </w:r>
    </w:p>
    <w:sectPr w:rsidR="001C468E" w:rsidRPr="009B2CDA" w:rsidSect="005D6A4E">
      <w:pgSz w:w="12240" w:h="15840"/>
      <w:pgMar w:top="1440" w:right="1440" w:bottom="1440" w:left="1440" w:header="709" w:footer="709"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10348" w14:textId="77777777" w:rsidR="00DE5761" w:rsidRDefault="00DE5761" w:rsidP="003868CB">
      <w:r>
        <w:separator/>
      </w:r>
    </w:p>
  </w:endnote>
  <w:endnote w:type="continuationSeparator" w:id="0">
    <w:p w14:paraId="0F873D16" w14:textId="77777777" w:rsidR="00DE5761" w:rsidRDefault="00DE5761" w:rsidP="00386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B7113" w14:textId="77777777" w:rsidR="00DE5761" w:rsidRDefault="00DE5761" w:rsidP="003868CB">
      <w:r>
        <w:separator/>
      </w:r>
    </w:p>
  </w:footnote>
  <w:footnote w:type="continuationSeparator" w:id="0">
    <w:p w14:paraId="0282BB56" w14:textId="77777777" w:rsidR="00DE5761" w:rsidRDefault="00DE5761" w:rsidP="003868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22609627"/>
      <w:docPartObj>
        <w:docPartGallery w:val="Page Numbers (Top of Page)"/>
        <w:docPartUnique/>
      </w:docPartObj>
    </w:sdtPr>
    <w:sdtEndPr>
      <w:rPr>
        <w:rStyle w:val="PageNumber"/>
      </w:rPr>
    </w:sdtEndPr>
    <w:sdtContent>
      <w:p w14:paraId="174DBEA0" w14:textId="5CB9E983" w:rsidR="00E71CD4" w:rsidRDefault="00E71CD4" w:rsidP="00A860F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03D6A0" w14:textId="77777777" w:rsidR="00E71CD4" w:rsidRDefault="00E71CD4" w:rsidP="003868C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17189119"/>
      <w:docPartObj>
        <w:docPartGallery w:val="Page Numbers (Top of Page)"/>
        <w:docPartUnique/>
      </w:docPartObj>
    </w:sdtPr>
    <w:sdtEndPr>
      <w:rPr>
        <w:rStyle w:val="PageNumber"/>
      </w:rPr>
    </w:sdtEndPr>
    <w:sdtContent>
      <w:p w14:paraId="3B94B6C8" w14:textId="6CBB18A2" w:rsidR="00E71CD4" w:rsidRDefault="00E71CD4" w:rsidP="00A860F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D1E3F">
          <w:rPr>
            <w:rStyle w:val="PageNumber"/>
            <w:noProof/>
          </w:rPr>
          <w:t>13</w:t>
        </w:r>
        <w:r>
          <w:rPr>
            <w:rStyle w:val="PageNumber"/>
          </w:rPr>
          <w:fldChar w:fldCharType="end"/>
        </w:r>
      </w:p>
    </w:sdtContent>
  </w:sdt>
  <w:p w14:paraId="174134D6" w14:textId="5113CA1A" w:rsidR="00E71CD4" w:rsidRDefault="00E71CD4" w:rsidP="003868CB">
    <w:pPr>
      <w:pStyle w:val="Header"/>
      <w:ind w:right="360"/>
    </w:pPr>
    <w:r>
      <w:t>PREDICT UPPER EXTTREMITY REACTION AND MOVEMENT TIME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B16B2"/>
    <w:multiLevelType w:val="hybridMultilevel"/>
    <w:tmpl w:val="38A68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E33E70"/>
    <w:multiLevelType w:val="hybridMultilevel"/>
    <w:tmpl w:val="400C7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BA3304"/>
    <w:multiLevelType w:val="hybridMultilevel"/>
    <w:tmpl w:val="84CC120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BD1D2A"/>
    <w:multiLevelType w:val="multilevel"/>
    <w:tmpl w:val="1A00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BC01FA"/>
    <w:multiLevelType w:val="hybridMultilevel"/>
    <w:tmpl w:val="F0D2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E31"/>
    <w:rsid w:val="000035EA"/>
    <w:rsid w:val="000119FC"/>
    <w:rsid w:val="00014D10"/>
    <w:rsid w:val="00021D2F"/>
    <w:rsid w:val="00022D9D"/>
    <w:rsid w:val="00023E95"/>
    <w:rsid w:val="0002481D"/>
    <w:rsid w:val="000268A2"/>
    <w:rsid w:val="00034364"/>
    <w:rsid w:val="00035D59"/>
    <w:rsid w:val="00040DD6"/>
    <w:rsid w:val="00042866"/>
    <w:rsid w:val="000428DD"/>
    <w:rsid w:val="00042B6F"/>
    <w:rsid w:val="00043FB5"/>
    <w:rsid w:val="000460BD"/>
    <w:rsid w:val="00047662"/>
    <w:rsid w:val="000532BD"/>
    <w:rsid w:val="0005584B"/>
    <w:rsid w:val="00056C5B"/>
    <w:rsid w:val="000571B6"/>
    <w:rsid w:val="000616AA"/>
    <w:rsid w:val="00061E88"/>
    <w:rsid w:val="00064CC6"/>
    <w:rsid w:val="00065333"/>
    <w:rsid w:val="00070F02"/>
    <w:rsid w:val="00072EFA"/>
    <w:rsid w:val="00083006"/>
    <w:rsid w:val="00084183"/>
    <w:rsid w:val="00086C59"/>
    <w:rsid w:val="000913D1"/>
    <w:rsid w:val="00092506"/>
    <w:rsid w:val="00092ABC"/>
    <w:rsid w:val="000931AC"/>
    <w:rsid w:val="00093DF1"/>
    <w:rsid w:val="000A0CFB"/>
    <w:rsid w:val="000A2152"/>
    <w:rsid w:val="000B3CD7"/>
    <w:rsid w:val="000B4D9A"/>
    <w:rsid w:val="000B4FCB"/>
    <w:rsid w:val="000C15D3"/>
    <w:rsid w:val="000C387C"/>
    <w:rsid w:val="000C6AFE"/>
    <w:rsid w:val="000E3D76"/>
    <w:rsid w:val="001053AB"/>
    <w:rsid w:val="00105D7B"/>
    <w:rsid w:val="00107ED0"/>
    <w:rsid w:val="00113B06"/>
    <w:rsid w:val="00117BD2"/>
    <w:rsid w:val="001216DD"/>
    <w:rsid w:val="00122374"/>
    <w:rsid w:val="0012292A"/>
    <w:rsid w:val="00135805"/>
    <w:rsid w:val="001362EA"/>
    <w:rsid w:val="0013724A"/>
    <w:rsid w:val="0013772C"/>
    <w:rsid w:val="00141AE6"/>
    <w:rsid w:val="001503B3"/>
    <w:rsid w:val="00152B54"/>
    <w:rsid w:val="00154DD9"/>
    <w:rsid w:val="0015500E"/>
    <w:rsid w:val="001555DA"/>
    <w:rsid w:val="00160F34"/>
    <w:rsid w:val="001710BB"/>
    <w:rsid w:val="001712D4"/>
    <w:rsid w:val="00172320"/>
    <w:rsid w:val="00180B49"/>
    <w:rsid w:val="00181CB6"/>
    <w:rsid w:val="0018252C"/>
    <w:rsid w:val="00196F42"/>
    <w:rsid w:val="001A37CA"/>
    <w:rsid w:val="001B3731"/>
    <w:rsid w:val="001C167F"/>
    <w:rsid w:val="001C33EF"/>
    <w:rsid w:val="001C468E"/>
    <w:rsid w:val="001C47F9"/>
    <w:rsid w:val="001D03FC"/>
    <w:rsid w:val="001D418A"/>
    <w:rsid w:val="001E0B62"/>
    <w:rsid w:val="001E3EA6"/>
    <w:rsid w:val="001E5AC1"/>
    <w:rsid w:val="001F4078"/>
    <w:rsid w:val="001F4B4B"/>
    <w:rsid w:val="0021031D"/>
    <w:rsid w:val="00214D97"/>
    <w:rsid w:val="0021633C"/>
    <w:rsid w:val="002176F0"/>
    <w:rsid w:val="00221220"/>
    <w:rsid w:val="002249FD"/>
    <w:rsid w:val="00224D3A"/>
    <w:rsid w:val="00235500"/>
    <w:rsid w:val="00235F26"/>
    <w:rsid w:val="00237421"/>
    <w:rsid w:val="00237F35"/>
    <w:rsid w:val="002425BE"/>
    <w:rsid w:val="002666B8"/>
    <w:rsid w:val="00273AAF"/>
    <w:rsid w:val="00274858"/>
    <w:rsid w:val="00284C28"/>
    <w:rsid w:val="00285846"/>
    <w:rsid w:val="00290037"/>
    <w:rsid w:val="002945E9"/>
    <w:rsid w:val="0029501E"/>
    <w:rsid w:val="00297E14"/>
    <w:rsid w:val="002A19CF"/>
    <w:rsid w:val="002A45C7"/>
    <w:rsid w:val="002A530E"/>
    <w:rsid w:val="002A6E32"/>
    <w:rsid w:val="002A7BEC"/>
    <w:rsid w:val="002B0121"/>
    <w:rsid w:val="002B13D1"/>
    <w:rsid w:val="002B3B1D"/>
    <w:rsid w:val="002C233E"/>
    <w:rsid w:val="002C3226"/>
    <w:rsid w:val="002C38A3"/>
    <w:rsid w:val="002C496F"/>
    <w:rsid w:val="002C693B"/>
    <w:rsid w:val="002C6AF0"/>
    <w:rsid w:val="002D0AB8"/>
    <w:rsid w:val="002D1CC9"/>
    <w:rsid w:val="002D55ED"/>
    <w:rsid w:val="002D5DD6"/>
    <w:rsid w:val="002D65E7"/>
    <w:rsid w:val="002D6A91"/>
    <w:rsid w:val="002E184B"/>
    <w:rsid w:val="002E3F81"/>
    <w:rsid w:val="002E5331"/>
    <w:rsid w:val="002E59BB"/>
    <w:rsid w:val="002E6BDB"/>
    <w:rsid w:val="002E7500"/>
    <w:rsid w:val="002E7F1A"/>
    <w:rsid w:val="002F13F8"/>
    <w:rsid w:val="002F4740"/>
    <w:rsid w:val="002F697C"/>
    <w:rsid w:val="002F6E1F"/>
    <w:rsid w:val="002F7CDA"/>
    <w:rsid w:val="003001CD"/>
    <w:rsid w:val="00302BD7"/>
    <w:rsid w:val="0030394D"/>
    <w:rsid w:val="0030558F"/>
    <w:rsid w:val="0030656A"/>
    <w:rsid w:val="003104EF"/>
    <w:rsid w:val="00311318"/>
    <w:rsid w:val="003116D3"/>
    <w:rsid w:val="0031427D"/>
    <w:rsid w:val="00314A0B"/>
    <w:rsid w:val="00314FC7"/>
    <w:rsid w:val="00323B07"/>
    <w:rsid w:val="00330B9B"/>
    <w:rsid w:val="00334286"/>
    <w:rsid w:val="00336499"/>
    <w:rsid w:val="00337699"/>
    <w:rsid w:val="0034050E"/>
    <w:rsid w:val="003505CB"/>
    <w:rsid w:val="00352B82"/>
    <w:rsid w:val="00354796"/>
    <w:rsid w:val="00360669"/>
    <w:rsid w:val="00362324"/>
    <w:rsid w:val="00363918"/>
    <w:rsid w:val="00363936"/>
    <w:rsid w:val="00364B22"/>
    <w:rsid w:val="00365A01"/>
    <w:rsid w:val="0037052F"/>
    <w:rsid w:val="00372AEC"/>
    <w:rsid w:val="00380A09"/>
    <w:rsid w:val="00383915"/>
    <w:rsid w:val="00385CE7"/>
    <w:rsid w:val="003868CB"/>
    <w:rsid w:val="0039007C"/>
    <w:rsid w:val="003973BA"/>
    <w:rsid w:val="003A2DE2"/>
    <w:rsid w:val="003A522D"/>
    <w:rsid w:val="003A65E5"/>
    <w:rsid w:val="003B4E51"/>
    <w:rsid w:val="003C3A15"/>
    <w:rsid w:val="003C5EDE"/>
    <w:rsid w:val="003D2476"/>
    <w:rsid w:val="003D4E2B"/>
    <w:rsid w:val="003E71AB"/>
    <w:rsid w:val="003F1D97"/>
    <w:rsid w:val="003F2AA0"/>
    <w:rsid w:val="00413090"/>
    <w:rsid w:val="00413D78"/>
    <w:rsid w:val="0041535A"/>
    <w:rsid w:val="00421CFA"/>
    <w:rsid w:val="00431DED"/>
    <w:rsid w:val="004366C9"/>
    <w:rsid w:val="00453659"/>
    <w:rsid w:val="00455981"/>
    <w:rsid w:val="004620B9"/>
    <w:rsid w:val="00466B28"/>
    <w:rsid w:val="00470254"/>
    <w:rsid w:val="00472CE3"/>
    <w:rsid w:val="00475619"/>
    <w:rsid w:val="00483135"/>
    <w:rsid w:val="004832E6"/>
    <w:rsid w:val="00486B29"/>
    <w:rsid w:val="004909CD"/>
    <w:rsid w:val="00492E69"/>
    <w:rsid w:val="004939CE"/>
    <w:rsid w:val="004945AF"/>
    <w:rsid w:val="00496424"/>
    <w:rsid w:val="004A0609"/>
    <w:rsid w:val="004A170C"/>
    <w:rsid w:val="004A1EE4"/>
    <w:rsid w:val="004A2627"/>
    <w:rsid w:val="004A4DE4"/>
    <w:rsid w:val="004A6095"/>
    <w:rsid w:val="004C02DE"/>
    <w:rsid w:val="004C3312"/>
    <w:rsid w:val="004C40FE"/>
    <w:rsid w:val="004C56D8"/>
    <w:rsid w:val="004C606D"/>
    <w:rsid w:val="004D0B3A"/>
    <w:rsid w:val="004D1E3F"/>
    <w:rsid w:val="004D5CBB"/>
    <w:rsid w:val="004D74B9"/>
    <w:rsid w:val="004E1431"/>
    <w:rsid w:val="004E2195"/>
    <w:rsid w:val="004E68D0"/>
    <w:rsid w:val="004E6BBC"/>
    <w:rsid w:val="004F202A"/>
    <w:rsid w:val="0050134F"/>
    <w:rsid w:val="00501CA0"/>
    <w:rsid w:val="005042C9"/>
    <w:rsid w:val="00511A31"/>
    <w:rsid w:val="00512552"/>
    <w:rsid w:val="005142D8"/>
    <w:rsid w:val="005143F3"/>
    <w:rsid w:val="00515941"/>
    <w:rsid w:val="00516533"/>
    <w:rsid w:val="00521536"/>
    <w:rsid w:val="00524813"/>
    <w:rsid w:val="00526ECE"/>
    <w:rsid w:val="00532F31"/>
    <w:rsid w:val="005474EA"/>
    <w:rsid w:val="00552092"/>
    <w:rsid w:val="00556869"/>
    <w:rsid w:val="00563EC8"/>
    <w:rsid w:val="00564EB0"/>
    <w:rsid w:val="0056734C"/>
    <w:rsid w:val="0056761A"/>
    <w:rsid w:val="005679FA"/>
    <w:rsid w:val="005738F4"/>
    <w:rsid w:val="00574074"/>
    <w:rsid w:val="00575E5E"/>
    <w:rsid w:val="00576CAD"/>
    <w:rsid w:val="00583AD9"/>
    <w:rsid w:val="005901B4"/>
    <w:rsid w:val="005953DD"/>
    <w:rsid w:val="005A1B6B"/>
    <w:rsid w:val="005A2377"/>
    <w:rsid w:val="005A5862"/>
    <w:rsid w:val="005A63A0"/>
    <w:rsid w:val="005B0A47"/>
    <w:rsid w:val="005B2AD2"/>
    <w:rsid w:val="005B2FDF"/>
    <w:rsid w:val="005B5832"/>
    <w:rsid w:val="005B76AF"/>
    <w:rsid w:val="005C0B6B"/>
    <w:rsid w:val="005C3495"/>
    <w:rsid w:val="005C73A4"/>
    <w:rsid w:val="005D08B2"/>
    <w:rsid w:val="005D2C70"/>
    <w:rsid w:val="005D484D"/>
    <w:rsid w:val="005D5527"/>
    <w:rsid w:val="005D6A4E"/>
    <w:rsid w:val="005E54BE"/>
    <w:rsid w:val="005F7D01"/>
    <w:rsid w:val="00602748"/>
    <w:rsid w:val="00606264"/>
    <w:rsid w:val="00606454"/>
    <w:rsid w:val="00616C9E"/>
    <w:rsid w:val="006173B5"/>
    <w:rsid w:val="00617879"/>
    <w:rsid w:val="00623E58"/>
    <w:rsid w:val="00633B9D"/>
    <w:rsid w:val="00640BF5"/>
    <w:rsid w:val="00640C83"/>
    <w:rsid w:val="0064367A"/>
    <w:rsid w:val="0064369C"/>
    <w:rsid w:val="006436D7"/>
    <w:rsid w:val="0064797D"/>
    <w:rsid w:val="00663425"/>
    <w:rsid w:val="006675C3"/>
    <w:rsid w:val="00671496"/>
    <w:rsid w:val="006768C5"/>
    <w:rsid w:val="00681F9F"/>
    <w:rsid w:val="0068354D"/>
    <w:rsid w:val="00684225"/>
    <w:rsid w:val="0068612D"/>
    <w:rsid w:val="00686202"/>
    <w:rsid w:val="00690768"/>
    <w:rsid w:val="00691313"/>
    <w:rsid w:val="006922E2"/>
    <w:rsid w:val="00692CC4"/>
    <w:rsid w:val="00693235"/>
    <w:rsid w:val="00693DEF"/>
    <w:rsid w:val="006940B7"/>
    <w:rsid w:val="00694E41"/>
    <w:rsid w:val="006A09BE"/>
    <w:rsid w:val="006B38C0"/>
    <w:rsid w:val="006B4E0A"/>
    <w:rsid w:val="006B5B59"/>
    <w:rsid w:val="006B6863"/>
    <w:rsid w:val="006B68DF"/>
    <w:rsid w:val="006C0F3D"/>
    <w:rsid w:val="006C2331"/>
    <w:rsid w:val="006C308F"/>
    <w:rsid w:val="006D6D0B"/>
    <w:rsid w:val="006E1AB3"/>
    <w:rsid w:val="006E505A"/>
    <w:rsid w:val="006E717A"/>
    <w:rsid w:val="006E7FCE"/>
    <w:rsid w:val="006F3E0F"/>
    <w:rsid w:val="006F45F5"/>
    <w:rsid w:val="006F5FCC"/>
    <w:rsid w:val="0070462C"/>
    <w:rsid w:val="00711B87"/>
    <w:rsid w:val="0071275C"/>
    <w:rsid w:val="00714EC1"/>
    <w:rsid w:val="0072208E"/>
    <w:rsid w:val="007348D3"/>
    <w:rsid w:val="00736415"/>
    <w:rsid w:val="0073795B"/>
    <w:rsid w:val="007428CB"/>
    <w:rsid w:val="00753B65"/>
    <w:rsid w:val="00755CCA"/>
    <w:rsid w:val="007714A7"/>
    <w:rsid w:val="007767F5"/>
    <w:rsid w:val="00781A80"/>
    <w:rsid w:val="00782322"/>
    <w:rsid w:val="007829DD"/>
    <w:rsid w:val="00782B3F"/>
    <w:rsid w:val="00790F7E"/>
    <w:rsid w:val="00794261"/>
    <w:rsid w:val="00795036"/>
    <w:rsid w:val="00795891"/>
    <w:rsid w:val="00795EAA"/>
    <w:rsid w:val="007969B5"/>
    <w:rsid w:val="00796BA0"/>
    <w:rsid w:val="007A48F4"/>
    <w:rsid w:val="007A6808"/>
    <w:rsid w:val="007B0485"/>
    <w:rsid w:val="007B0D27"/>
    <w:rsid w:val="007C13D1"/>
    <w:rsid w:val="007C7B58"/>
    <w:rsid w:val="007D15B5"/>
    <w:rsid w:val="007D168D"/>
    <w:rsid w:val="007D2787"/>
    <w:rsid w:val="007E0179"/>
    <w:rsid w:val="007E1B40"/>
    <w:rsid w:val="007F1F44"/>
    <w:rsid w:val="007F2BE2"/>
    <w:rsid w:val="00802525"/>
    <w:rsid w:val="008035CB"/>
    <w:rsid w:val="00803FCE"/>
    <w:rsid w:val="00817483"/>
    <w:rsid w:val="00817CD5"/>
    <w:rsid w:val="00820FA0"/>
    <w:rsid w:val="0082428C"/>
    <w:rsid w:val="00824824"/>
    <w:rsid w:val="00826512"/>
    <w:rsid w:val="008275FD"/>
    <w:rsid w:val="008314A1"/>
    <w:rsid w:val="00831FDD"/>
    <w:rsid w:val="008338BE"/>
    <w:rsid w:val="00836F19"/>
    <w:rsid w:val="00843121"/>
    <w:rsid w:val="00843B5F"/>
    <w:rsid w:val="00845E29"/>
    <w:rsid w:val="0085570B"/>
    <w:rsid w:val="00855EA8"/>
    <w:rsid w:val="00860252"/>
    <w:rsid w:val="00862598"/>
    <w:rsid w:val="00863039"/>
    <w:rsid w:val="008819E5"/>
    <w:rsid w:val="008841BD"/>
    <w:rsid w:val="008844DA"/>
    <w:rsid w:val="00886B0B"/>
    <w:rsid w:val="00890C5C"/>
    <w:rsid w:val="00890E2A"/>
    <w:rsid w:val="008A0381"/>
    <w:rsid w:val="008A18EC"/>
    <w:rsid w:val="008A7C4F"/>
    <w:rsid w:val="008B3D27"/>
    <w:rsid w:val="008B57FE"/>
    <w:rsid w:val="008B730C"/>
    <w:rsid w:val="008C108A"/>
    <w:rsid w:val="008C13BB"/>
    <w:rsid w:val="008C15F6"/>
    <w:rsid w:val="008C1A94"/>
    <w:rsid w:val="008D1A33"/>
    <w:rsid w:val="008D32A7"/>
    <w:rsid w:val="008D5EA5"/>
    <w:rsid w:val="008E0327"/>
    <w:rsid w:val="008E6A9C"/>
    <w:rsid w:val="008F083B"/>
    <w:rsid w:val="008F4387"/>
    <w:rsid w:val="008F6CA4"/>
    <w:rsid w:val="008F7201"/>
    <w:rsid w:val="00900C20"/>
    <w:rsid w:val="0090195E"/>
    <w:rsid w:val="0090608A"/>
    <w:rsid w:val="0091128E"/>
    <w:rsid w:val="00915F13"/>
    <w:rsid w:val="009160AA"/>
    <w:rsid w:val="00916125"/>
    <w:rsid w:val="009212E6"/>
    <w:rsid w:val="00922BCC"/>
    <w:rsid w:val="0092345F"/>
    <w:rsid w:val="009306D1"/>
    <w:rsid w:val="009323F4"/>
    <w:rsid w:val="00936312"/>
    <w:rsid w:val="00941161"/>
    <w:rsid w:val="009473F5"/>
    <w:rsid w:val="0094773A"/>
    <w:rsid w:val="00947A82"/>
    <w:rsid w:val="0095536B"/>
    <w:rsid w:val="00955CFF"/>
    <w:rsid w:val="009578BE"/>
    <w:rsid w:val="00962F98"/>
    <w:rsid w:val="009674AF"/>
    <w:rsid w:val="00971179"/>
    <w:rsid w:val="00972229"/>
    <w:rsid w:val="0097242C"/>
    <w:rsid w:val="00974009"/>
    <w:rsid w:val="009754A7"/>
    <w:rsid w:val="0099193F"/>
    <w:rsid w:val="009946E3"/>
    <w:rsid w:val="00994E31"/>
    <w:rsid w:val="009969F3"/>
    <w:rsid w:val="00996AD9"/>
    <w:rsid w:val="009A154D"/>
    <w:rsid w:val="009A2B05"/>
    <w:rsid w:val="009A56FF"/>
    <w:rsid w:val="009B2CDA"/>
    <w:rsid w:val="009B5509"/>
    <w:rsid w:val="009C0BA4"/>
    <w:rsid w:val="009C1719"/>
    <w:rsid w:val="009C1C48"/>
    <w:rsid w:val="009C41E1"/>
    <w:rsid w:val="009C6A0A"/>
    <w:rsid w:val="009C6C0E"/>
    <w:rsid w:val="009C7A44"/>
    <w:rsid w:val="009C7B1F"/>
    <w:rsid w:val="009D0EB9"/>
    <w:rsid w:val="009D1099"/>
    <w:rsid w:val="009D10DB"/>
    <w:rsid w:val="009D22FC"/>
    <w:rsid w:val="009D7317"/>
    <w:rsid w:val="009E159A"/>
    <w:rsid w:val="009F24B0"/>
    <w:rsid w:val="009F4281"/>
    <w:rsid w:val="009F5589"/>
    <w:rsid w:val="009F55FC"/>
    <w:rsid w:val="009F77E5"/>
    <w:rsid w:val="00A00BC4"/>
    <w:rsid w:val="00A018EB"/>
    <w:rsid w:val="00A0247E"/>
    <w:rsid w:val="00A034E3"/>
    <w:rsid w:val="00A06133"/>
    <w:rsid w:val="00A13716"/>
    <w:rsid w:val="00A13D37"/>
    <w:rsid w:val="00A21BC2"/>
    <w:rsid w:val="00A2406B"/>
    <w:rsid w:val="00A241B1"/>
    <w:rsid w:val="00A249E3"/>
    <w:rsid w:val="00A26BDA"/>
    <w:rsid w:val="00A33C2E"/>
    <w:rsid w:val="00A356D1"/>
    <w:rsid w:val="00A37908"/>
    <w:rsid w:val="00A45CD4"/>
    <w:rsid w:val="00A51790"/>
    <w:rsid w:val="00A533B9"/>
    <w:rsid w:val="00A54855"/>
    <w:rsid w:val="00A614FA"/>
    <w:rsid w:val="00A61C7A"/>
    <w:rsid w:val="00A646E1"/>
    <w:rsid w:val="00A64F35"/>
    <w:rsid w:val="00A651D6"/>
    <w:rsid w:val="00A71627"/>
    <w:rsid w:val="00A7399C"/>
    <w:rsid w:val="00A75CC0"/>
    <w:rsid w:val="00A76711"/>
    <w:rsid w:val="00A76B1F"/>
    <w:rsid w:val="00A860F9"/>
    <w:rsid w:val="00A86322"/>
    <w:rsid w:val="00A878F7"/>
    <w:rsid w:val="00A91F4C"/>
    <w:rsid w:val="00A937A7"/>
    <w:rsid w:val="00A93A25"/>
    <w:rsid w:val="00A94C63"/>
    <w:rsid w:val="00A9524A"/>
    <w:rsid w:val="00AA4454"/>
    <w:rsid w:val="00AB0A1C"/>
    <w:rsid w:val="00AB2EFA"/>
    <w:rsid w:val="00AB3734"/>
    <w:rsid w:val="00AB57B5"/>
    <w:rsid w:val="00AB641F"/>
    <w:rsid w:val="00AC3956"/>
    <w:rsid w:val="00AC48D3"/>
    <w:rsid w:val="00AD56AC"/>
    <w:rsid w:val="00AE19CD"/>
    <w:rsid w:val="00AE219B"/>
    <w:rsid w:val="00AE454B"/>
    <w:rsid w:val="00AE5754"/>
    <w:rsid w:val="00AF04C8"/>
    <w:rsid w:val="00AF7D67"/>
    <w:rsid w:val="00B00939"/>
    <w:rsid w:val="00B01497"/>
    <w:rsid w:val="00B03318"/>
    <w:rsid w:val="00B05CC6"/>
    <w:rsid w:val="00B108DF"/>
    <w:rsid w:val="00B1263A"/>
    <w:rsid w:val="00B17347"/>
    <w:rsid w:val="00B248A5"/>
    <w:rsid w:val="00B24A33"/>
    <w:rsid w:val="00B25208"/>
    <w:rsid w:val="00B25B53"/>
    <w:rsid w:val="00B31424"/>
    <w:rsid w:val="00B31BF7"/>
    <w:rsid w:val="00B3505A"/>
    <w:rsid w:val="00B419F2"/>
    <w:rsid w:val="00B41BB1"/>
    <w:rsid w:val="00B43565"/>
    <w:rsid w:val="00B50BA0"/>
    <w:rsid w:val="00B5172F"/>
    <w:rsid w:val="00B54040"/>
    <w:rsid w:val="00B550F9"/>
    <w:rsid w:val="00B625E7"/>
    <w:rsid w:val="00B661B4"/>
    <w:rsid w:val="00B74450"/>
    <w:rsid w:val="00B81F09"/>
    <w:rsid w:val="00B8282F"/>
    <w:rsid w:val="00B83472"/>
    <w:rsid w:val="00B84FB4"/>
    <w:rsid w:val="00B85CBC"/>
    <w:rsid w:val="00B92143"/>
    <w:rsid w:val="00B94075"/>
    <w:rsid w:val="00B97D7C"/>
    <w:rsid w:val="00BA1F5A"/>
    <w:rsid w:val="00BA4792"/>
    <w:rsid w:val="00BA47E4"/>
    <w:rsid w:val="00BA4BFF"/>
    <w:rsid w:val="00BA785A"/>
    <w:rsid w:val="00BB01AE"/>
    <w:rsid w:val="00BB5C78"/>
    <w:rsid w:val="00BC4ADD"/>
    <w:rsid w:val="00BC4DB8"/>
    <w:rsid w:val="00BD045E"/>
    <w:rsid w:val="00BD6F1A"/>
    <w:rsid w:val="00BE4A02"/>
    <w:rsid w:val="00BE4E15"/>
    <w:rsid w:val="00BE7825"/>
    <w:rsid w:val="00BF217E"/>
    <w:rsid w:val="00BF676E"/>
    <w:rsid w:val="00BF6F03"/>
    <w:rsid w:val="00BF7573"/>
    <w:rsid w:val="00C02408"/>
    <w:rsid w:val="00C04684"/>
    <w:rsid w:val="00C06E8D"/>
    <w:rsid w:val="00C12D4C"/>
    <w:rsid w:val="00C21B01"/>
    <w:rsid w:val="00C2283B"/>
    <w:rsid w:val="00C23AEF"/>
    <w:rsid w:val="00C3283C"/>
    <w:rsid w:val="00C331B6"/>
    <w:rsid w:val="00C3352A"/>
    <w:rsid w:val="00C35322"/>
    <w:rsid w:val="00C419E0"/>
    <w:rsid w:val="00C429B7"/>
    <w:rsid w:val="00C44C62"/>
    <w:rsid w:val="00C453F3"/>
    <w:rsid w:val="00C462E6"/>
    <w:rsid w:val="00C46A21"/>
    <w:rsid w:val="00C46D6A"/>
    <w:rsid w:val="00C46F07"/>
    <w:rsid w:val="00C475B3"/>
    <w:rsid w:val="00C52884"/>
    <w:rsid w:val="00C52BB6"/>
    <w:rsid w:val="00C56C0F"/>
    <w:rsid w:val="00C5750E"/>
    <w:rsid w:val="00C62721"/>
    <w:rsid w:val="00C64667"/>
    <w:rsid w:val="00C67E69"/>
    <w:rsid w:val="00C705CE"/>
    <w:rsid w:val="00C72ADB"/>
    <w:rsid w:val="00C73C6E"/>
    <w:rsid w:val="00C81E47"/>
    <w:rsid w:val="00C8256E"/>
    <w:rsid w:val="00C84F05"/>
    <w:rsid w:val="00C925DA"/>
    <w:rsid w:val="00C945DE"/>
    <w:rsid w:val="00CA0539"/>
    <w:rsid w:val="00CA3112"/>
    <w:rsid w:val="00CA3AE1"/>
    <w:rsid w:val="00CA657A"/>
    <w:rsid w:val="00CA6D87"/>
    <w:rsid w:val="00CA7168"/>
    <w:rsid w:val="00CB53B1"/>
    <w:rsid w:val="00CB5A2B"/>
    <w:rsid w:val="00CB5E58"/>
    <w:rsid w:val="00CB7BB6"/>
    <w:rsid w:val="00CC0F10"/>
    <w:rsid w:val="00CC1B78"/>
    <w:rsid w:val="00CC3D06"/>
    <w:rsid w:val="00CD6DC1"/>
    <w:rsid w:val="00CE1027"/>
    <w:rsid w:val="00CE3D2A"/>
    <w:rsid w:val="00CE582C"/>
    <w:rsid w:val="00CE5CCD"/>
    <w:rsid w:val="00CE65D8"/>
    <w:rsid w:val="00CF6958"/>
    <w:rsid w:val="00D0016D"/>
    <w:rsid w:val="00D00315"/>
    <w:rsid w:val="00D00D9B"/>
    <w:rsid w:val="00D026E6"/>
    <w:rsid w:val="00D06826"/>
    <w:rsid w:val="00D06974"/>
    <w:rsid w:val="00D1035E"/>
    <w:rsid w:val="00D254A1"/>
    <w:rsid w:val="00D26E5D"/>
    <w:rsid w:val="00D27A6C"/>
    <w:rsid w:val="00D37B47"/>
    <w:rsid w:val="00D46DF7"/>
    <w:rsid w:val="00D5076E"/>
    <w:rsid w:val="00D54921"/>
    <w:rsid w:val="00D5587F"/>
    <w:rsid w:val="00D57131"/>
    <w:rsid w:val="00D61D33"/>
    <w:rsid w:val="00D64F1E"/>
    <w:rsid w:val="00D7010F"/>
    <w:rsid w:val="00D82C66"/>
    <w:rsid w:val="00D86AB0"/>
    <w:rsid w:val="00D9414E"/>
    <w:rsid w:val="00D96174"/>
    <w:rsid w:val="00D979F4"/>
    <w:rsid w:val="00DA765B"/>
    <w:rsid w:val="00DB123D"/>
    <w:rsid w:val="00DC39EC"/>
    <w:rsid w:val="00DD05B2"/>
    <w:rsid w:val="00DD6FE7"/>
    <w:rsid w:val="00DE2E20"/>
    <w:rsid w:val="00DE3453"/>
    <w:rsid w:val="00DE40C5"/>
    <w:rsid w:val="00DE5658"/>
    <w:rsid w:val="00DE5761"/>
    <w:rsid w:val="00DE5DCE"/>
    <w:rsid w:val="00DE7F60"/>
    <w:rsid w:val="00DF1A8B"/>
    <w:rsid w:val="00DF6E78"/>
    <w:rsid w:val="00E0030F"/>
    <w:rsid w:val="00E012CB"/>
    <w:rsid w:val="00E01F5A"/>
    <w:rsid w:val="00E03CBA"/>
    <w:rsid w:val="00E0677B"/>
    <w:rsid w:val="00E10213"/>
    <w:rsid w:val="00E12FF9"/>
    <w:rsid w:val="00E13E92"/>
    <w:rsid w:val="00E14303"/>
    <w:rsid w:val="00E1660B"/>
    <w:rsid w:val="00E17918"/>
    <w:rsid w:val="00E22BBB"/>
    <w:rsid w:val="00E22DD5"/>
    <w:rsid w:val="00E24B0B"/>
    <w:rsid w:val="00E25A9B"/>
    <w:rsid w:val="00E304A5"/>
    <w:rsid w:val="00E3613B"/>
    <w:rsid w:val="00E368DF"/>
    <w:rsid w:val="00E41CDB"/>
    <w:rsid w:val="00E46377"/>
    <w:rsid w:val="00E464B6"/>
    <w:rsid w:val="00E46564"/>
    <w:rsid w:val="00E47CF8"/>
    <w:rsid w:val="00E551BB"/>
    <w:rsid w:val="00E60EEE"/>
    <w:rsid w:val="00E639F5"/>
    <w:rsid w:val="00E71CD4"/>
    <w:rsid w:val="00E71DD3"/>
    <w:rsid w:val="00E74965"/>
    <w:rsid w:val="00E75091"/>
    <w:rsid w:val="00E76292"/>
    <w:rsid w:val="00E774EA"/>
    <w:rsid w:val="00E8200D"/>
    <w:rsid w:val="00E83903"/>
    <w:rsid w:val="00E83CB4"/>
    <w:rsid w:val="00E8438E"/>
    <w:rsid w:val="00E904F7"/>
    <w:rsid w:val="00E90BE4"/>
    <w:rsid w:val="00E91143"/>
    <w:rsid w:val="00EA4172"/>
    <w:rsid w:val="00EA5911"/>
    <w:rsid w:val="00EB79C6"/>
    <w:rsid w:val="00EC0183"/>
    <w:rsid w:val="00EC01DF"/>
    <w:rsid w:val="00ED014A"/>
    <w:rsid w:val="00ED0FFE"/>
    <w:rsid w:val="00ED1621"/>
    <w:rsid w:val="00ED1646"/>
    <w:rsid w:val="00ED3A6B"/>
    <w:rsid w:val="00ED3DAD"/>
    <w:rsid w:val="00ED7579"/>
    <w:rsid w:val="00ED7C73"/>
    <w:rsid w:val="00EE0C77"/>
    <w:rsid w:val="00EE6431"/>
    <w:rsid w:val="00EE7B2E"/>
    <w:rsid w:val="00EF0DC9"/>
    <w:rsid w:val="00EF1035"/>
    <w:rsid w:val="00EF1759"/>
    <w:rsid w:val="00EF3133"/>
    <w:rsid w:val="00EF38E0"/>
    <w:rsid w:val="00EF5CB1"/>
    <w:rsid w:val="00EF5DC9"/>
    <w:rsid w:val="00EF79C6"/>
    <w:rsid w:val="00F03D00"/>
    <w:rsid w:val="00F04A5A"/>
    <w:rsid w:val="00F07B6F"/>
    <w:rsid w:val="00F07D7A"/>
    <w:rsid w:val="00F10AA8"/>
    <w:rsid w:val="00F14575"/>
    <w:rsid w:val="00F20990"/>
    <w:rsid w:val="00F21CF8"/>
    <w:rsid w:val="00F226DC"/>
    <w:rsid w:val="00F35E24"/>
    <w:rsid w:val="00F37E17"/>
    <w:rsid w:val="00F4730F"/>
    <w:rsid w:val="00F477DE"/>
    <w:rsid w:val="00F47CF9"/>
    <w:rsid w:val="00F57D15"/>
    <w:rsid w:val="00F64F9D"/>
    <w:rsid w:val="00F665CF"/>
    <w:rsid w:val="00F77C77"/>
    <w:rsid w:val="00F821F6"/>
    <w:rsid w:val="00F834D6"/>
    <w:rsid w:val="00F83703"/>
    <w:rsid w:val="00F83C3A"/>
    <w:rsid w:val="00F84260"/>
    <w:rsid w:val="00F8451F"/>
    <w:rsid w:val="00F85ED2"/>
    <w:rsid w:val="00F86D44"/>
    <w:rsid w:val="00F9361D"/>
    <w:rsid w:val="00F938A6"/>
    <w:rsid w:val="00F94DAC"/>
    <w:rsid w:val="00F9689E"/>
    <w:rsid w:val="00FA0287"/>
    <w:rsid w:val="00FA117C"/>
    <w:rsid w:val="00FB110E"/>
    <w:rsid w:val="00FB268E"/>
    <w:rsid w:val="00FC05F8"/>
    <w:rsid w:val="00FC34C9"/>
    <w:rsid w:val="00FC368E"/>
    <w:rsid w:val="00FC396E"/>
    <w:rsid w:val="00FC7CEA"/>
    <w:rsid w:val="00FD2AE8"/>
    <w:rsid w:val="00FD2B77"/>
    <w:rsid w:val="00FD528E"/>
    <w:rsid w:val="00FD6564"/>
    <w:rsid w:val="00FD7ADB"/>
    <w:rsid w:val="00FE6988"/>
    <w:rsid w:val="00FE6ED7"/>
    <w:rsid w:val="00FE7A01"/>
    <w:rsid w:val="00FE7A8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6D24E"/>
  <w15:chartTrackingRefBased/>
  <w15:docId w15:val="{DB20CFA7-34E1-2546-9AD5-C73ABD647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4C02D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A937A7"/>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937A7"/>
    <w:rPr>
      <w:sz w:val="16"/>
      <w:szCs w:val="16"/>
    </w:rPr>
  </w:style>
  <w:style w:type="paragraph" w:styleId="CommentText">
    <w:name w:val="annotation text"/>
    <w:basedOn w:val="Normal"/>
    <w:link w:val="CommentTextChar"/>
    <w:uiPriority w:val="99"/>
    <w:unhideWhenUsed/>
    <w:rsid w:val="00A937A7"/>
    <w:rPr>
      <w:sz w:val="20"/>
      <w:szCs w:val="20"/>
    </w:rPr>
  </w:style>
  <w:style w:type="character" w:customStyle="1" w:styleId="CommentTextChar">
    <w:name w:val="Comment Text Char"/>
    <w:basedOn w:val="DefaultParagraphFont"/>
    <w:link w:val="CommentText"/>
    <w:uiPriority w:val="99"/>
    <w:rsid w:val="00A937A7"/>
    <w:rPr>
      <w:sz w:val="20"/>
      <w:szCs w:val="20"/>
    </w:rPr>
  </w:style>
  <w:style w:type="paragraph" w:styleId="CommentSubject">
    <w:name w:val="annotation subject"/>
    <w:basedOn w:val="CommentText"/>
    <w:next w:val="CommentText"/>
    <w:link w:val="CommentSubjectChar"/>
    <w:uiPriority w:val="99"/>
    <w:semiHidden/>
    <w:unhideWhenUsed/>
    <w:rsid w:val="00A937A7"/>
    <w:rPr>
      <w:b/>
      <w:bCs/>
    </w:rPr>
  </w:style>
  <w:style w:type="character" w:customStyle="1" w:styleId="CommentSubjectChar">
    <w:name w:val="Comment Subject Char"/>
    <w:basedOn w:val="CommentTextChar"/>
    <w:link w:val="CommentSubject"/>
    <w:uiPriority w:val="99"/>
    <w:semiHidden/>
    <w:rsid w:val="00A937A7"/>
    <w:rPr>
      <w:b/>
      <w:bCs/>
      <w:sz w:val="20"/>
      <w:szCs w:val="20"/>
    </w:rPr>
  </w:style>
  <w:style w:type="paragraph" w:styleId="BalloonText">
    <w:name w:val="Balloon Text"/>
    <w:basedOn w:val="Normal"/>
    <w:link w:val="BalloonTextChar"/>
    <w:uiPriority w:val="99"/>
    <w:semiHidden/>
    <w:unhideWhenUsed/>
    <w:rsid w:val="00A937A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37A7"/>
    <w:rPr>
      <w:rFonts w:ascii="Times New Roman" w:hAnsi="Times New Roman" w:cs="Times New Roman"/>
      <w:sz w:val="18"/>
      <w:szCs w:val="18"/>
    </w:rPr>
  </w:style>
  <w:style w:type="character" w:customStyle="1" w:styleId="Heading4Char">
    <w:name w:val="Heading 4 Char"/>
    <w:basedOn w:val="DefaultParagraphFont"/>
    <w:link w:val="Heading4"/>
    <w:uiPriority w:val="9"/>
    <w:rsid w:val="00A937A7"/>
    <w:rPr>
      <w:rFonts w:ascii="Times New Roman" w:eastAsia="Times New Roman" w:hAnsi="Times New Roman" w:cs="Times New Roman"/>
      <w:b/>
      <w:bCs/>
    </w:rPr>
  </w:style>
  <w:style w:type="paragraph" w:styleId="NormalWeb">
    <w:name w:val="Normal (Web)"/>
    <w:basedOn w:val="Normal"/>
    <w:uiPriority w:val="99"/>
    <w:semiHidden/>
    <w:unhideWhenUsed/>
    <w:rsid w:val="00A937A7"/>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C945DE"/>
  </w:style>
  <w:style w:type="character" w:styleId="Hyperlink">
    <w:name w:val="Hyperlink"/>
    <w:basedOn w:val="DefaultParagraphFont"/>
    <w:unhideWhenUsed/>
    <w:rsid w:val="00C945DE"/>
    <w:rPr>
      <w:color w:val="0000FF"/>
      <w:u w:val="single"/>
    </w:rPr>
  </w:style>
  <w:style w:type="paragraph" w:styleId="ListParagraph">
    <w:name w:val="List Paragraph"/>
    <w:basedOn w:val="Normal"/>
    <w:uiPriority w:val="34"/>
    <w:qFormat/>
    <w:rsid w:val="00E03CBA"/>
    <w:pPr>
      <w:ind w:left="720"/>
      <w:contextualSpacing/>
    </w:pPr>
  </w:style>
  <w:style w:type="table" w:styleId="TableGrid">
    <w:name w:val="Table Grid"/>
    <w:basedOn w:val="TableNormal"/>
    <w:uiPriority w:val="39"/>
    <w:rsid w:val="00737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C02DE"/>
    <w:rPr>
      <w:rFonts w:asciiTheme="majorHAnsi" w:eastAsiaTheme="majorEastAsia" w:hAnsiTheme="majorHAnsi" w:cstheme="majorBidi"/>
      <w:color w:val="1F3763" w:themeColor="accent1" w:themeShade="7F"/>
    </w:rPr>
  </w:style>
  <w:style w:type="paragraph" w:styleId="Revision">
    <w:name w:val="Revision"/>
    <w:hidden/>
    <w:uiPriority w:val="99"/>
    <w:semiHidden/>
    <w:rsid w:val="006675C3"/>
  </w:style>
  <w:style w:type="character" w:styleId="LineNumber">
    <w:name w:val="line number"/>
    <w:basedOn w:val="DefaultParagraphFont"/>
    <w:uiPriority w:val="99"/>
    <w:semiHidden/>
    <w:unhideWhenUsed/>
    <w:rsid w:val="008F6CA4"/>
  </w:style>
  <w:style w:type="paragraph" w:styleId="Header">
    <w:name w:val="header"/>
    <w:basedOn w:val="Normal"/>
    <w:link w:val="HeaderChar"/>
    <w:uiPriority w:val="99"/>
    <w:unhideWhenUsed/>
    <w:rsid w:val="003868CB"/>
    <w:pPr>
      <w:tabs>
        <w:tab w:val="center" w:pos="4680"/>
        <w:tab w:val="right" w:pos="9360"/>
      </w:tabs>
    </w:pPr>
  </w:style>
  <w:style w:type="character" w:customStyle="1" w:styleId="HeaderChar">
    <w:name w:val="Header Char"/>
    <w:basedOn w:val="DefaultParagraphFont"/>
    <w:link w:val="Header"/>
    <w:uiPriority w:val="99"/>
    <w:rsid w:val="003868CB"/>
  </w:style>
  <w:style w:type="character" w:styleId="PageNumber">
    <w:name w:val="page number"/>
    <w:basedOn w:val="DefaultParagraphFont"/>
    <w:uiPriority w:val="99"/>
    <w:semiHidden/>
    <w:unhideWhenUsed/>
    <w:rsid w:val="003868CB"/>
  </w:style>
  <w:style w:type="character" w:customStyle="1" w:styleId="bulletdiscinvalidfiles">
    <w:name w:val="bulletdiscinvalidfiles"/>
    <w:basedOn w:val="DefaultParagraphFont"/>
    <w:rsid w:val="00BF217E"/>
  </w:style>
  <w:style w:type="character" w:customStyle="1" w:styleId="apple-tab-span">
    <w:name w:val="apple-tab-span"/>
    <w:basedOn w:val="DefaultParagraphFont"/>
    <w:rsid w:val="005D6A4E"/>
  </w:style>
  <w:style w:type="paragraph" w:styleId="Footer">
    <w:name w:val="footer"/>
    <w:basedOn w:val="Normal"/>
    <w:link w:val="FooterChar"/>
    <w:uiPriority w:val="99"/>
    <w:unhideWhenUsed/>
    <w:rsid w:val="00F665CF"/>
    <w:pPr>
      <w:tabs>
        <w:tab w:val="center" w:pos="4680"/>
        <w:tab w:val="right" w:pos="9360"/>
      </w:tabs>
    </w:pPr>
  </w:style>
  <w:style w:type="character" w:customStyle="1" w:styleId="FooterChar">
    <w:name w:val="Footer Char"/>
    <w:basedOn w:val="DefaultParagraphFont"/>
    <w:link w:val="Footer"/>
    <w:uiPriority w:val="99"/>
    <w:rsid w:val="00F665CF"/>
  </w:style>
  <w:style w:type="paragraph" w:customStyle="1" w:styleId="Default">
    <w:name w:val="Default"/>
    <w:rsid w:val="001D418A"/>
    <w:pPr>
      <w:autoSpaceDE w:val="0"/>
      <w:autoSpaceDN w:val="0"/>
      <w:adjustRightInd w:val="0"/>
    </w:pPr>
    <w:rPr>
      <w:rFonts w:ascii="Times New Roman" w:hAnsi="Times New Roman" w:cs="Times New Roman"/>
      <w:color w:val="000000"/>
      <w:lang w:val="en-US"/>
    </w:rPr>
  </w:style>
  <w:style w:type="character" w:styleId="UnresolvedMention">
    <w:name w:val="Unresolved Mention"/>
    <w:basedOn w:val="DefaultParagraphFont"/>
    <w:uiPriority w:val="99"/>
    <w:semiHidden/>
    <w:unhideWhenUsed/>
    <w:rsid w:val="001D41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85843">
      <w:bodyDiv w:val="1"/>
      <w:marLeft w:val="0"/>
      <w:marRight w:val="0"/>
      <w:marTop w:val="0"/>
      <w:marBottom w:val="0"/>
      <w:divBdr>
        <w:top w:val="none" w:sz="0" w:space="0" w:color="auto"/>
        <w:left w:val="none" w:sz="0" w:space="0" w:color="auto"/>
        <w:bottom w:val="none" w:sz="0" w:space="0" w:color="auto"/>
        <w:right w:val="none" w:sz="0" w:space="0" w:color="auto"/>
      </w:divBdr>
    </w:div>
    <w:div w:id="360133634">
      <w:bodyDiv w:val="1"/>
      <w:marLeft w:val="0"/>
      <w:marRight w:val="0"/>
      <w:marTop w:val="0"/>
      <w:marBottom w:val="0"/>
      <w:divBdr>
        <w:top w:val="none" w:sz="0" w:space="0" w:color="auto"/>
        <w:left w:val="none" w:sz="0" w:space="0" w:color="auto"/>
        <w:bottom w:val="none" w:sz="0" w:space="0" w:color="auto"/>
        <w:right w:val="none" w:sz="0" w:space="0" w:color="auto"/>
      </w:divBdr>
      <w:divsChild>
        <w:div w:id="1688020734">
          <w:marLeft w:val="0"/>
          <w:marRight w:val="0"/>
          <w:marTop w:val="0"/>
          <w:marBottom w:val="0"/>
          <w:divBdr>
            <w:top w:val="none" w:sz="0" w:space="0" w:color="auto"/>
            <w:left w:val="none" w:sz="0" w:space="0" w:color="auto"/>
            <w:bottom w:val="none" w:sz="0" w:space="0" w:color="auto"/>
            <w:right w:val="none" w:sz="0" w:space="0" w:color="auto"/>
          </w:divBdr>
        </w:div>
        <w:div w:id="1904833484">
          <w:marLeft w:val="0"/>
          <w:marRight w:val="0"/>
          <w:marTop w:val="0"/>
          <w:marBottom w:val="0"/>
          <w:divBdr>
            <w:top w:val="none" w:sz="0" w:space="0" w:color="auto"/>
            <w:left w:val="none" w:sz="0" w:space="0" w:color="auto"/>
            <w:bottom w:val="none" w:sz="0" w:space="0" w:color="auto"/>
            <w:right w:val="none" w:sz="0" w:space="0" w:color="auto"/>
          </w:divBdr>
        </w:div>
        <w:div w:id="2321717">
          <w:marLeft w:val="0"/>
          <w:marRight w:val="0"/>
          <w:marTop w:val="0"/>
          <w:marBottom w:val="0"/>
          <w:divBdr>
            <w:top w:val="none" w:sz="0" w:space="0" w:color="auto"/>
            <w:left w:val="none" w:sz="0" w:space="0" w:color="auto"/>
            <w:bottom w:val="none" w:sz="0" w:space="0" w:color="auto"/>
            <w:right w:val="none" w:sz="0" w:space="0" w:color="auto"/>
          </w:divBdr>
        </w:div>
        <w:div w:id="1471551397">
          <w:marLeft w:val="0"/>
          <w:marRight w:val="0"/>
          <w:marTop w:val="0"/>
          <w:marBottom w:val="0"/>
          <w:divBdr>
            <w:top w:val="none" w:sz="0" w:space="0" w:color="auto"/>
            <w:left w:val="none" w:sz="0" w:space="0" w:color="auto"/>
            <w:bottom w:val="none" w:sz="0" w:space="0" w:color="auto"/>
            <w:right w:val="none" w:sz="0" w:space="0" w:color="auto"/>
          </w:divBdr>
        </w:div>
      </w:divsChild>
    </w:div>
    <w:div w:id="441415941">
      <w:bodyDiv w:val="1"/>
      <w:marLeft w:val="0"/>
      <w:marRight w:val="0"/>
      <w:marTop w:val="0"/>
      <w:marBottom w:val="0"/>
      <w:divBdr>
        <w:top w:val="none" w:sz="0" w:space="0" w:color="auto"/>
        <w:left w:val="none" w:sz="0" w:space="0" w:color="auto"/>
        <w:bottom w:val="none" w:sz="0" w:space="0" w:color="auto"/>
        <w:right w:val="none" w:sz="0" w:space="0" w:color="auto"/>
      </w:divBdr>
    </w:div>
    <w:div w:id="538133328">
      <w:bodyDiv w:val="1"/>
      <w:marLeft w:val="0"/>
      <w:marRight w:val="0"/>
      <w:marTop w:val="0"/>
      <w:marBottom w:val="0"/>
      <w:divBdr>
        <w:top w:val="none" w:sz="0" w:space="0" w:color="auto"/>
        <w:left w:val="none" w:sz="0" w:space="0" w:color="auto"/>
        <w:bottom w:val="none" w:sz="0" w:space="0" w:color="auto"/>
        <w:right w:val="none" w:sz="0" w:space="0" w:color="auto"/>
      </w:divBdr>
    </w:div>
    <w:div w:id="564688017">
      <w:bodyDiv w:val="1"/>
      <w:marLeft w:val="0"/>
      <w:marRight w:val="0"/>
      <w:marTop w:val="0"/>
      <w:marBottom w:val="0"/>
      <w:divBdr>
        <w:top w:val="none" w:sz="0" w:space="0" w:color="auto"/>
        <w:left w:val="none" w:sz="0" w:space="0" w:color="auto"/>
        <w:bottom w:val="none" w:sz="0" w:space="0" w:color="auto"/>
        <w:right w:val="none" w:sz="0" w:space="0" w:color="auto"/>
      </w:divBdr>
    </w:div>
    <w:div w:id="695617266">
      <w:bodyDiv w:val="1"/>
      <w:marLeft w:val="0"/>
      <w:marRight w:val="0"/>
      <w:marTop w:val="0"/>
      <w:marBottom w:val="0"/>
      <w:divBdr>
        <w:top w:val="none" w:sz="0" w:space="0" w:color="auto"/>
        <w:left w:val="none" w:sz="0" w:space="0" w:color="auto"/>
        <w:bottom w:val="none" w:sz="0" w:space="0" w:color="auto"/>
        <w:right w:val="none" w:sz="0" w:space="0" w:color="auto"/>
      </w:divBdr>
    </w:div>
    <w:div w:id="706560661">
      <w:bodyDiv w:val="1"/>
      <w:marLeft w:val="0"/>
      <w:marRight w:val="0"/>
      <w:marTop w:val="0"/>
      <w:marBottom w:val="0"/>
      <w:divBdr>
        <w:top w:val="none" w:sz="0" w:space="0" w:color="auto"/>
        <w:left w:val="none" w:sz="0" w:space="0" w:color="auto"/>
        <w:bottom w:val="none" w:sz="0" w:space="0" w:color="auto"/>
        <w:right w:val="none" w:sz="0" w:space="0" w:color="auto"/>
      </w:divBdr>
    </w:div>
    <w:div w:id="1187250534">
      <w:bodyDiv w:val="1"/>
      <w:marLeft w:val="0"/>
      <w:marRight w:val="0"/>
      <w:marTop w:val="0"/>
      <w:marBottom w:val="0"/>
      <w:divBdr>
        <w:top w:val="none" w:sz="0" w:space="0" w:color="auto"/>
        <w:left w:val="none" w:sz="0" w:space="0" w:color="auto"/>
        <w:bottom w:val="none" w:sz="0" w:space="0" w:color="auto"/>
        <w:right w:val="none" w:sz="0" w:space="0" w:color="auto"/>
      </w:divBdr>
    </w:div>
    <w:div w:id="1697803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science/article/pii/S0167945721000440?dgcid=author" TargetMode="External"/><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Hayley_legg@hotmail.com" TargetMode="Externa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hayleyleggair\Dropbox\PhD\Study%202\MT_RT%20Regression%20Figure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Users\hayleyleggair\Dropbox\PhD\Study%202\MT_RT%20Regression%20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spPr>
            <a:ln w="19050" cap="rnd">
              <a:noFill/>
              <a:round/>
            </a:ln>
            <a:effectLst/>
          </c:spPr>
          <c:marker>
            <c:symbol val="circle"/>
            <c:size val="5"/>
            <c:spPr>
              <a:noFill/>
              <a:ln w="9525">
                <a:solidFill>
                  <a:schemeClr val="dk1">
                    <a:tint val="88500"/>
                  </a:schemeClr>
                </a:solidFill>
              </a:ln>
              <a:effectLst/>
            </c:spPr>
          </c:marker>
          <c:xVal>
            <c:numRef>
              <c:f>'Final figures'!$A$2:$A$76</c:f>
              <c:numCache>
                <c:formatCode>0.00</c:formatCode>
                <c:ptCount val="75"/>
                <c:pt idx="0">
                  <c:v>17</c:v>
                </c:pt>
                <c:pt idx="1">
                  <c:v>17.666666666666664</c:v>
                </c:pt>
                <c:pt idx="2">
                  <c:v>13.833333333333334</c:v>
                </c:pt>
                <c:pt idx="3">
                  <c:v>17.166666666666668</c:v>
                </c:pt>
                <c:pt idx="4">
                  <c:v>18</c:v>
                </c:pt>
                <c:pt idx="5">
                  <c:v>18.458333333333336</c:v>
                </c:pt>
                <c:pt idx="6">
                  <c:v>9.3333333333333339</c:v>
                </c:pt>
                <c:pt idx="7">
                  <c:v>20.5</c:v>
                </c:pt>
                <c:pt idx="8">
                  <c:v>20</c:v>
                </c:pt>
                <c:pt idx="9">
                  <c:v>16.333333333333336</c:v>
                </c:pt>
                <c:pt idx="10">
                  <c:v>8.5</c:v>
                </c:pt>
                <c:pt idx="11">
                  <c:v>16</c:v>
                </c:pt>
                <c:pt idx="12">
                  <c:v>13.833333333333332</c:v>
                </c:pt>
                <c:pt idx="13">
                  <c:v>13.166666666666666</c:v>
                </c:pt>
                <c:pt idx="14">
                  <c:v>27</c:v>
                </c:pt>
                <c:pt idx="15">
                  <c:v>28.333333333333332</c:v>
                </c:pt>
                <c:pt idx="16">
                  <c:v>19.666666666666668</c:v>
                </c:pt>
                <c:pt idx="17">
                  <c:v>11.666666666666666</c:v>
                </c:pt>
                <c:pt idx="18">
                  <c:v>20.541666666666664</c:v>
                </c:pt>
                <c:pt idx="19">
                  <c:v>15.666666666666666</c:v>
                </c:pt>
                <c:pt idx="20">
                  <c:v>25.333333333333332</c:v>
                </c:pt>
                <c:pt idx="21">
                  <c:v>18.5</c:v>
                </c:pt>
                <c:pt idx="22">
                  <c:v>17.833333333333336</c:v>
                </c:pt>
                <c:pt idx="23">
                  <c:v>13.5</c:v>
                </c:pt>
                <c:pt idx="24">
                  <c:v>15.333333333333332</c:v>
                </c:pt>
                <c:pt idx="25">
                  <c:v>21.75</c:v>
                </c:pt>
                <c:pt idx="26">
                  <c:v>26.5</c:v>
                </c:pt>
                <c:pt idx="27">
                  <c:v>22.666666666666664</c:v>
                </c:pt>
                <c:pt idx="28">
                  <c:v>17</c:v>
                </c:pt>
                <c:pt idx="29">
                  <c:v>35.666666666666664</c:v>
                </c:pt>
                <c:pt idx="30">
                  <c:v>15.5</c:v>
                </c:pt>
                <c:pt idx="31">
                  <c:v>25.666666666666664</c:v>
                </c:pt>
                <c:pt idx="32">
                  <c:v>27</c:v>
                </c:pt>
                <c:pt idx="33">
                  <c:v>22.583333333333336</c:v>
                </c:pt>
                <c:pt idx="34">
                  <c:v>16.333333333333332</c:v>
                </c:pt>
                <c:pt idx="35">
                  <c:v>24.166666666666664</c:v>
                </c:pt>
                <c:pt idx="36">
                  <c:v>20.666666666666664</c:v>
                </c:pt>
                <c:pt idx="37">
                  <c:v>25.331666666666663</c:v>
                </c:pt>
                <c:pt idx="38">
                  <c:v>17.001666666666665</c:v>
                </c:pt>
                <c:pt idx="39">
                  <c:v>20.001666666666665</c:v>
                </c:pt>
                <c:pt idx="40">
                  <c:v>18.5</c:v>
                </c:pt>
                <c:pt idx="41">
                  <c:v>20.5</c:v>
                </c:pt>
                <c:pt idx="42">
                  <c:v>25</c:v>
                </c:pt>
                <c:pt idx="43">
                  <c:v>14.335000000000001</c:v>
                </c:pt>
                <c:pt idx="44">
                  <c:v>22.333333333333336</c:v>
                </c:pt>
                <c:pt idx="45">
                  <c:v>18.501666666666665</c:v>
                </c:pt>
                <c:pt idx="46">
                  <c:v>13.501666666666667</c:v>
                </c:pt>
                <c:pt idx="47">
                  <c:v>23.166666666666664</c:v>
                </c:pt>
                <c:pt idx="48">
                  <c:v>22.664999999999999</c:v>
                </c:pt>
                <c:pt idx="49">
                  <c:v>27.498333333333335</c:v>
                </c:pt>
                <c:pt idx="50">
                  <c:v>15</c:v>
                </c:pt>
                <c:pt idx="51">
                  <c:v>21.168333333333337</c:v>
                </c:pt>
                <c:pt idx="52">
                  <c:v>22.335000000000001</c:v>
                </c:pt>
                <c:pt idx="53">
                  <c:v>28.664999999999999</c:v>
                </c:pt>
                <c:pt idx="54">
                  <c:v>21.664999999999999</c:v>
                </c:pt>
                <c:pt idx="55">
                  <c:v>18.501666666666665</c:v>
                </c:pt>
                <c:pt idx="56">
                  <c:v>21.835000000000001</c:v>
                </c:pt>
                <c:pt idx="57">
                  <c:v>19</c:v>
                </c:pt>
                <c:pt idx="58">
                  <c:v>15.333333333333334</c:v>
                </c:pt>
                <c:pt idx="59">
                  <c:v>26.168333333333337</c:v>
                </c:pt>
                <c:pt idx="60">
                  <c:v>15.5</c:v>
                </c:pt>
                <c:pt idx="61">
                  <c:v>25.001666666666665</c:v>
                </c:pt>
                <c:pt idx="62">
                  <c:v>21.333333333333336</c:v>
                </c:pt>
                <c:pt idx="63">
                  <c:v>21.833333333333336</c:v>
                </c:pt>
                <c:pt idx="64">
                  <c:v>22</c:v>
                </c:pt>
                <c:pt idx="65">
                  <c:v>25.831666666666663</c:v>
                </c:pt>
                <c:pt idx="66">
                  <c:v>24</c:v>
                </c:pt>
                <c:pt idx="67">
                  <c:v>25.164999999999999</c:v>
                </c:pt>
                <c:pt idx="68">
                  <c:v>32</c:v>
                </c:pt>
                <c:pt idx="69">
                  <c:v>34.164999999999999</c:v>
                </c:pt>
                <c:pt idx="70">
                  <c:v>12.831666666666667</c:v>
                </c:pt>
                <c:pt idx="71">
                  <c:v>23.5</c:v>
                </c:pt>
                <c:pt idx="72">
                  <c:v>30.664999999999999</c:v>
                </c:pt>
                <c:pt idx="73">
                  <c:v>19.331666666666663</c:v>
                </c:pt>
                <c:pt idx="74">
                  <c:v>32</c:v>
                </c:pt>
              </c:numCache>
            </c:numRef>
          </c:xVal>
          <c:yVal>
            <c:numRef>
              <c:f>'Final figures'!$C$2:$C$76</c:f>
              <c:numCache>
                <c:formatCode>0.000</c:formatCode>
                <c:ptCount val="75"/>
                <c:pt idx="0">
                  <c:v>0.19500000000000001</c:v>
                </c:pt>
                <c:pt idx="1">
                  <c:v>0.2157</c:v>
                </c:pt>
                <c:pt idx="2">
                  <c:v>0.23899999999999999</c:v>
                </c:pt>
                <c:pt idx="3">
                  <c:v>0.20939999999999998</c:v>
                </c:pt>
                <c:pt idx="4">
                  <c:v>0.2355000000000001</c:v>
                </c:pt>
                <c:pt idx="5">
                  <c:v>0.23049999999999998</c:v>
                </c:pt>
                <c:pt idx="6">
                  <c:v>0.18562500000000007</c:v>
                </c:pt>
                <c:pt idx="7">
                  <c:v>0.17860000000000004</c:v>
                </c:pt>
                <c:pt idx="8">
                  <c:v>0.20190000000000002</c:v>
                </c:pt>
                <c:pt idx="9">
                  <c:v>0.25020000000000009</c:v>
                </c:pt>
                <c:pt idx="10">
                  <c:v>0.22080000000000008</c:v>
                </c:pt>
                <c:pt idx="11">
                  <c:v>0.18370000000000009</c:v>
                </c:pt>
                <c:pt idx="12">
                  <c:v>0.20659999999999992</c:v>
                </c:pt>
                <c:pt idx="13">
                  <c:v>0.22099999999999997</c:v>
                </c:pt>
                <c:pt idx="14">
                  <c:v>0.20409999999999992</c:v>
                </c:pt>
                <c:pt idx="15">
                  <c:v>0.18379999999999991</c:v>
                </c:pt>
                <c:pt idx="16">
                  <c:v>0.20100000000000001</c:v>
                </c:pt>
                <c:pt idx="17">
                  <c:v>0.19219999999999993</c:v>
                </c:pt>
                <c:pt idx="18">
                  <c:v>0.14399999999999996</c:v>
                </c:pt>
                <c:pt idx="19">
                  <c:v>0.2029</c:v>
                </c:pt>
                <c:pt idx="20">
                  <c:v>0.20750000000000002</c:v>
                </c:pt>
                <c:pt idx="21">
                  <c:v>0.16559999999999991</c:v>
                </c:pt>
                <c:pt idx="22">
                  <c:v>0.17270000000000008</c:v>
                </c:pt>
                <c:pt idx="23">
                  <c:v>0.27650000000000002</c:v>
                </c:pt>
                <c:pt idx="24">
                  <c:v>0.28100000000000014</c:v>
                </c:pt>
                <c:pt idx="25">
                  <c:v>0.2074</c:v>
                </c:pt>
                <c:pt idx="26">
                  <c:v>0.2140999999999999</c:v>
                </c:pt>
                <c:pt idx="27">
                  <c:v>0.24650000000000005</c:v>
                </c:pt>
                <c:pt idx="28">
                  <c:v>0.22012499999999996</c:v>
                </c:pt>
                <c:pt idx="29">
                  <c:v>0.223</c:v>
                </c:pt>
                <c:pt idx="30">
                  <c:v>0.27975000000000011</c:v>
                </c:pt>
                <c:pt idx="31">
                  <c:v>0.20800000000000002</c:v>
                </c:pt>
                <c:pt idx="32">
                  <c:v>0.17970000000000003</c:v>
                </c:pt>
                <c:pt idx="33">
                  <c:v>0.19969999999999993</c:v>
                </c:pt>
                <c:pt idx="34">
                  <c:v>0.23360000000000009</c:v>
                </c:pt>
                <c:pt idx="35">
                  <c:v>0.22370000000000009</c:v>
                </c:pt>
                <c:pt idx="36">
                  <c:v>0.18729999999999997</c:v>
                </c:pt>
                <c:pt idx="37">
                  <c:v>0.1722000000000001</c:v>
                </c:pt>
                <c:pt idx="38">
                  <c:v>0.28599999999999998</c:v>
                </c:pt>
                <c:pt idx="39">
                  <c:v>0.26440000000000008</c:v>
                </c:pt>
                <c:pt idx="40">
                  <c:v>0.17750000000000005</c:v>
                </c:pt>
                <c:pt idx="41">
                  <c:v>0.19819999999999993</c:v>
                </c:pt>
                <c:pt idx="42">
                  <c:v>0.18720000000000009</c:v>
                </c:pt>
                <c:pt idx="43">
                  <c:v>0.19900000000000012</c:v>
                </c:pt>
                <c:pt idx="44">
                  <c:v>0.2130999999999999</c:v>
                </c:pt>
                <c:pt idx="45">
                  <c:v>0.21819999999999992</c:v>
                </c:pt>
                <c:pt idx="46">
                  <c:v>0.23630000000000001</c:v>
                </c:pt>
                <c:pt idx="47">
                  <c:v>0.2975000000000001</c:v>
                </c:pt>
                <c:pt idx="48">
                  <c:v>0.21050000000000002</c:v>
                </c:pt>
                <c:pt idx="49">
                  <c:v>0.18530000000000008</c:v>
                </c:pt>
                <c:pt idx="50">
                  <c:v>0.23180000000000009</c:v>
                </c:pt>
                <c:pt idx="51">
                  <c:v>0.16299999999999989</c:v>
                </c:pt>
                <c:pt idx="52">
                  <c:v>0.21820000000000006</c:v>
                </c:pt>
                <c:pt idx="53">
                  <c:v>0.16180000000000014</c:v>
                </c:pt>
                <c:pt idx="54">
                  <c:v>0.18420000000000006</c:v>
                </c:pt>
                <c:pt idx="55">
                  <c:v>0.24330000000000007</c:v>
                </c:pt>
                <c:pt idx="56">
                  <c:v>0.21520000000000017</c:v>
                </c:pt>
                <c:pt idx="57">
                  <c:v>0.23400000000000001</c:v>
                </c:pt>
                <c:pt idx="58">
                  <c:v>0.17429999999999995</c:v>
                </c:pt>
                <c:pt idx="59">
                  <c:v>0.18939999999999985</c:v>
                </c:pt>
                <c:pt idx="60">
                  <c:v>0.2185</c:v>
                </c:pt>
                <c:pt idx="61">
                  <c:v>0.19080000000000003</c:v>
                </c:pt>
                <c:pt idx="62">
                  <c:v>0.13910000000000003</c:v>
                </c:pt>
                <c:pt idx="63">
                  <c:v>0.12574999999999986</c:v>
                </c:pt>
                <c:pt idx="64">
                  <c:v>0.22130000000000005</c:v>
                </c:pt>
                <c:pt idx="65">
                  <c:v>0.19049999999999995</c:v>
                </c:pt>
                <c:pt idx="66">
                  <c:v>0.22090000000000012</c:v>
                </c:pt>
                <c:pt idx="67">
                  <c:v>0.23649999999999988</c:v>
                </c:pt>
                <c:pt idx="68">
                  <c:v>0.22110000000000002</c:v>
                </c:pt>
                <c:pt idx="69">
                  <c:v>0.15889999999999982</c:v>
                </c:pt>
                <c:pt idx="70">
                  <c:v>0.19170000000000015</c:v>
                </c:pt>
                <c:pt idx="71">
                  <c:v>0.16250000000000003</c:v>
                </c:pt>
                <c:pt idx="72">
                  <c:v>0.16309999999999997</c:v>
                </c:pt>
                <c:pt idx="73">
                  <c:v>0.21337499999999993</c:v>
                </c:pt>
                <c:pt idx="74">
                  <c:v>0.18160000000000004</c:v>
                </c:pt>
              </c:numCache>
            </c:numRef>
          </c:yVal>
          <c:smooth val="0"/>
          <c:extLst>
            <c:ext xmlns:c16="http://schemas.microsoft.com/office/drawing/2014/chart" uri="{C3380CC4-5D6E-409C-BE32-E72D297353CC}">
              <c16:uniqueId val="{00000000-B92F-0242-BCC8-6CC1959DE0A5}"/>
            </c:ext>
          </c:extLst>
        </c:ser>
        <c:ser>
          <c:idx val="1"/>
          <c:order val="1"/>
          <c:spPr>
            <a:ln w="19050" cap="rnd">
              <a:solidFill>
                <a:schemeClr val="tx1"/>
              </a:solidFill>
              <a:round/>
            </a:ln>
            <a:effectLst/>
          </c:spPr>
          <c:marker>
            <c:symbol val="none"/>
          </c:marker>
          <c:xVal>
            <c:numRef>
              <c:f>'Final figures'!$J$2:$J$40</c:f>
              <c:numCache>
                <c:formatCode>General</c:formatCode>
                <c:ptCount val="3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numCache>
            </c:numRef>
          </c:xVal>
          <c:yVal>
            <c:numRef>
              <c:f>'Final figures'!$K$2:$K$40</c:f>
              <c:numCache>
                <c:formatCode>General</c:formatCode>
                <c:ptCount val="39"/>
                <c:pt idx="1">
                  <c:v>0.24096712831427208</c:v>
                </c:pt>
                <c:pt idx="2">
                  <c:v>0.23924554697035974</c:v>
                </c:pt>
                <c:pt idx="3">
                  <c:v>0.23752396562644737</c:v>
                </c:pt>
                <c:pt idx="4">
                  <c:v>0.23580238428253503</c:v>
                </c:pt>
                <c:pt idx="5">
                  <c:v>0.23408080293862266</c:v>
                </c:pt>
                <c:pt idx="6">
                  <c:v>0.23235922159471031</c:v>
                </c:pt>
                <c:pt idx="7">
                  <c:v>0.23063764025079794</c:v>
                </c:pt>
                <c:pt idx="8">
                  <c:v>0.2289160589068856</c:v>
                </c:pt>
                <c:pt idx="9">
                  <c:v>0.22719447756297323</c:v>
                </c:pt>
                <c:pt idx="10">
                  <c:v>0.22547289621906089</c:v>
                </c:pt>
                <c:pt idx="11">
                  <c:v>0.22375131487514852</c:v>
                </c:pt>
                <c:pt idx="12">
                  <c:v>0.22202973353123617</c:v>
                </c:pt>
                <c:pt idx="13">
                  <c:v>0.2203081521873238</c:v>
                </c:pt>
                <c:pt idx="14">
                  <c:v>0.21858657084341146</c:v>
                </c:pt>
                <c:pt idx="15">
                  <c:v>0.21686498949949909</c:v>
                </c:pt>
                <c:pt idx="16">
                  <c:v>0.21514340815558675</c:v>
                </c:pt>
                <c:pt idx="17">
                  <c:v>0.21342182681167438</c:v>
                </c:pt>
                <c:pt idx="18">
                  <c:v>0.21170024546776203</c:v>
                </c:pt>
                <c:pt idx="19">
                  <c:v>0.20997866412384966</c:v>
                </c:pt>
                <c:pt idx="20">
                  <c:v>0.20825708277993732</c:v>
                </c:pt>
                <c:pt idx="21">
                  <c:v>0.20653550143602495</c:v>
                </c:pt>
                <c:pt idx="22">
                  <c:v>0.20481392009211258</c:v>
                </c:pt>
                <c:pt idx="23">
                  <c:v>0.20309233874820024</c:v>
                </c:pt>
                <c:pt idx="24">
                  <c:v>0.20137075740428789</c:v>
                </c:pt>
                <c:pt idx="25">
                  <c:v>0.19964917606037552</c:v>
                </c:pt>
                <c:pt idx="26">
                  <c:v>0.19792759471646315</c:v>
                </c:pt>
                <c:pt idx="27">
                  <c:v>0.19620601337255081</c:v>
                </c:pt>
                <c:pt idx="28">
                  <c:v>0.19448443202863844</c:v>
                </c:pt>
                <c:pt idx="29">
                  <c:v>0.19276285068472609</c:v>
                </c:pt>
                <c:pt idx="30">
                  <c:v>0.19104126934081372</c:v>
                </c:pt>
                <c:pt idx="31">
                  <c:v>0.18931968799690138</c:v>
                </c:pt>
                <c:pt idx="32">
                  <c:v>0.18759810665298901</c:v>
                </c:pt>
                <c:pt idx="33">
                  <c:v>0.18587652530907667</c:v>
                </c:pt>
                <c:pt idx="34">
                  <c:v>0.1841549439651643</c:v>
                </c:pt>
                <c:pt idx="35">
                  <c:v>0.18243336262125195</c:v>
                </c:pt>
                <c:pt idx="36">
                  <c:v>0.18071178127733958</c:v>
                </c:pt>
                <c:pt idx="37">
                  <c:v>0.17899019993342724</c:v>
                </c:pt>
                <c:pt idx="38">
                  <c:v>0.17726861858951487</c:v>
                </c:pt>
              </c:numCache>
            </c:numRef>
          </c:yVal>
          <c:smooth val="0"/>
          <c:extLst>
            <c:ext xmlns:c16="http://schemas.microsoft.com/office/drawing/2014/chart" uri="{C3380CC4-5D6E-409C-BE32-E72D297353CC}">
              <c16:uniqueId val="{00000001-B92F-0242-BCC8-6CC1959DE0A5}"/>
            </c:ext>
          </c:extLst>
        </c:ser>
        <c:dLbls>
          <c:showLegendKey val="0"/>
          <c:showVal val="0"/>
          <c:showCatName val="0"/>
          <c:showSerName val="0"/>
          <c:showPercent val="0"/>
          <c:showBubbleSize val="0"/>
        </c:dLbls>
        <c:axId val="443385088"/>
        <c:axId val="443385480"/>
      </c:scatterChart>
      <c:valAx>
        <c:axId val="443385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HG (Kg)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3385480"/>
        <c:crosses val="autoZero"/>
        <c:crossBetween val="midCat"/>
      </c:valAx>
      <c:valAx>
        <c:axId val="44338548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RT (Sec)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338508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spPr>
            <a:ln>
              <a:noFill/>
            </a:ln>
          </c:spPr>
          <c:marker>
            <c:symbol val="circle"/>
            <c:size val="5"/>
            <c:spPr>
              <a:noFill/>
            </c:spPr>
          </c:marker>
          <c:xVal>
            <c:numRef>
              <c:f>'Final figures'!$B$2:$B$76</c:f>
              <c:numCache>
                <c:formatCode>0.00</c:formatCode>
                <c:ptCount val="75"/>
                <c:pt idx="0">
                  <c:v>5.8166666666666664</c:v>
                </c:pt>
                <c:pt idx="1">
                  <c:v>8.2166666666666668</c:v>
                </c:pt>
                <c:pt idx="2">
                  <c:v>4.6500000000000004</c:v>
                </c:pt>
                <c:pt idx="3">
                  <c:v>8.25</c:v>
                </c:pt>
                <c:pt idx="4">
                  <c:v>7.3833333333333329</c:v>
                </c:pt>
                <c:pt idx="5">
                  <c:v>7.6333333333333329</c:v>
                </c:pt>
                <c:pt idx="6">
                  <c:v>6.666666666666667</c:v>
                </c:pt>
                <c:pt idx="7">
                  <c:v>10.116666666666665</c:v>
                </c:pt>
                <c:pt idx="8">
                  <c:v>7.4666666666666677</c:v>
                </c:pt>
                <c:pt idx="9">
                  <c:v>6.3166666666666664</c:v>
                </c:pt>
                <c:pt idx="10">
                  <c:v>2.2166666666666663</c:v>
                </c:pt>
                <c:pt idx="11">
                  <c:v>5.4666666666666668</c:v>
                </c:pt>
                <c:pt idx="12">
                  <c:v>8.2333333333333343</c:v>
                </c:pt>
                <c:pt idx="13">
                  <c:v>5.5166666666666675</c:v>
                </c:pt>
                <c:pt idx="14">
                  <c:v>8.4166666666666679</c:v>
                </c:pt>
                <c:pt idx="15">
                  <c:v>9.0833333333333339</c:v>
                </c:pt>
                <c:pt idx="16">
                  <c:v>7.1333333333333329</c:v>
                </c:pt>
                <c:pt idx="17">
                  <c:v>6.4</c:v>
                </c:pt>
                <c:pt idx="18">
                  <c:v>5.35</c:v>
                </c:pt>
                <c:pt idx="19">
                  <c:v>7.8666666666666671</c:v>
                </c:pt>
                <c:pt idx="20">
                  <c:v>9.0833333333333321</c:v>
                </c:pt>
                <c:pt idx="21">
                  <c:v>8.2333333333333325</c:v>
                </c:pt>
                <c:pt idx="22">
                  <c:v>7.9333333333333336</c:v>
                </c:pt>
                <c:pt idx="23">
                  <c:v>8.3833333333333329</c:v>
                </c:pt>
                <c:pt idx="24">
                  <c:v>4.9666666666666668</c:v>
                </c:pt>
                <c:pt idx="25">
                  <c:v>4.9625000000000004</c:v>
                </c:pt>
                <c:pt idx="26">
                  <c:v>9.7833333333333332</c:v>
                </c:pt>
                <c:pt idx="27">
                  <c:v>3.9166666666666665</c:v>
                </c:pt>
                <c:pt idx="28">
                  <c:v>5.9</c:v>
                </c:pt>
                <c:pt idx="29">
                  <c:v>8.5833333333333339</c:v>
                </c:pt>
                <c:pt idx="30">
                  <c:v>1.85</c:v>
                </c:pt>
                <c:pt idx="31">
                  <c:v>6.8000000000000007</c:v>
                </c:pt>
                <c:pt idx="32">
                  <c:v>6.5333333333333341</c:v>
                </c:pt>
                <c:pt idx="33">
                  <c:v>6.6166666666666663</c:v>
                </c:pt>
                <c:pt idx="34">
                  <c:v>5.0500000000000007</c:v>
                </c:pt>
                <c:pt idx="35">
                  <c:v>6.6833333333333336</c:v>
                </c:pt>
                <c:pt idx="36">
                  <c:v>7.6499999999999995</c:v>
                </c:pt>
                <c:pt idx="37">
                  <c:v>6.1166666666666671</c:v>
                </c:pt>
                <c:pt idx="38">
                  <c:v>5.083333333333333</c:v>
                </c:pt>
                <c:pt idx="39">
                  <c:v>6.3833333333333329</c:v>
                </c:pt>
                <c:pt idx="40">
                  <c:v>3.9</c:v>
                </c:pt>
                <c:pt idx="41">
                  <c:v>5.3166666666666664</c:v>
                </c:pt>
                <c:pt idx="42">
                  <c:v>6.25</c:v>
                </c:pt>
                <c:pt idx="43">
                  <c:v>3.916666666666667</c:v>
                </c:pt>
                <c:pt idx="44">
                  <c:v>4.1666666666666661</c:v>
                </c:pt>
                <c:pt idx="45">
                  <c:v>3.9833333333333334</c:v>
                </c:pt>
                <c:pt idx="46">
                  <c:v>4.1166666666666671</c:v>
                </c:pt>
                <c:pt idx="47">
                  <c:v>6.7166666666666668</c:v>
                </c:pt>
                <c:pt idx="48">
                  <c:v>6.4</c:v>
                </c:pt>
                <c:pt idx="49">
                  <c:v>6.3500000000000005</c:v>
                </c:pt>
                <c:pt idx="50">
                  <c:v>3.8</c:v>
                </c:pt>
                <c:pt idx="51">
                  <c:v>6</c:v>
                </c:pt>
                <c:pt idx="52">
                  <c:v>6.15</c:v>
                </c:pt>
                <c:pt idx="53">
                  <c:v>6.8500000000000005</c:v>
                </c:pt>
                <c:pt idx="54">
                  <c:v>4.9666666666666668</c:v>
                </c:pt>
                <c:pt idx="55">
                  <c:v>6.479166666666667</c:v>
                </c:pt>
                <c:pt idx="56">
                  <c:v>5.6333333333333329</c:v>
                </c:pt>
                <c:pt idx="57">
                  <c:v>6.3166666666666673</c:v>
                </c:pt>
                <c:pt idx="58">
                  <c:v>2.35</c:v>
                </c:pt>
                <c:pt idx="59">
                  <c:v>7.3166666666666664</c:v>
                </c:pt>
                <c:pt idx="60">
                  <c:v>3.6124999999999998</c:v>
                </c:pt>
                <c:pt idx="61">
                  <c:v>7.625</c:v>
                </c:pt>
                <c:pt idx="62">
                  <c:v>5.7666666666666675</c:v>
                </c:pt>
                <c:pt idx="63">
                  <c:v>8.3000000000000007</c:v>
                </c:pt>
                <c:pt idx="64">
                  <c:v>7.4333333333333336</c:v>
                </c:pt>
                <c:pt idx="65">
                  <c:v>7.0833333333333339</c:v>
                </c:pt>
                <c:pt idx="66">
                  <c:v>6.7833333333333332</c:v>
                </c:pt>
                <c:pt idx="67">
                  <c:v>7.5833333333333339</c:v>
                </c:pt>
                <c:pt idx="68">
                  <c:v>7.95</c:v>
                </c:pt>
                <c:pt idx="69">
                  <c:v>6.3166666666666664</c:v>
                </c:pt>
                <c:pt idx="70">
                  <c:v>5.0875000000000004</c:v>
                </c:pt>
                <c:pt idx="71">
                  <c:v>6.9166666666666661</c:v>
                </c:pt>
                <c:pt idx="72">
                  <c:v>6.6333333333333329</c:v>
                </c:pt>
                <c:pt idx="73">
                  <c:v>5.6999999999999993</c:v>
                </c:pt>
                <c:pt idx="74">
                  <c:v>7.4666666666666668</c:v>
                </c:pt>
              </c:numCache>
            </c:numRef>
          </c:xVal>
          <c:yVal>
            <c:numRef>
              <c:f>'Final figures'!$D$2:$D$76</c:f>
              <c:numCache>
                <c:formatCode>0.000</c:formatCode>
                <c:ptCount val="75"/>
                <c:pt idx="0">
                  <c:v>0.36070000000000002</c:v>
                </c:pt>
                <c:pt idx="1">
                  <c:v>0.36009999999999998</c:v>
                </c:pt>
                <c:pt idx="2">
                  <c:v>0.62825000000000009</c:v>
                </c:pt>
                <c:pt idx="3">
                  <c:v>0.60160000000000013</c:v>
                </c:pt>
                <c:pt idx="4">
                  <c:v>0.34814999999999985</c:v>
                </c:pt>
                <c:pt idx="5">
                  <c:v>0.28340000000000004</c:v>
                </c:pt>
                <c:pt idx="6">
                  <c:v>0.3431249999999999</c:v>
                </c:pt>
                <c:pt idx="7">
                  <c:v>0.4143</c:v>
                </c:pt>
                <c:pt idx="8">
                  <c:v>0.24765000000000004</c:v>
                </c:pt>
                <c:pt idx="9">
                  <c:v>0.44109999999999994</c:v>
                </c:pt>
                <c:pt idx="10">
                  <c:v>0.30634999999999996</c:v>
                </c:pt>
                <c:pt idx="11">
                  <c:v>0.35969999999999991</c:v>
                </c:pt>
                <c:pt idx="12">
                  <c:v>0.26965000000000006</c:v>
                </c:pt>
                <c:pt idx="13">
                  <c:v>0.35265000000000007</c:v>
                </c:pt>
                <c:pt idx="14">
                  <c:v>0.4840000000000001</c:v>
                </c:pt>
                <c:pt idx="15">
                  <c:v>0.29210000000000014</c:v>
                </c:pt>
                <c:pt idx="16">
                  <c:v>0.28685000000000005</c:v>
                </c:pt>
                <c:pt idx="17">
                  <c:v>0.32055000000000006</c:v>
                </c:pt>
                <c:pt idx="18">
                  <c:v>0.52333333333333343</c:v>
                </c:pt>
                <c:pt idx="19">
                  <c:v>0.29350000000000004</c:v>
                </c:pt>
                <c:pt idx="20">
                  <c:v>0.32079999999999997</c:v>
                </c:pt>
                <c:pt idx="21">
                  <c:v>0.34310000000000007</c:v>
                </c:pt>
                <c:pt idx="22">
                  <c:v>0.34875</c:v>
                </c:pt>
                <c:pt idx="23">
                  <c:v>0.35835</c:v>
                </c:pt>
                <c:pt idx="24">
                  <c:v>0.40564999999999996</c:v>
                </c:pt>
                <c:pt idx="25">
                  <c:v>0.26015000000000005</c:v>
                </c:pt>
                <c:pt idx="26">
                  <c:v>0.31020000000000014</c:v>
                </c:pt>
                <c:pt idx="27">
                  <c:v>0.66864999999999997</c:v>
                </c:pt>
                <c:pt idx="28">
                  <c:v>0.31525000000000003</c:v>
                </c:pt>
                <c:pt idx="29">
                  <c:v>0.22360000000000002</c:v>
                </c:pt>
                <c:pt idx="30">
                  <c:v>0.56456249999999997</c:v>
                </c:pt>
                <c:pt idx="31">
                  <c:v>0.2636</c:v>
                </c:pt>
                <c:pt idx="32">
                  <c:v>0.32084999999999997</c:v>
                </c:pt>
                <c:pt idx="33">
                  <c:v>0.28025000000000005</c:v>
                </c:pt>
                <c:pt idx="34">
                  <c:v>0.23094999999999991</c:v>
                </c:pt>
                <c:pt idx="35">
                  <c:v>0.36804999999999988</c:v>
                </c:pt>
                <c:pt idx="36">
                  <c:v>0.28750000000000009</c:v>
                </c:pt>
                <c:pt idx="37">
                  <c:v>0.27514999999999989</c:v>
                </c:pt>
                <c:pt idx="38">
                  <c:v>0.37209999999999999</c:v>
                </c:pt>
                <c:pt idx="39">
                  <c:v>0.43889999999999996</c:v>
                </c:pt>
                <c:pt idx="40">
                  <c:v>0.44529999999999992</c:v>
                </c:pt>
                <c:pt idx="41">
                  <c:v>0.34645000000000004</c:v>
                </c:pt>
                <c:pt idx="42">
                  <c:v>0.29284999999999994</c:v>
                </c:pt>
                <c:pt idx="43">
                  <c:v>0.4272999999999999</c:v>
                </c:pt>
                <c:pt idx="44">
                  <c:v>0.34270000000000012</c:v>
                </c:pt>
                <c:pt idx="45">
                  <c:v>0.35235000000000016</c:v>
                </c:pt>
                <c:pt idx="46">
                  <c:v>0.28139999999999998</c:v>
                </c:pt>
                <c:pt idx="47">
                  <c:v>0.44069999999999998</c:v>
                </c:pt>
                <c:pt idx="48">
                  <c:v>0.37260000000000004</c:v>
                </c:pt>
                <c:pt idx="49">
                  <c:v>0.34944999999999998</c:v>
                </c:pt>
                <c:pt idx="50">
                  <c:v>0.23379999999999995</c:v>
                </c:pt>
                <c:pt idx="51">
                  <c:v>0.28690000000000015</c:v>
                </c:pt>
                <c:pt idx="52">
                  <c:v>0.31855</c:v>
                </c:pt>
                <c:pt idx="53">
                  <c:v>0.23359999999999986</c:v>
                </c:pt>
                <c:pt idx="54">
                  <c:v>0.32429999999999992</c:v>
                </c:pt>
                <c:pt idx="55">
                  <c:v>0.40249999999999997</c:v>
                </c:pt>
                <c:pt idx="56">
                  <c:v>0.26519999999999988</c:v>
                </c:pt>
                <c:pt idx="57">
                  <c:v>0.68630000000000002</c:v>
                </c:pt>
                <c:pt idx="58">
                  <c:v>0.58445000000000003</c:v>
                </c:pt>
                <c:pt idx="59">
                  <c:v>0.31885000000000019</c:v>
                </c:pt>
                <c:pt idx="60">
                  <c:v>0.39975000000000005</c:v>
                </c:pt>
                <c:pt idx="61">
                  <c:v>0.37180000000000002</c:v>
                </c:pt>
                <c:pt idx="62">
                  <c:v>0.22159999999999996</c:v>
                </c:pt>
                <c:pt idx="63">
                  <c:v>0.1775000000000001</c:v>
                </c:pt>
                <c:pt idx="64">
                  <c:v>0.22879999999999998</c:v>
                </c:pt>
                <c:pt idx="65">
                  <c:v>0.45255000000000006</c:v>
                </c:pt>
                <c:pt idx="66">
                  <c:v>0.21529999999999991</c:v>
                </c:pt>
                <c:pt idx="67">
                  <c:v>0.34950000000000014</c:v>
                </c:pt>
                <c:pt idx="68">
                  <c:v>0.55559999999999998</c:v>
                </c:pt>
                <c:pt idx="69">
                  <c:v>0.25495000000000023</c:v>
                </c:pt>
                <c:pt idx="70">
                  <c:v>0.33404999999999985</c:v>
                </c:pt>
                <c:pt idx="71">
                  <c:v>0.26649999999999996</c:v>
                </c:pt>
                <c:pt idx="72">
                  <c:v>0.30510000000000004</c:v>
                </c:pt>
                <c:pt idx="73">
                  <c:v>0.41256250000000011</c:v>
                </c:pt>
                <c:pt idx="74">
                  <c:v>0.27034999999999998</c:v>
                </c:pt>
              </c:numCache>
            </c:numRef>
          </c:yVal>
          <c:smooth val="0"/>
          <c:extLst>
            <c:ext xmlns:c16="http://schemas.microsoft.com/office/drawing/2014/chart" uri="{C3380CC4-5D6E-409C-BE32-E72D297353CC}">
              <c16:uniqueId val="{00000000-F880-DC4B-86D1-53DD57435B08}"/>
            </c:ext>
          </c:extLst>
        </c:ser>
        <c:ser>
          <c:idx val="1"/>
          <c:order val="1"/>
          <c:spPr>
            <a:ln w="25400">
              <a:solidFill>
                <a:schemeClr val="tx1"/>
              </a:solidFill>
            </a:ln>
          </c:spPr>
          <c:marker>
            <c:symbol val="none"/>
          </c:marker>
          <c:xVal>
            <c:numRef>
              <c:f>'Final figures'!$F$2:$F$13</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xVal>
          <c:yVal>
            <c:numRef>
              <c:f>'Final figures'!$H$2:$H$13</c:f>
              <c:numCache>
                <c:formatCode>General</c:formatCode>
                <c:ptCount val="12"/>
                <c:pt idx="1">
                  <c:v>0.4219602768902101</c:v>
                </c:pt>
                <c:pt idx="2">
                  <c:v>0.40536813104268737</c:v>
                </c:pt>
                <c:pt idx="3">
                  <c:v>0.38942841462727706</c:v>
                </c:pt>
                <c:pt idx="4">
                  <c:v>0.37411547308622639</c:v>
                </c:pt>
                <c:pt idx="5">
                  <c:v>0.35940466063959248</c:v>
                </c:pt>
                <c:pt idx="6">
                  <c:v>0.34527230061850184</c:v>
                </c:pt>
                <c:pt idx="7">
                  <c:v>0.33169564735817025</c:v>
                </c:pt>
                <c:pt idx="8">
                  <c:v>0.31865284958934803</c:v>
                </c:pt>
                <c:pt idx="9">
                  <c:v>0.3061229152692726</c:v>
                </c:pt>
                <c:pt idx="10">
                  <c:v>0.29408567779552297</c:v>
                </c:pt>
                <c:pt idx="11">
                  <c:v>0.28252176354839947</c:v>
                </c:pt>
              </c:numCache>
            </c:numRef>
          </c:yVal>
          <c:smooth val="0"/>
          <c:extLst>
            <c:ext xmlns:c16="http://schemas.microsoft.com/office/drawing/2014/chart" uri="{C3380CC4-5D6E-409C-BE32-E72D297353CC}">
              <c16:uniqueId val="{00000001-F880-DC4B-86D1-53DD57435B08}"/>
            </c:ext>
          </c:extLst>
        </c:ser>
        <c:dLbls>
          <c:showLegendKey val="0"/>
          <c:showVal val="0"/>
          <c:showCatName val="0"/>
          <c:showSerName val="0"/>
          <c:showPercent val="0"/>
          <c:showBubbleSize val="0"/>
        </c:dLbls>
        <c:axId val="443386264"/>
        <c:axId val="443386656"/>
      </c:scatterChart>
      <c:valAx>
        <c:axId val="443386264"/>
        <c:scaling>
          <c:orientation val="minMax"/>
        </c:scaling>
        <c:delete val="0"/>
        <c:axPos val="b"/>
        <c:title>
          <c:tx>
            <c:rich>
              <a:bodyPr/>
              <a:lstStyle/>
              <a:p>
                <a:pPr>
                  <a:defRPr b="0"/>
                </a:pPr>
                <a:r>
                  <a:rPr lang="en-US" b="0"/>
                  <a:t>SF (Kg)</a:t>
                </a:r>
              </a:p>
            </c:rich>
          </c:tx>
          <c:overlay val="0"/>
        </c:title>
        <c:numFmt formatCode="0.00" sourceLinked="1"/>
        <c:majorTickMark val="none"/>
        <c:minorTickMark val="none"/>
        <c:tickLblPos val="nextTo"/>
        <c:spPr>
          <a:ln>
            <a:solidFill>
              <a:sysClr val="windowText" lastClr="000000"/>
            </a:solidFill>
          </a:ln>
        </c:spPr>
        <c:crossAx val="443386656"/>
        <c:crosses val="autoZero"/>
        <c:crossBetween val="midCat"/>
      </c:valAx>
      <c:valAx>
        <c:axId val="443386656"/>
        <c:scaling>
          <c:orientation val="minMax"/>
        </c:scaling>
        <c:delete val="0"/>
        <c:axPos val="l"/>
        <c:title>
          <c:tx>
            <c:rich>
              <a:bodyPr/>
              <a:lstStyle/>
              <a:p>
                <a:pPr>
                  <a:defRPr b="0">
                    <a:solidFill>
                      <a:sysClr val="windowText" lastClr="000000"/>
                    </a:solidFill>
                  </a:defRPr>
                </a:pPr>
                <a:r>
                  <a:rPr lang="en-US" b="0">
                    <a:solidFill>
                      <a:sysClr val="windowText" lastClr="000000"/>
                    </a:solidFill>
                  </a:rPr>
                  <a:t>MT (Sec)</a:t>
                </a:r>
              </a:p>
            </c:rich>
          </c:tx>
          <c:overlay val="0"/>
        </c:title>
        <c:numFmt formatCode="0.000" sourceLinked="1"/>
        <c:majorTickMark val="none"/>
        <c:minorTickMark val="none"/>
        <c:tickLblPos val="nextTo"/>
        <c:spPr>
          <a:solidFill>
            <a:sysClr val="window" lastClr="FFFFFF"/>
          </a:solidFill>
          <a:ln>
            <a:solidFill>
              <a:sysClr val="windowText" lastClr="000000"/>
            </a:solidFill>
          </a:ln>
        </c:spPr>
        <c:txPr>
          <a:bodyPr/>
          <a:lstStyle/>
          <a:p>
            <a:pPr>
              <a:defRPr>
                <a:solidFill>
                  <a:schemeClr val="tx1"/>
                </a:solidFill>
              </a:defRPr>
            </a:pPr>
            <a:endParaRPr lang="en-US"/>
          </a:p>
        </c:txPr>
        <c:crossAx val="443386264"/>
        <c:crosses val="autoZero"/>
        <c:crossBetween val="midCat"/>
      </c:valAx>
    </c:plotArea>
    <c:plotVisOnly val="1"/>
    <c:dispBlanksAs val="gap"/>
    <c:showDLblsOverMax val="0"/>
  </c:chart>
  <c:spPr>
    <a:ln>
      <a:noFill/>
    </a:ln>
  </c:spPr>
  <c:txPr>
    <a:bodyPr/>
    <a:lstStyle/>
    <a:p>
      <a:pPr>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emf"/></Relationships>
</file>

<file path=word/drawings/_rels/drawing2.xml.rels><?xml version="1.0" encoding="UTF-8" standalone="yes"?>
<Relationships xmlns="http://schemas.openxmlformats.org/package/2006/relationships"><Relationship Id="rId1" Type="http://schemas.openxmlformats.org/officeDocument/2006/relationships/image" Target="../media/image3.emf"/></Relationships>
</file>

<file path=word/drawings/drawing1.xml><?xml version="1.0" encoding="utf-8"?>
<c:userShapes xmlns:c="http://schemas.openxmlformats.org/drawingml/2006/chart">
  <cdr:relSizeAnchor xmlns:cdr="http://schemas.openxmlformats.org/drawingml/2006/chartDrawing">
    <cdr:from>
      <cdr:x>0.6375</cdr:x>
      <cdr:y>0.05324</cdr:y>
    </cdr:from>
    <cdr:to>
      <cdr:x>0.74861</cdr:x>
      <cdr:y>0.15046</cdr:y>
    </cdr:to>
    <cdr:sp macro="" textlink="">
      <cdr:nvSpPr>
        <cdr:cNvPr id="2" name="TextBox 1">
          <a:extLst xmlns:a="http://schemas.openxmlformats.org/drawingml/2006/main">
            <a:ext uri="{FF2B5EF4-FFF2-40B4-BE49-F238E27FC236}">
              <a16:creationId xmlns:a16="http://schemas.microsoft.com/office/drawing/2014/main" id="{8D89177D-C3A7-A94C-AA73-EDC799A50AA9}"/>
            </a:ext>
          </a:extLst>
        </cdr:cNvPr>
        <cdr:cNvSpPr txBox="1"/>
      </cdr:nvSpPr>
      <cdr:spPr>
        <a:xfrm xmlns:a="http://schemas.openxmlformats.org/drawingml/2006/main">
          <a:off x="2914650" y="146050"/>
          <a:ext cx="50800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0.42639</cdr:x>
      <cdr:y>0.57176</cdr:y>
    </cdr:from>
    <cdr:to>
      <cdr:x>0.90417</cdr:x>
      <cdr:y>0.68287</cdr:y>
    </cdr:to>
    <cdr:sp macro="" textlink="">
      <cdr:nvSpPr>
        <cdr:cNvPr id="3" name="TextBox 2">
          <a:extLst xmlns:a="http://schemas.openxmlformats.org/drawingml/2006/main">
            <a:ext uri="{FF2B5EF4-FFF2-40B4-BE49-F238E27FC236}">
              <a16:creationId xmlns:a16="http://schemas.microsoft.com/office/drawing/2014/main" id="{B22D733A-231D-464B-9138-CBDCFDD3E3C3}"/>
            </a:ext>
          </a:extLst>
        </cdr:cNvPr>
        <cdr:cNvSpPr txBox="1"/>
      </cdr:nvSpPr>
      <cdr:spPr>
        <a:xfrm xmlns:a="http://schemas.openxmlformats.org/drawingml/2006/main">
          <a:off x="1949450" y="1568450"/>
          <a:ext cx="21844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0.48063</cdr:x>
      <cdr:y>0.60131</cdr:y>
    </cdr:from>
    <cdr:to>
      <cdr:x>0.95286</cdr:x>
      <cdr:y>0.73094</cdr:y>
    </cdr:to>
    <cdr:pic>
      <cdr:nvPicPr>
        <cdr:cNvPr id="6" name="chart">
          <a:extLst xmlns:a="http://schemas.openxmlformats.org/drawingml/2006/main">
            <a:ext uri="{FF2B5EF4-FFF2-40B4-BE49-F238E27FC236}">
              <a16:creationId xmlns:a16="http://schemas.microsoft.com/office/drawing/2014/main" id="{D1096EF1-DD4E-BD48-A434-3EA9F2E88286}"/>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730171" y="1298607"/>
          <a:ext cx="1699940" cy="2799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0.38311</cdr:x>
      <cdr:y>0.59235</cdr:y>
    </cdr:from>
    <cdr:to>
      <cdr:x>0.972</cdr:x>
      <cdr:y>0.72198</cdr:y>
    </cdr:to>
    <cdr:pic>
      <cdr:nvPicPr>
        <cdr:cNvPr id="5" name="chart">
          <a:extLst xmlns:a="http://schemas.openxmlformats.org/drawingml/2006/main">
            <a:ext uri="{FF2B5EF4-FFF2-40B4-BE49-F238E27FC236}">
              <a16:creationId xmlns:a16="http://schemas.microsoft.com/office/drawing/2014/main" id="{C495ACCE-00B8-2245-900A-F2E771306F1F}"/>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79113" y="1279254"/>
          <a:ext cx="2119895" cy="279954"/>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C69C7-017C-904F-9CE1-6CB1474A4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42292</Words>
  <Characters>241065</Characters>
  <Application>Microsoft Office Word</Application>
  <DocSecurity>0</DocSecurity>
  <Lines>2008</Lines>
  <Paragraphs>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Legg, Hayley</dc:creator>
  <cp:keywords/>
  <dc:description/>
  <cp:lastModifiedBy>Legg, Hayley</cp:lastModifiedBy>
  <cp:revision>3</cp:revision>
  <dcterms:created xsi:type="dcterms:W3CDTF">2021-04-14T16:22:00Z</dcterms:created>
  <dcterms:modified xsi:type="dcterms:W3CDTF">2021-04-14T16:25:00Z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http://www.zotero.org/styles/age-and-ageing</vt:lpwstr>
  </property>
  <property fmtid="{D5CDD505-2E9C-101B-9397-08002B2CF9AE}" pid="3" name="Mendeley Recent Style Name 0_1">
    <vt:lpwstr>Age and Ageing</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http://www.zotero.org/styles/clinical-biomechanics</vt:lpwstr>
  </property>
  <property fmtid="{D5CDD505-2E9C-101B-9397-08002B2CF9AE}" pid="7" name="Mendeley Recent Style Name 2_1">
    <vt:lpwstr>Clinical Biomechanics</vt:lpwstr>
  </property>
  <property fmtid="{D5CDD505-2E9C-101B-9397-08002B2CF9AE}" pid="8" name="Mendeley Recent Style Id 3_1">
    <vt:lpwstr>http://www.zotero.org/styles/human-movement-science</vt:lpwstr>
  </property>
  <property fmtid="{D5CDD505-2E9C-101B-9397-08002B2CF9AE}" pid="9" name="Mendeley Recent Style Name 3_1">
    <vt:lpwstr>Human Movement Science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http://www.zotero.org/styles/journal-of-biomechanics</vt:lpwstr>
  </property>
  <property fmtid="{D5CDD505-2E9C-101B-9397-08002B2CF9AE}" pid="13" name="Mendeley Recent Style Name 5_1">
    <vt:lpwstr>Journal of Biomechanics</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http://www.zotero.org/styles/sage-vancouver</vt:lpwstr>
  </property>
  <property fmtid="{D5CDD505-2E9C-101B-9397-08002B2CF9AE}" pid="19" name="Mendeley Recent Style Name 8_1">
    <vt:lpwstr>SAGE - Vancouver</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http://www.zotero.org/styles/human-movement-science</vt:lpwstr>
  </property>
  <property fmtid="{D5CDD505-2E9C-101B-9397-08002B2CF9AE}" pid="24" name="Mendeley Unique User Id_1">
    <vt:lpwstr>1bb2916a-05db-38f0-a8fb-8cd900177954</vt:lpwstr>
  </property>
</Properties>
</file>