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C5CCB" w14:textId="77777777" w:rsidR="00B1730E" w:rsidRDefault="007B2893" w:rsidP="00A001E4">
      <w:pPr>
        <w:spacing w:after="0" w:line="240" w:lineRule="auto"/>
        <w:jc w:val="center"/>
        <w:rPr>
          <w:rFonts w:ascii="Garamond" w:hAnsi="Garamond"/>
          <w:b/>
          <w:sz w:val="24"/>
          <w:szCs w:val="24"/>
          <w:u w:val="single"/>
        </w:rPr>
      </w:pPr>
      <w:r w:rsidRPr="007B2893">
        <w:rPr>
          <w:rFonts w:ascii="Garamond" w:hAnsi="Garamond"/>
          <w:b/>
          <w:sz w:val="24"/>
          <w:szCs w:val="24"/>
          <w:u w:val="single"/>
        </w:rPr>
        <w:t>Newman and the British Monarchy</w:t>
      </w:r>
    </w:p>
    <w:p w14:paraId="1D2A04FE" w14:textId="77777777" w:rsidR="00B1730E" w:rsidRPr="00B1730E" w:rsidRDefault="00B1730E" w:rsidP="00A001E4">
      <w:pPr>
        <w:spacing w:after="0" w:line="240" w:lineRule="auto"/>
        <w:jc w:val="center"/>
        <w:rPr>
          <w:rFonts w:ascii="Garamond" w:hAnsi="Garamond"/>
          <w:bCs/>
          <w:sz w:val="24"/>
          <w:szCs w:val="24"/>
          <w:u w:val="single"/>
        </w:rPr>
      </w:pPr>
    </w:p>
    <w:p w14:paraId="6A1FAA86" w14:textId="35E31A90" w:rsidR="002D410B" w:rsidRPr="00B1730E" w:rsidRDefault="00B1730E" w:rsidP="00A001E4">
      <w:pPr>
        <w:spacing w:after="0" w:line="240" w:lineRule="auto"/>
        <w:jc w:val="center"/>
        <w:rPr>
          <w:rFonts w:ascii="Garamond" w:hAnsi="Garamond"/>
          <w:bCs/>
          <w:sz w:val="24"/>
          <w:szCs w:val="24"/>
          <w:u w:val="single"/>
        </w:rPr>
      </w:pPr>
      <w:r w:rsidRPr="00B1730E">
        <w:rPr>
          <w:rFonts w:ascii="Garamond" w:hAnsi="Garamond"/>
          <w:bCs/>
          <w:sz w:val="24"/>
          <w:szCs w:val="24"/>
          <w:u w:val="single"/>
        </w:rPr>
        <w:t>Jacob Phillips, St Mary’s University, Twickenham</w:t>
      </w:r>
    </w:p>
    <w:p w14:paraId="5CE216F2" w14:textId="77777777" w:rsidR="00263B5A" w:rsidRDefault="00263B5A" w:rsidP="00A001E4">
      <w:pPr>
        <w:spacing w:after="0" w:line="240" w:lineRule="auto"/>
        <w:jc w:val="center"/>
        <w:rPr>
          <w:rFonts w:ascii="Garamond" w:hAnsi="Garamond"/>
          <w:b/>
          <w:sz w:val="24"/>
          <w:szCs w:val="24"/>
          <w:u w:val="single"/>
        </w:rPr>
      </w:pPr>
    </w:p>
    <w:p w14:paraId="09F656EF" w14:textId="550662BA" w:rsidR="00263B5A" w:rsidRPr="00263B5A" w:rsidRDefault="00263B5A" w:rsidP="00263B5A">
      <w:pPr>
        <w:spacing w:after="0" w:line="240" w:lineRule="auto"/>
        <w:rPr>
          <w:rFonts w:ascii="Garamond" w:hAnsi="Garamond"/>
          <w:bCs/>
          <w:sz w:val="24"/>
          <w:szCs w:val="24"/>
          <w:u w:val="single"/>
        </w:rPr>
      </w:pPr>
      <w:r w:rsidRPr="00263B5A">
        <w:rPr>
          <w:rFonts w:ascii="Garamond" w:hAnsi="Garamond"/>
          <w:bCs/>
          <w:sz w:val="24"/>
          <w:szCs w:val="24"/>
          <w:u w:val="single"/>
        </w:rPr>
        <w:t>Abstract</w:t>
      </w:r>
    </w:p>
    <w:p w14:paraId="1C16852C" w14:textId="77777777" w:rsidR="00263B5A" w:rsidRDefault="00263B5A" w:rsidP="00263B5A">
      <w:pPr>
        <w:spacing w:after="0" w:line="240" w:lineRule="auto"/>
        <w:rPr>
          <w:rFonts w:ascii="Garamond" w:hAnsi="Garamond"/>
          <w:b/>
          <w:sz w:val="24"/>
          <w:szCs w:val="24"/>
          <w:u w:val="single"/>
        </w:rPr>
      </w:pPr>
    </w:p>
    <w:p w14:paraId="3B783918" w14:textId="3735D35A" w:rsidR="00263B5A" w:rsidRPr="00520DDC" w:rsidRDefault="630601EC" w:rsidP="630601EC">
      <w:pPr>
        <w:spacing w:after="0" w:line="240" w:lineRule="auto"/>
        <w:jc w:val="both"/>
        <w:rPr>
          <w:rFonts w:ascii="Garamond" w:hAnsi="Garamond"/>
          <w:sz w:val="24"/>
          <w:szCs w:val="24"/>
        </w:rPr>
      </w:pPr>
      <w:r w:rsidRPr="630601EC">
        <w:rPr>
          <w:rFonts w:ascii="Garamond" w:hAnsi="Garamond"/>
          <w:sz w:val="24"/>
          <w:szCs w:val="24"/>
        </w:rPr>
        <w:t xml:space="preserve">The funeral of Queen Elizabeth II and the coronation of King Charles were events as acclaimed in Catholic circles as in Protestant/Anglican circles, </w:t>
      </w:r>
      <w:r w:rsidR="00206890">
        <w:rPr>
          <w:rFonts w:ascii="Garamond" w:hAnsi="Garamond"/>
          <w:sz w:val="24"/>
          <w:szCs w:val="24"/>
        </w:rPr>
        <w:t>indicating</w:t>
      </w:r>
      <w:r w:rsidRPr="630601EC">
        <w:rPr>
          <w:rFonts w:ascii="Garamond" w:hAnsi="Garamond"/>
          <w:sz w:val="24"/>
          <w:szCs w:val="24"/>
        </w:rPr>
        <w:t xml:space="preserve"> that tensions between Catholics and the British Crown have been consigned to history. </w:t>
      </w:r>
      <w:r w:rsidR="00D73DE1">
        <w:rPr>
          <w:rFonts w:ascii="Garamond" w:hAnsi="Garamond"/>
          <w:sz w:val="24"/>
          <w:szCs w:val="24"/>
        </w:rPr>
        <w:t>F</w:t>
      </w:r>
      <w:r w:rsidRPr="630601EC">
        <w:rPr>
          <w:rFonts w:ascii="Garamond" w:hAnsi="Garamond"/>
          <w:sz w:val="24"/>
          <w:szCs w:val="24"/>
        </w:rPr>
        <w:t xml:space="preserve">rom a theological perspective the rationale for this </w:t>
      </w:r>
      <w:r w:rsidR="00D73DE1">
        <w:rPr>
          <w:rFonts w:ascii="Garamond" w:hAnsi="Garamond"/>
          <w:sz w:val="24"/>
          <w:szCs w:val="24"/>
        </w:rPr>
        <w:t>harmonious</w:t>
      </w:r>
      <w:r w:rsidRPr="630601EC">
        <w:rPr>
          <w:rFonts w:ascii="Garamond" w:hAnsi="Garamond"/>
          <w:sz w:val="24"/>
          <w:szCs w:val="24"/>
        </w:rPr>
        <w:t xml:space="preserve"> state of affairs is grounded in a </w:t>
      </w:r>
      <w:r w:rsidR="00E93266">
        <w:rPr>
          <w:rFonts w:ascii="Garamond" w:hAnsi="Garamond"/>
          <w:sz w:val="24"/>
          <w:szCs w:val="24"/>
        </w:rPr>
        <w:t>c</w:t>
      </w:r>
      <w:r w:rsidRPr="630601EC">
        <w:rPr>
          <w:rFonts w:ascii="Garamond" w:hAnsi="Garamond"/>
          <w:sz w:val="24"/>
          <w:szCs w:val="24"/>
        </w:rPr>
        <w:t>ommitment to religious freedom</w:t>
      </w:r>
      <w:r w:rsidR="00E93266">
        <w:rPr>
          <w:rFonts w:ascii="Garamond" w:hAnsi="Garamond"/>
          <w:sz w:val="24"/>
          <w:szCs w:val="24"/>
        </w:rPr>
        <w:t xml:space="preserve"> being shared and indeed celebrated by both parties</w:t>
      </w:r>
      <w:r w:rsidRPr="630601EC">
        <w:rPr>
          <w:rFonts w:ascii="Garamond" w:hAnsi="Garamond"/>
          <w:sz w:val="24"/>
          <w:szCs w:val="24"/>
        </w:rPr>
        <w:t xml:space="preserve">. This article </w:t>
      </w:r>
      <w:r w:rsidR="00627E5E">
        <w:rPr>
          <w:rFonts w:ascii="Garamond" w:hAnsi="Garamond"/>
          <w:sz w:val="24"/>
          <w:szCs w:val="24"/>
        </w:rPr>
        <w:t>scrutinises</w:t>
      </w:r>
      <w:r w:rsidR="009324E9">
        <w:rPr>
          <w:rFonts w:ascii="Garamond" w:hAnsi="Garamond"/>
          <w:sz w:val="24"/>
          <w:szCs w:val="24"/>
        </w:rPr>
        <w:t xml:space="preserve"> </w:t>
      </w:r>
      <w:r w:rsidRPr="630601EC">
        <w:rPr>
          <w:rFonts w:ascii="Garamond" w:hAnsi="Garamond"/>
          <w:sz w:val="24"/>
          <w:szCs w:val="24"/>
        </w:rPr>
        <w:t xml:space="preserve">this </w:t>
      </w:r>
      <w:r w:rsidR="009324E9">
        <w:rPr>
          <w:rFonts w:ascii="Garamond" w:hAnsi="Garamond"/>
          <w:sz w:val="24"/>
          <w:szCs w:val="24"/>
        </w:rPr>
        <w:t xml:space="preserve">rationale, </w:t>
      </w:r>
      <w:r w:rsidRPr="630601EC">
        <w:rPr>
          <w:rFonts w:ascii="Garamond" w:hAnsi="Garamond"/>
          <w:sz w:val="24"/>
          <w:szCs w:val="24"/>
        </w:rPr>
        <w:t xml:space="preserve">employing the thought of St John Henry Newman, a convert to Rome from Anglicanism, who is considered central in the development of Catholic integration into British public and cultural life. </w:t>
      </w:r>
      <w:r w:rsidR="00392099">
        <w:rPr>
          <w:rFonts w:ascii="Garamond" w:hAnsi="Garamond"/>
          <w:sz w:val="24"/>
          <w:szCs w:val="24"/>
        </w:rPr>
        <w:t xml:space="preserve">Newman’s writing </w:t>
      </w:r>
      <w:r w:rsidR="001A1133">
        <w:rPr>
          <w:rFonts w:ascii="Garamond" w:hAnsi="Garamond"/>
          <w:sz w:val="24"/>
          <w:szCs w:val="24"/>
        </w:rPr>
        <w:t>s</w:t>
      </w:r>
      <w:r w:rsidR="003308CD">
        <w:rPr>
          <w:rFonts w:ascii="Garamond" w:hAnsi="Garamond"/>
          <w:sz w:val="24"/>
          <w:szCs w:val="24"/>
        </w:rPr>
        <w:t xml:space="preserve">uggests </w:t>
      </w:r>
      <w:r w:rsidR="001A1133">
        <w:rPr>
          <w:rFonts w:ascii="Garamond" w:hAnsi="Garamond"/>
          <w:sz w:val="24"/>
          <w:szCs w:val="24"/>
        </w:rPr>
        <w:t xml:space="preserve">however that </w:t>
      </w:r>
      <w:r w:rsidR="003308CD">
        <w:rPr>
          <w:rFonts w:ascii="Garamond" w:hAnsi="Garamond"/>
          <w:sz w:val="24"/>
          <w:szCs w:val="24"/>
        </w:rPr>
        <w:t xml:space="preserve">it is the </w:t>
      </w:r>
      <w:r w:rsidRPr="630601EC">
        <w:rPr>
          <w:rFonts w:ascii="Garamond" w:hAnsi="Garamond"/>
          <w:sz w:val="24"/>
          <w:szCs w:val="24"/>
        </w:rPr>
        <w:t xml:space="preserve">Christian character of the British monarchy </w:t>
      </w:r>
      <w:r w:rsidR="003308CD">
        <w:rPr>
          <w:rFonts w:ascii="Garamond" w:hAnsi="Garamond"/>
          <w:sz w:val="24"/>
          <w:szCs w:val="24"/>
        </w:rPr>
        <w:t xml:space="preserve">which his central to </w:t>
      </w:r>
      <w:r w:rsidR="00220C3B">
        <w:rPr>
          <w:rFonts w:ascii="Garamond" w:hAnsi="Garamond"/>
          <w:sz w:val="24"/>
          <w:szCs w:val="24"/>
        </w:rPr>
        <w:t xml:space="preserve">its </w:t>
      </w:r>
      <w:r w:rsidR="00175486">
        <w:rPr>
          <w:rFonts w:ascii="Garamond" w:hAnsi="Garamond"/>
          <w:sz w:val="24"/>
          <w:szCs w:val="24"/>
        </w:rPr>
        <w:t xml:space="preserve">harmonious </w:t>
      </w:r>
      <w:r w:rsidR="00220C3B">
        <w:rPr>
          <w:rFonts w:ascii="Garamond" w:hAnsi="Garamond"/>
          <w:sz w:val="24"/>
          <w:szCs w:val="24"/>
        </w:rPr>
        <w:t xml:space="preserve">relationship with </w:t>
      </w:r>
      <w:r w:rsidR="00175486">
        <w:rPr>
          <w:rFonts w:ascii="Garamond" w:hAnsi="Garamond"/>
          <w:sz w:val="24"/>
          <w:szCs w:val="24"/>
        </w:rPr>
        <w:t xml:space="preserve">British </w:t>
      </w:r>
      <w:r w:rsidR="00220C3B">
        <w:rPr>
          <w:rFonts w:ascii="Garamond" w:hAnsi="Garamond"/>
          <w:sz w:val="24"/>
          <w:szCs w:val="24"/>
        </w:rPr>
        <w:t xml:space="preserve">Catholics, rather </w:t>
      </w:r>
      <w:r w:rsidRPr="630601EC">
        <w:rPr>
          <w:rFonts w:ascii="Garamond" w:hAnsi="Garamond"/>
          <w:sz w:val="24"/>
          <w:szCs w:val="24"/>
        </w:rPr>
        <w:t xml:space="preserve">than a </w:t>
      </w:r>
      <w:r w:rsidR="00220C3B">
        <w:rPr>
          <w:rFonts w:ascii="Garamond" w:hAnsi="Garamond"/>
          <w:sz w:val="24"/>
          <w:szCs w:val="24"/>
        </w:rPr>
        <w:t xml:space="preserve">shared </w:t>
      </w:r>
      <w:r w:rsidRPr="630601EC">
        <w:rPr>
          <w:rFonts w:ascii="Garamond" w:hAnsi="Garamond"/>
          <w:sz w:val="24"/>
          <w:szCs w:val="24"/>
        </w:rPr>
        <w:t xml:space="preserve">commitment to </w:t>
      </w:r>
      <w:r w:rsidR="00220C3B">
        <w:rPr>
          <w:rFonts w:ascii="Garamond" w:hAnsi="Garamond"/>
          <w:sz w:val="24"/>
          <w:szCs w:val="24"/>
        </w:rPr>
        <w:t xml:space="preserve">generic </w:t>
      </w:r>
      <w:r w:rsidRPr="630601EC">
        <w:rPr>
          <w:rFonts w:ascii="Garamond" w:hAnsi="Garamond"/>
          <w:sz w:val="24"/>
          <w:szCs w:val="24"/>
        </w:rPr>
        <w:t>religious freedom, and</w:t>
      </w:r>
      <w:r w:rsidR="00220C3B">
        <w:rPr>
          <w:rFonts w:ascii="Garamond" w:hAnsi="Garamond"/>
          <w:sz w:val="24"/>
          <w:szCs w:val="24"/>
        </w:rPr>
        <w:t xml:space="preserve">, moreover, </w:t>
      </w:r>
      <w:r w:rsidR="007E52D0">
        <w:rPr>
          <w:rFonts w:ascii="Garamond" w:hAnsi="Garamond"/>
          <w:sz w:val="24"/>
          <w:szCs w:val="24"/>
        </w:rPr>
        <w:t>Newman offers e</w:t>
      </w:r>
      <w:r w:rsidRPr="630601EC">
        <w:rPr>
          <w:rFonts w:ascii="Garamond" w:hAnsi="Garamond"/>
          <w:sz w:val="24"/>
          <w:szCs w:val="24"/>
        </w:rPr>
        <w:t>pistemolog</w:t>
      </w:r>
      <w:r w:rsidR="007E52D0">
        <w:rPr>
          <w:rFonts w:ascii="Garamond" w:hAnsi="Garamond"/>
          <w:sz w:val="24"/>
          <w:szCs w:val="24"/>
        </w:rPr>
        <w:t xml:space="preserve">ical insights </w:t>
      </w:r>
      <w:r w:rsidR="00A53CD4">
        <w:rPr>
          <w:rFonts w:ascii="Garamond" w:hAnsi="Garamond"/>
          <w:sz w:val="24"/>
          <w:szCs w:val="24"/>
        </w:rPr>
        <w:t xml:space="preserve">which can inform </w:t>
      </w:r>
      <w:r w:rsidR="00EF55D3">
        <w:rPr>
          <w:rFonts w:ascii="Garamond" w:hAnsi="Garamond"/>
          <w:sz w:val="24"/>
          <w:szCs w:val="24"/>
        </w:rPr>
        <w:t>contemporary discussions about the ex</w:t>
      </w:r>
      <w:r w:rsidRPr="630601EC">
        <w:rPr>
          <w:rFonts w:ascii="Garamond" w:hAnsi="Garamond"/>
          <w:sz w:val="24"/>
          <w:szCs w:val="24"/>
        </w:rPr>
        <w:t xml:space="preserve">istence of the monarchy itself.   </w:t>
      </w:r>
    </w:p>
    <w:p w14:paraId="53528DDE" w14:textId="77777777" w:rsidR="00263B5A" w:rsidRDefault="00263B5A" w:rsidP="00A001E4">
      <w:pPr>
        <w:spacing w:after="0" w:line="240" w:lineRule="auto"/>
        <w:jc w:val="center"/>
        <w:rPr>
          <w:rFonts w:ascii="Garamond" w:hAnsi="Garamond"/>
          <w:b/>
          <w:sz w:val="24"/>
          <w:szCs w:val="24"/>
          <w:u w:val="single"/>
        </w:rPr>
      </w:pPr>
    </w:p>
    <w:p w14:paraId="54DC9CB0" w14:textId="6C02E534" w:rsidR="00037D55" w:rsidRDefault="00037D55" w:rsidP="00335B20">
      <w:pPr>
        <w:spacing w:after="0" w:line="240" w:lineRule="auto"/>
        <w:jc w:val="both"/>
        <w:rPr>
          <w:rFonts w:ascii="Garamond" w:hAnsi="Garamond"/>
          <w:sz w:val="24"/>
          <w:szCs w:val="24"/>
          <w:u w:val="single"/>
        </w:rPr>
      </w:pPr>
      <w:r>
        <w:rPr>
          <w:rFonts w:ascii="Garamond" w:hAnsi="Garamond"/>
          <w:sz w:val="24"/>
          <w:szCs w:val="24"/>
          <w:u w:val="single"/>
        </w:rPr>
        <w:t>Keywords</w:t>
      </w:r>
    </w:p>
    <w:p w14:paraId="30EC41D3" w14:textId="77777777" w:rsidR="00037D55" w:rsidRDefault="00037D55" w:rsidP="00335B20">
      <w:pPr>
        <w:spacing w:after="0" w:line="240" w:lineRule="auto"/>
        <w:jc w:val="both"/>
        <w:rPr>
          <w:rFonts w:ascii="Garamond" w:hAnsi="Garamond"/>
          <w:sz w:val="24"/>
          <w:szCs w:val="24"/>
          <w:u w:val="single"/>
        </w:rPr>
      </w:pPr>
    </w:p>
    <w:p w14:paraId="506820E2" w14:textId="46506960" w:rsidR="00037D55" w:rsidRDefault="00E610C6" w:rsidP="00335B20">
      <w:pPr>
        <w:spacing w:after="0" w:line="240" w:lineRule="auto"/>
        <w:jc w:val="both"/>
        <w:rPr>
          <w:rFonts w:ascii="Garamond" w:hAnsi="Garamond"/>
          <w:sz w:val="24"/>
          <w:szCs w:val="24"/>
        </w:rPr>
      </w:pPr>
      <w:r>
        <w:rPr>
          <w:rFonts w:ascii="Garamond" w:hAnsi="Garamond"/>
          <w:sz w:val="24"/>
          <w:szCs w:val="24"/>
        </w:rPr>
        <w:t xml:space="preserve">Reformation / Political Theology / </w:t>
      </w:r>
      <w:r w:rsidR="00CC3392">
        <w:rPr>
          <w:rFonts w:ascii="Garamond" w:hAnsi="Garamond"/>
          <w:sz w:val="24"/>
          <w:szCs w:val="24"/>
        </w:rPr>
        <w:t>Church and State / Epistemology / Theology and culture</w:t>
      </w:r>
      <w:r w:rsidR="00B1730E">
        <w:rPr>
          <w:rFonts w:ascii="Garamond" w:hAnsi="Garamond"/>
          <w:sz w:val="24"/>
          <w:szCs w:val="24"/>
        </w:rPr>
        <w:t xml:space="preserve"> / John Henry Newman </w:t>
      </w:r>
    </w:p>
    <w:p w14:paraId="4CA66E09" w14:textId="77777777" w:rsidR="00B1730E" w:rsidRPr="00037D55" w:rsidRDefault="00B1730E" w:rsidP="00335B20">
      <w:pPr>
        <w:spacing w:after="0" w:line="240" w:lineRule="auto"/>
        <w:jc w:val="both"/>
        <w:rPr>
          <w:rFonts w:ascii="Garamond" w:hAnsi="Garamond"/>
          <w:sz w:val="24"/>
          <w:szCs w:val="24"/>
        </w:rPr>
      </w:pPr>
    </w:p>
    <w:p w14:paraId="4E078F74" w14:textId="77777777" w:rsidR="00037D55" w:rsidRDefault="00037D55" w:rsidP="00335B20">
      <w:pPr>
        <w:spacing w:after="0" w:line="240" w:lineRule="auto"/>
        <w:jc w:val="both"/>
        <w:rPr>
          <w:rFonts w:ascii="Garamond" w:hAnsi="Garamond"/>
          <w:sz w:val="24"/>
          <w:szCs w:val="24"/>
          <w:u w:val="single"/>
        </w:rPr>
      </w:pPr>
    </w:p>
    <w:p w14:paraId="72E9470D" w14:textId="17DEAE97" w:rsidR="00B718FF" w:rsidRDefault="00B718FF" w:rsidP="00335B20">
      <w:pPr>
        <w:spacing w:after="0" w:line="240" w:lineRule="auto"/>
        <w:jc w:val="both"/>
        <w:rPr>
          <w:rFonts w:ascii="Garamond" w:hAnsi="Garamond"/>
          <w:sz w:val="24"/>
          <w:szCs w:val="24"/>
          <w:u w:val="single"/>
        </w:rPr>
      </w:pPr>
      <w:r w:rsidRPr="00335B20">
        <w:rPr>
          <w:rFonts w:ascii="Garamond" w:hAnsi="Garamond"/>
          <w:sz w:val="24"/>
          <w:szCs w:val="24"/>
          <w:u w:val="single"/>
        </w:rPr>
        <w:t>Introduction</w:t>
      </w:r>
    </w:p>
    <w:p w14:paraId="763D48AC" w14:textId="77777777" w:rsidR="007B2893" w:rsidRPr="00335B20" w:rsidRDefault="007B2893" w:rsidP="00335B20">
      <w:pPr>
        <w:spacing w:after="0" w:line="240" w:lineRule="auto"/>
        <w:jc w:val="both"/>
        <w:rPr>
          <w:rFonts w:ascii="Garamond" w:hAnsi="Garamond"/>
          <w:sz w:val="24"/>
          <w:szCs w:val="24"/>
          <w:u w:val="single"/>
        </w:rPr>
      </w:pPr>
    </w:p>
    <w:p w14:paraId="32BA7798" w14:textId="095B2549" w:rsidR="00C31E02" w:rsidRDefault="00C31E02" w:rsidP="630601EC">
      <w:pPr>
        <w:spacing w:after="0" w:line="240" w:lineRule="auto"/>
        <w:jc w:val="both"/>
        <w:rPr>
          <w:rFonts w:ascii="Garamond" w:hAnsi="Garamond"/>
          <w:sz w:val="24"/>
          <w:szCs w:val="24"/>
        </w:rPr>
      </w:pPr>
      <w:r w:rsidRPr="630601EC">
        <w:rPr>
          <w:rFonts w:ascii="Garamond" w:hAnsi="Garamond"/>
          <w:sz w:val="24"/>
          <w:szCs w:val="24"/>
        </w:rPr>
        <w:t xml:space="preserve">The funeral of Queen Elizabeth II and the coronation of King Charles were as acclaimed in Catholic </w:t>
      </w:r>
      <w:r w:rsidR="00E01EAF" w:rsidRPr="630601EC">
        <w:rPr>
          <w:rFonts w:ascii="Garamond" w:hAnsi="Garamond"/>
          <w:sz w:val="24"/>
          <w:szCs w:val="24"/>
        </w:rPr>
        <w:t>circles</w:t>
      </w:r>
      <w:r w:rsidRPr="630601EC">
        <w:rPr>
          <w:rFonts w:ascii="Garamond" w:hAnsi="Garamond"/>
          <w:sz w:val="24"/>
          <w:szCs w:val="24"/>
        </w:rPr>
        <w:t xml:space="preserve"> as in Protestant/Anglican circles, </w:t>
      </w:r>
      <w:r w:rsidR="00F46841">
        <w:rPr>
          <w:rFonts w:ascii="Garamond" w:hAnsi="Garamond"/>
          <w:sz w:val="24"/>
          <w:szCs w:val="24"/>
        </w:rPr>
        <w:t>indicating that</w:t>
      </w:r>
      <w:r w:rsidRPr="630601EC">
        <w:rPr>
          <w:rFonts w:ascii="Garamond" w:hAnsi="Garamond"/>
          <w:sz w:val="24"/>
          <w:szCs w:val="24"/>
        </w:rPr>
        <w:t xml:space="preserve"> historical tensions rooted in the Reformation have been consigned to history. </w:t>
      </w:r>
      <w:r w:rsidR="005257BA" w:rsidRPr="630601EC">
        <w:rPr>
          <w:rFonts w:ascii="Garamond" w:hAnsi="Garamond"/>
          <w:sz w:val="24"/>
          <w:szCs w:val="24"/>
        </w:rPr>
        <w:t xml:space="preserve">The </w:t>
      </w:r>
      <w:r w:rsidR="00E36244" w:rsidRPr="630601EC">
        <w:rPr>
          <w:rFonts w:ascii="Garamond" w:hAnsi="Garamond"/>
          <w:sz w:val="24"/>
          <w:szCs w:val="24"/>
        </w:rPr>
        <w:t>notion</w:t>
      </w:r>
      <w:r w:rsidR="005257BA" w:rsidRPr="630601EC">
        <w:rPr>
          <w:rFonts w:ascii="Garamond" w:hAnsi="Garamond"/>
          <w:sz w:val="24"/>
          <w:szCs w:val="24"/>
        </w:rPr>
        <w:t xml:space="preserve"> that being Roman Catholic could necessitate misgivings about the British Crown </w:t>
      </w:r>
      <w:r w:rsidR="00E36244" w:rsidRPr="630601EC">
        <w:rPr>
          <w:rFonts w:ascii="Garamond" w:hAnsi="Garamond"/>
          <w:sz w:val="24"/>
          <w:szCs w:val="24"/>
        </w:rPr>
        <w:t xml:space="preserve">is </w:t>
      </w:r>
      <w:r w:rsidR="001D0294" w:rsidRPr="630601EC">
        <w:rPr>
          <w:rFonts w:ascii="Garamond" w:hAnsi="Garamond"/>
          <w:sz w:val="24"/>
          <w:szCs w:val="24"/>
        </w:rPr>
        <w:t>now an</w:t>
      </w:r>
      <w:r w:rsidR="005257BA" w:rsidRPr="630601EC">
        <w:rPr>
          <w:rFonts w:ascii="Garamond" w:hAnsi="Garamond"/>
          <w:sz w:val="24"/>
          <w:szCs w:val="24"/>
        </w:rPr>
        <w:t xml:space="preserve"> antiquated view with little or no purchase in </w:t>
      </w:r>
      <w:r w:rsidR="001E1C9D">
        <w:rPr>
          <w:rFonts w:ascii="Garamond" w:hAnsi="Garamond"/>
          <w:sz w:val="24"/>
          <w:szCs w:val="24"/>
        </w:rPr>
        <w:t xml:space="preserve">contemporary Britain. </w:t>
      </w:r>
      <w:r w:rsidR="00EC6AFD" w:rsidRPr="630601EC">
        <w:rPr>
          <w:rFonts w:ascii="Garamond" w:hAnsi="Garamond"/>
          <w:sz w:val="24"/>
          <w:szCs w:val="24"/>
        </w:rPr>
        <w:t xml:space="preserve">The situation was of course dramatically different </w:t>
      </w:r>
      <w:r w:rsidR="00B31EF4" w:rsidRPr="630601EC">
        <w:rPr>
          <w:rFonts w:ascii="Garamond" w:hAnsi="Garamond"/>
          <w:sz w:val="24"/>
          <w:szCs w:val="24"/>
        </w:rPr>
        <w:t>following the English Reformation</w:t>
      </w:r>
      <w:r w:rsidR="00EC6AFD" w:rsidRPr="630601EC">
        <w:rPr>
          <w:rFonts w:ascii="Garamond" w:hAnsi="Garamond"/>
          <w:sz w:val="24"/>
          <w:szCs w:val="24"/>
        </w:rPr>
        <w:t xml:space="preserve">, </w:t>
      </w:r>
      <w:r w:rsidR="00C45AEE" w:rsidRPr="630601EC">
        <w:rPr>
          <w:rFonts w:ascii="Garamond" w:hAnsi="Garamond"/>
          <w:sz w:val="24"/>
          <w:szCs w:val="24"/>
        </w:rPr>
        <w:t xml:space="preserve">and one figure considered centrally important in changing attitudes among Catholics </w:t>
      </w:r>
      <w:r w:rsidR="001D0294" w:rsidRPr="630601EC">
        <w:rPr>
          <w:rFonts w:ascii="Garamond" w:hAnsi="Garamond"/>
          <w:sz w:val="24"/>
          <w:szCs w:val="24"/>
        </w:rPr>
        <w:t xml:space="preserve">since then </w:t>
      </w:r>
      <w:r w:rsidR="00C45AEE" w:rsidRPr="630601EC">
        <w:rPr>
          <w:rFonts w:ascii="Garamond" w:hAnsi="Garamond"/>
          <w:sz w:val="24"/>
          <w:szCs w:val="24"/>
        </w:rPr>
        <w:t>i</w:t>
      </w:r>
      <w:r w:rsidR="001D0294" w:rsidRPr="630601EC">
        <w:rPr>
          <w:rFonts w:ascii="Garamond" w:hAnsi="Garamond"/>
          <w:sz w:val="24"/>
          <w:szCs w:val="24"/>
        </w:rPr>
        <w:t>s</w:t>
      </w:r>
      <w:r w:rsidR="00C45AEE" w:rsidRPr="630601EC">
        <w:rPr>
          <w:rFonts w:ascii="Garamond" w:hAnsi="Garamond"/>
          <w:sz w:val="24"/>
          <w:szCs w:val="24"/>
        </w:rPr>
        <w:t xml:space="preserve"> John Henry Newman, who was canonised in 2019</w:t>
      </w:r>
      <w:r w:rsidR="001D0294" w:rsidRPr="630601EC">
        <w:rPr>
          <w:rFonts w:ascii="Garamond" w:hAnsi="Garamond"/>
          <w:sz w:val="24"/>
          <w:szCs w:val="24"/>
        </w:rPr>
        <w:t>, thereby</w:t>
      </w:r>
      <w:r w:rsidR="007461E2" w:rsidRPr="630601EC">
        <w:rPr>
          <w:rFonts w:ascii="Garamond" w:hAnsi="Garamond"/>
          <w:sz w:val="24"/>
          <w:szCs w:val="24"/>
        </w:rPr>
        <w:t xml:space="preserve"> becoming the first English saint who lived after the Reformation </w:t>
      </w:r>
      <w:r w:rsidR="007332BA" w:rsidRPr="630601EC">
        <w:rPr>
          <w:rFonts w:ascii="Garamond" w:hAnsi="Garamond"/>
          <w:sz w:val="24"/>
          <w:szCs w:val="24"/>
        </w:rPr>
        <w:t>to be</w:t>
      </w:r>
      <w:r w:rsidR="007461E2" w:rsidRPr="630601EC">
        <w:rPr>
          <w:rFonts w:ascii="Garamond" w:hAnsi="Garamond"/>
          <w:sz w:val="24"/>
          <w:szCs w:val="24"/>
        </w:rPr>
        <w:t xml:space="preserve"> formally recognised by Rome. For many, the speech by the then</w:t>
      </w:r>
      <w:r w:rsidR="00C31024" w:rsidRPr="630601EC">
        <w:rPr>
          <w:rFonts w:ascii="Garamond" w:hAnsi="Garamond"/>
          <w:sz w:val="24"/>
          <w:szCs w:val="24"/>
        </w:rPr>
        <w:t>-</w:t>
      </w:r>
      <w:r w:rsidR="007461E2" w:rsidRPr="630601EC">
        <w:rPr>
          <w:rFonts w:ascii="Garamond" w:hAnsi="Garamond"/>
          <w:sz w:val="24"/>
          <w:szCs w:val="24"/>
        </w:rPr>
        <w:t>Prince Charles</w:t>
      </w:r>
      <w:r w:rsidR="003F49B7" w:rsidRPr="630601EC">
        <w:rPr>
          <w:rFonts w:ascii="Garamond" w:hAnsi="Garamond"/>
          <w:sz w:val="24"/>
          <w:szCs w:val="24"/>
        </w:rPr>
        <w:t>, delivered in Rome</w:t>
      </w:r>
      <w:r w:rsidR="007461E2" w:rsidRPr="630601EC">
        <w:rPr>
          <w:rFonts w:ascii="Garamond" w:hAnsi="Garamond"/>
          <w:sz w:val="24"/>
          <w:szCs w:val="24"/>
        </w:rPr>
        <w:t xml:space="preserve"> on the eve of the </w:t>
      </w:r>
      <w:r w:rsidR="003F49B7" w:rsidRPr="630601EC">
        <w:rPr>
          <w:rFonts w:ascii="Garamond" w:hAnsi="Garamond"/>
          <w:sz w:val="24"/>
          <w:szCs w:val="24"/>
        </w:rPr>
        <w:t xml:space="preserve">canonisation, was emblematic of the deeply harmonious relationship between </w:t>
      </w:r>
      <w:r w:rsidR="00F3587B" w:rsidRPr="630601EC">
        <w:rPr>
          <w:rFonts w:ascii="Garamond" w:hAnsi="Garamond"/>
          <w:sz w:val="24"/>
          <w:szCs w:val="24"/>
        </w:rPr>
        <w:t>the Papal See and the House of Windsor</w:t>
      </w:r>
      <w:r w:rsidR="009B4A77">
        <w:rPr>
          <w:rFonts w:ascii="Garamond" w:hAnsi="Garamond"/>
          <w:sz w:val="24"/>
          <w:szCs w:val="24"/>
        </w:rPr>
        <w:t xml:space="preserve">. </w:t>
      </w:r>
      <w:r w:rsidR="00F3587B" w:rsidRPr="630601EC">
        <w:rPr>
          <w:rFonts w:ascii="Garamond" w:hAnsi="Garamond"/>
          <w:sz w:val="24"/>
          <w:szCs w:val="24"/>
        </w:rPr>
        <w:t xml:space="preserve">Newman’s role in enabling this </w:t>
      </w:r>
      <w:r w:rsidR="001969C4" w:rsidRPr="630601EC">
        <w:rPr>
          <w:rFonts w:ascii="Garamond" w:hAnsi="Garamond"/>
          <w:sz w:val="24"/>
          <w:szCs w:val="24"/>
        </w:rPr>
        <w:t xml:space="preserve">was </w:t>
      </w:r>
      <w:r w:rsidR="00C31024" w:rsidRPr="630601EC">
        <w:rPr>
          <w:rFonts w:ascii="Garamond" w:hAnsi="Garamond"/>
          <w:sz w:val="24"/>
          <w:szCs w:val="24"/>
        </w:rPr>
        <w:t>acknowledged</w:t>
      </w:r>
      <w:r w:rsidR="001969C4" w:rsidRPr="630601EC">
        <w:rPr>
          <w:rFonts w:ascii="Garamond" w:hAnsi="Garamond"/>
          <w:sz w:val="24"/>
          <w:szCs w:val="24"/>
        </w:rPr>
        <w:t xml:space="preserve"> in that speech, which stated that </w:t>
      </w:r>
      <w:r w:rsidR="00802300" w:rsidRPr="630601EC">
        <w:rPr>
          <w:rFonts w:ascii="Garamond" w:hAnsi="Garamond"/>
          <w:sz w:val="24"/>
          <w:szCs w:val="24"/>
        </w:rPr>
        <w:t>Newman’s</w:t>
      </w:r>
      <w:r w:rsidR="001969C4" w:rsidRPr="630601EC">
        <w:rPr>
          <w:rFonts w:ascii="Garamond" w:hAnsi="Garamond"/>
          <w:sz w:val="24"/>
          <w:szCs w:val="24"/>
        </w:rPr>
        <w:t xml:space="preserve"> ‘</w:t>
      </w:r>
      <w:r w:rsidR="00670FE2" w:rsidRPr="630601EC">
        <w:rPr>
          <w:rFonts w:ascii="Garamond" w:hAnsi="Garamond"/>
          <w:sz w:val="24"/>
          <w:szCs w:val="24"/>
        </w:rPr>
        <w:t>leadership’ had led to a situation whereby ‘Catholics became fully part of the wider society, which itself thereby became all the richer as a community of communities’</w:t>
      </w:r>
      <w:r w:rsidR="00666BFB">
        <w:rPr>
          <w:rFonts w:ascii="Garamond" w:hAnsi="Garamond"/>
          <w:sz w:val="24"/>
          <w:szCs w:val="24"/>
        </w:rPr>
        <w:t>.</w:t>
      </w:r>
      <w:r w:rsidR="00A64FE9" w:rsidRPr="630601EC">
        <w:rPr>
          <w:rStyle w:val="FootnoteReference"/>
          <w:rFonts w:ascii="Garamond" w:hAnsi="Garamond"/>
          <w:sz w:val="24"/>
          <w:szCs w:val="24"/>
        </w:rPr>
        <w:footnoteReference w:id="1"/>
      </w:r>
      <w:r w:rsidR="00B74D64" w:rsidRPr="630601EC">
        <w:rPr>
          <w:rFonts w:ascii="Garamond" w:hAnsi="Garamond"/>
          <w:sz w:val="24"/>
          <w:szCs w:val="24"/>
        </w:rPr>
        <w:t xml:space="preserve"> </w:t>
      </w:r>
      <w:r w:rsidR="00670FE2" w:rsidRPr="630601EC">
        <w:rPr>
          <w:rFonts w:ascii="Garamond" w:hAnsi="Garamond"/>
          <w:sz w:val="24"/>
          <w:szCs w:val="24"/>
        </w:rPr>
        <w:t xml:space="preserve">  </w:t>
      </w:r>
      <w:r w:rsidR="001E4C6C" w:rsidRPr="630601EC">
        <w:rPr>
          <w:rFonts w:ascii="Garamond" w:hAnsi="Garamond"/>
          <w:sz w:val="24"/>
          <w:szCs w:val="24"/>
        </w:rPr>
        <w:t xml:space="preserve"> </w:t>
      </w:r>
    </w:p>
    <w:p w14:paraId="7FFBF958" w14:textId="77777777" w:rsidR="00C31E02" w:rsidRDefault="00C31E02" w:rsidP="00335B20">
      <w:pPr>
        <w:spacing w:after="0" w:line="240" w:lineRule="auto"/>
        <w:jc w:val="both"/>
        <w:rPr>
          <w:rFonts w:ascii="Garamond" w:hAnsi="Garamond"/>
          <w:bCs/>
          <w:sz w:val="24"/>
          <w:szCs w:val="24"/>
        </w:rPr>
      </w:pPr>
    </w:p>
    <w:p w14:paraId="3B97A7A4" w14:textId="7FA40511" w:rsidR="00C07412" w:rsidRDefault="00503F0E" w:rsidP="00335B20">
      <w:pPr>
        <w:spacing w:after="0" w:line="240" w:lineRule="auto"/>
        <w:jc w:val="both"/>
        <w:rPr>
          <w:rFonts w:ascii="Garamond" w:eastAsia="Calibri" w:hAnsi="Garamond" w:cs="Times New Roman"/>
          <w:sz w:val="24"/>
          <w:szCs w:val="24"/>
        </w:rPr>
      </w:pPr>
      <w:r w:rsidRPr="004F3E2F">
        <w:rPr>
          <w:rFonts w:ascii="Garamond" w:hAnsi="Garamond"/>
          <w:sz w:val="24"/>
          <w:szCs w:val="24"/>
        </w:rPr>
        <w:t>To call Britain ‘a community of communities’ highlights</w:t>
      </w:r>
      <w:r w:rsidR="00962A25">
        <w:rPr>
          <w:rFonts w:ascii="Garamond" w:hAnsi="Garamond"/>
          <w:sz w:val="24"/>
          <w:szCs w:val="24"/>
        </w:rPr>
        <w:t xml:space="preserve"> its</w:t>
      </w:r>
      <w:r w:rsidRPr="004F3E2F">
        <w:rPr>
          <w:rFonts w:ascii="Garamond" w:hAnsi="Garamond"/>
          <w:sz w:val="24"/>
          <w:szCs w:val="24"/>
        </w:rPr>
        <w:t xml:space="preserve"> religious</w:t>
      </w:r>
      <w:r w:rsidR="00B21A0C" w:rsidRPr="004F3E2F">
        <w:rPr>
          <w:rFonts w:ascii="Garamond" w:hAnsi="Garamond"/>
          <w:sz w:val="24"/>
          <w:szCs w:val="24"/>
        </w:rPr>
        <w:t>ly</w:t>
      </w:r>
      <w:r w:rsidRPr="004F3E2F">
        <w:rPr>
          <w:rFonts w:ascii="Garamond" w:hAnsi="Garamond"/>
          <w:sz w:val="24"/>
          <w:szCs w:val="24"/>
        </w:rPr>
        <w:t xml:space="preserve"> plural nature</w:t>
      </w:r>
      <w:r w:rsidR="00962A25">
        <w:rPr>
          <w:rFonts w:ascii="Garamond" w:hAnsi="Garamond"/>
          <w:sz w:val="24"/>
          <w:szCs w:val="24"/>
        </w:rPr>
        <w:t xml:space="preserve">. </w:t>
      </w:r>
      <w:r w:rsidR="00B21A0C" w:rsidRPr="004F3E2F">
        <w:rPr>
          <w:rFonts w:ascii="Garamond" w:hAnsi="Garamond"/>
          <w:sz w:val="24"/>
          <w:szCs w:val="24"/>
        </w:rPr>
        <w:t xml:space="preserve">This relates to the </w:t>
      </w:r>
      <w:r w:rsidR="00584842" w:rsidRPr="004F3E2F">
        <w:rPr>
          <w:rFonts w:ascii="Garamond" w:hAnsi="Garamond"/>
          <w:sz w:val="24"/>
          <w:szCs w:val="24"/>
        </w:rPr>
        <w:t xml:space="preserve">most obvious theoretical </w:t>
      </w:r>
      <w:r w:rsidR="002C65D6">
        <w:rPr>
          <w:rFonts w:ascii="Garamond" w:hAnsi="Garamond"/>
          <w:sz w:val="24"/>
          <w:szCs w:val="24"/>
        </w:rPr>
        <w:t xml:space="preserve">ground for how it </w:t>
      </w:r>
      <w:r w:rsidR="00584842" w:rsidRPr="004F3E2F">
        <w:rPr>
          <w:rFonts w:ascii="Garamond" w:hAnsi="Garamond"/>
          <w:sz w:val="24"/>
          <w:szCs w:val="24"/>
        </w:rPr>
        <w:t xml:space="preserve">came to be </w:t>
      </w:r>
      <w:r w:rsidR="00E71812">
        <w:rPr>
          <w:rFonts w:ascii="Garamond" w:hAnsi="Garamond"/>
          <w:sz w:val="24"/>
          <w:szCs w:val="24"/>
        </w:rPr>
        <w:t>that such</w:t>
      </w:r>
      <w:r w:rsidR="00D75BE3" w:rsidRPr="004F3E2F">
        <w:rPr>
          <w:rFonts w:ascii="Garamond" w:hAnsi="Garamond"/>
          <w:sz w:val="24"/>
          <w:szCs w:val="24"/>
        </w:rPr>
        <w:t xml:space="preserve"> a contentious and bloody history could evaporate so entirely. </w:t>
      </w:r>
      <w:r w:rsidR="00FC22C1" w:rsidRPr="004F3E2F">
        <w:rPr>
          <w:rFonts w:ascii="Garamond" w:hAnsi="Garamond"/>
          <w:sz w:val="24"/>
          <w:szCs w:val="24"/>
        </w:rPr>
        <w:t xml:space="preserve">Religious freedom is a Catholic theological principle fully codified in the document </w:t>
      </w:r>
      <w:r w:rsidR="00FC22C1" w:rsidRPr="004F3E2F">
        <w:rPr>
          <w:rFonts w:ascii="Garamond" w:hAnsi="Garamond"/>
          <w:i/>
          <w:iCs/>
          <w:sz w:val="24"/>
          <w:szCs w:val="24"/>
        </w:rPr>
        <w:t>Dignitatis Humanae</w:t>
      </w:r>
      <w:r w:rsidR="00DB4971" w:rsidRPr="004F3E2F">
        <w:rPr>
          <w:rFonts w:ascii="Garamond" w:hAnsi="Garamond"/>
          <w:sz w:val="24"/>
          <w:szCs w:val="24"/>
        </w:rPr>
        <w:t xml:space="preserve">, as involving </w:t>
      </w:r>
      <w:r w:rsidR="00B24397" w:rsidRPr="004F3E2F">
        <w:rPr>
          <w:rFonts w:ascii="Garamond" w:hAnsi="Garamond"/>
          <w:sz w:val="24"/>
          <w:szCs w:val="24"/>
        </w:rPr>
        <w:t>what Pope St John XXIII describe</w:t>
      </w:r>
      <w:r w:rsidR="00E71812">
        <w:rPr>
          <w:rFonts w:ascii="Garamond" w:hAnsi="Garamond"/>
          <w:sz w:val="24"/>
          <w:szCs w:val="24"/>
        </w:rPr>
        <w:t>s</w:t>
      </w:r>
      <w:r w:rsidR="00B24397" w:rsidRPr="004F3E2F">
        <w:rPr>
          <w:rFonts w:ascii="Garamond" w:hAnsi="Garamond"/>
          <w:sz w:val="24"/>
          <w:szCs w:val="24"/>
        </w:rPr>
        <w:t xml:space="preserve"> as a fundamental human right: </w:t>
      </w:r>
      <w:r w:rsidR="00B24397" w:rsidRPr="004F3E2F">
        <w:rPr>
          <w:rFonts w:ascii="Garamond" w:eastAsia="Calibri" w:hAnsi="Garamond" w:cs="Times New Roman"/>
          <w:sz w:val="24"/>
          <w:szCs w:val="24"/>
        </w:rPr>
        <w:t xml:space="preserve">that each human person </w:t>
      </w:r>
      <w:r w:rsidR="0005293E" w:rsidRPr="004F3E2F">
        <w:rPr>
          <w:rFonts w:ascii="Garamond" w:eastAsia="Calibri" w:hAnsi="Garamond" w:cs="Times New Roman"/>
          <w:sz w:val="24"/>
          <w:szCs w:val="24"/>
        </w:rPr>
        <w:t>must be ‘</w:t>
      </w:r>
      <w:r w:rsidR="00B24397" w:rsidRPr="004F3E2F">
        <w:rPr>
          <w:rFonts w:ascii="Garamond" w:eastAsia="Calibri" w:hAnsi="Garamond" w:cs="Times New Roman"/>
          <w:sz w:val="24"/>
          <w:szCs w:val="24"/>
        </w:rPr>
        <w:t>able to worship God in accordance</w:t>
      </w:r>
      <w:r w:rsidR="0005293E" w:rsidRPr="004F3E2F">
        <w:rPr>
          <w:rFonts w:ascii="Garamond" w:eastAsia="Calibri" w:hAnsi="Garamond" w:cs="Times New Roman"/>
          <w:sz w:val="24"/>
          <w:szCs w:val="24"/>
        </w:rPr>
        <w:t>’</w:t>
      </w:r>
      <w:r w:rsidR="00B24397" w:rsidRPr="004F3E2F">
        <w:rPr>
          <w:rFonts w:ascii="Garamond" w:eastAsia="Calibri" w:hAnsi="Garamond" w:cs="Times New Roman"/>
          <w:sz w:val="24"/>
          <w:szCs w:val="24"/>
        </w:rPr>
        <w:t xml:space="preserve"> with the </w:t>
      </w:r>
      <w:r w:rsidR="0005293E" w:rsidRPr="004F3E2F">
        <w:rPr>
          <w:rFonts w:ascii="Garamond" w:eastAsia="Calibri" w:hAnsi="Garamond" w:cs="Times New Roman"/>
          <w:sz w:val="24"/>
          <w:szCs w:val="24"/>
        </w:rPr>
        <w:t>‘</w:t>
      </w:r>
      <w:r w:rsidR="00B24397" w:rsidRPr="004F3E2F">
        <w:rPr>
          <w:rFonts w:ascii="Garamond" w:eastAsia="Calibri" w:hAnsi="Garamond" w:cs="Times New Roman"/>
          <w:sz w:val="24"/>
          <w:szCs w:val="24"/>
        </w:rPr>
        <w:t>right dictates</w:t>
      </w:r>
      <w:r w:rsidR="0005293E" w:rsidRPr="004F3E2F">
        <w:rPr>
          <w:rFonts w:ascii="Garamond" w:eastAsia="Calibri" w:hAnsi="Garamond" w:cs="Times New Roman"/>
          <w:sz w:val="24"/>
          <w:szCs w:val="24"/>
        </w:rPr>
        <w:t>’</w:t>
      </w:r>
      <w:r w:rsidR="00B24397" w:rsidRPr="004F3E2F">
        <w:rPr>
          <w:rFonts w:ascii="Garamond" w:eastAsia="Calibri" w:hAnsi="Garamond" w:cs="Times New Roman"/>
          <w:sz w:val="24"/>
          <w:szCs w:val="24"/>
        </w:rPr>
        <w:t xml:space="preserve"> of his</w:t>
      </w:r>
      <w:r w:rsidR="0005293E" w:rsidRPr="004F3E2F">
        <w:rPr>
          <w:rFonts w:ascii="Garamond" w:eastAsia="Calibri" w:hAnsi="Garamond" w:cs="Times New Roman"/>
          <w:sz w:val="24"/>
          <w:szCs w:val="24"/>
        </w:rPr>
        <w:t xml:space="preserve"> or her ‘o</w:t>
      </w:r>
      <w:r w:rsidR="00B24397" w:rsidRPr="004F3E2F">
        <w:rPr>
          <w:rFonts w:ascii="Garamond" w:eastAsia="Calibri" w:hAnsi="Garamond" w:cs="Times New Roman"/>
          <w:sz w:val="24"/>
          <w:szCs w:val="24"/>
        </w:rPr>
        <w:t>wn conscience</w:t>
      </w:r>
      <w:r w:rsidR="0005293E" w:rsidRPr="004F3E2F">
        <w:rPr>
          <w:rFonts w:ascii="Garamond" w:eastAsia="Calibri" w:hAnsi="Garamond" w:cs="Times New Roman"/>
          <w:sz w:val="24"/>
          <w:szCs w:val="24"/>
        </w:rPr>
        <w:t xml:space="preserve">’ </w:t>
      </w:r>
      <w:r w:rsidR="00B24397" w:rsidRPr="004F3E2F">
        <w:rPr>
          <w:rFonts w:ascii="Garamond" w:eastAsia="Calibri" w:hAnsi="Garamond" w:cs="Times New Roman"/>
          <w:sz w:val="24"/>
          <w:szCs w:val="24"/>
        </w:rPr>
        <w:t xml:space="preserve">and to profess his </w:t>
      </w:r>
      <w:r w:rsidR="0005293E" w:rsidRPr="004F3E2F">
        <w:rPr>
          <w:rFonts w:ascii="Garamond" w:eastAsia="Calibri" w:hAnsi="Garamond" w:cs="Times New Roman"/>
          <w:sz w:val="24"/>
          <w:szCs w:val="24"/>
        </w:rPr>
        <w:t>or her ‘</w:t>
      </w:r>
      <w:r w:rsidR="00B24397" w:rsidRPr="004F3E2F">
        <w:rPr>
          <w:rFonts w:ascii="Garamond" w:eastAsia="Calibri" w:hAnsi="Garamond" w:cs="Times New Roman"/>
          <w:sz w:val="24"/>
          <w:szCs w:val="24"/>
        </w:rPr>
        <w:t xml:space="preserve">religion both in </w:t>
      </w:r>
      <w:r w:rsidR="00B24397" w:rsidRPr="004F3E2F">
        <w:rPr>
          <w:rFonts w:ascii="Garamond" w:eastAsia="Calibri" w:hAnsi="Garamond" w:cs="Times New Roman"/>
          <w:sz w:val="24"/>
          <w:szCs w:val="24"/>
        </w:rPr>
        <w:lastRenderedPageBreak/>
        <w:t>private and in public’</w:t>
      </w:r>
      <w:r w:rsidR="000E56DD">
        <w:rPr>
          <w:rFonts w:ascii="Garamond" w:eastAsia="Calibri" w:hAnsi="Garamond" w:cs="Times New Roman"/>
          <w:sz w:val="24"/>
          <w:szCs w:val="24"/>
        </w:rPr>
        <w:t>.</w:t>
      </w:r>
      <w:r w:rsidR="00B54605">
        <w:rPr>
          <w:rStyle w:val="FootnoteReference"/>
          <w:rFonts w:ascii="Garamond" w:eastAsia="Calibri" w:hAnsi="Garamond" w:cs="Times New Roman"/>
          <w:sz w:val="24"/>
          <w:szCs w:val="24"/>
        </w:rPr>
        <w:footnoteReference w:id="2"/>
      </w:r>
      <w:r w:rsidR="000E56DD">
        <w:rPr>
          <w:rFonts w:ascii="Garamond" w:eastAsia="Calibri" w:hAnsi="Garamond" w:cs="Times New Roman"/>
          <w:sz w:val="24"/>
          <w:szCs w:val="24"/>
        </w:rPr>
        <w:t xml:space="preserve"> </w:t>
      </w:r>
      <w:r w:rsidR="00D53BE6" w:rsidRPr="004F3E2F">
        <w:rPr>
          <w:rFonts w:ascii="Garamond" w:eastAsia="Calibri" w:hAnsi="Garamond" w:cs="Times New Roman"/>
          <w:sz w:val="24"/>
          <w:szCs w:val="24"/>
        </w:rPr>
        <w:t xml:space="preserve">The commitment to this basic principle is equally shared by the British Constitution, </w:t>
      </w:r>
      <w:r w:rsidR="001809AE" w:rsidRPr="004F3E2F">
        <w:rPr>
          <w:rFonts w:ascii="Garamond" w:eastAsia="Calibri" w:hAnsi="Garamond" w:cs="Times New Roman"/>
          <w:sz w:val="24"/>
          <w:szCs w:val="24"/>
        </w:rPr>
        <w:t xml:space="preserve">and thus </w:t>
      </w:r>
      <w:r w:rsidR="008430EF" w:rsidRPr="004F3E2F">
        <w:rPr>
          <w:rFonts w:ascii="Garamond" w:eastAsia="Calibri" w:hAnsi="Garamond" w:cs="Times New Roman"/>
          <w:sz w:val="24"/>
          <w:szCs w:val="24"/>
        </w:rPr>
        <w:t>both defended and celebrated by the Crown – being guaranteed under international law within the International Covenant on Civil and Political Rights (ICCPR) since 1966, and Article 18 of the UN Universal Declaration of Human Rights, adopted in 1948, which states that ‘everyone has the right to freedom of thought, conscience and religion’.</w:t>
      </w:r>
      <w:r w:rsidR="008430EF" w:rsidRPr="004F3E2F">
        <w:rPr>
          <w:rStyle w:val="FootnoteReference"/>
          <w:rFonts w:ascii="Garamond" w:eastAsia="Calibri" w:hAnsi="Garamond" w:cs="Times New Roman"/>
          <w:sz w:val="24"/>
          <w:szCs w:val="24"/>
        </w:rPr>
        <w:footnoteReference w:id="3"/>
      </w:r>
      <w:r w:rsidR="001D3B98" w:rsidRPr="004F3E2F">
        <w:rPr>
          <w:rFonts w:ascii="Garamond" w:eastAsia="Calibri" w:hAnsi="Garamond" w:cs="Times New Roman"/>
          <w:sz w:val="24"/>
          <w:szCs w:val="24"/>
        </w:rPr>
        <w:t xml:space="preserve"> Given this obvious shared concern</w:t>
      </w:r>
      <w:r w:rsidR="003A2C04" w:rsidRPr="004F3E2F">
        <w:rPr>
          <w:rFonts w:ascii="Garamond" w:eastAsia="Calibri" w:hAnsi="Garamond" w:cs="Times New Roman"/>
          <w:sz w:val="24"/>
          <w:szCs w:val="24"/>
        </w:rPr>
        <w:t>, it is understandable that the commentator Catherine Pepinster has argued that</w:t>
      </w:r>
      <w:r w:rsidR="004F3E2F">
        <w:rPr>
          <w:rFonts w:ascii="Garamond" w:eastAsia="Calibri" w:hAnsi="Garamond" w:cs="Times New Roman"/>
          <w:sz w:val="24"/>
          <w:szCs w:val="24"/>
        </w:rPr>
        <w:t xml:space="preserve"> Catholic </w:t>
      </w:r>
      <w:r w:rsidR="00DC7F56">
        <w:rPr>
          <w:rFonts w:ascii="Garamond" w:eastAsia="Calibri" w:hAnsi="Garamond" w:cs="Times New Roman"/>
          <w:sz w:val="24"/>
          <w:szCs w:val="24"/>
        </w:rPr>
        <w:t xml:space="preserve">participation in the life of the British monarchy would be further extended by </w:t>
      </w:r>
      <w:r w:rsidR="00B1193F">
        <w:rPr>
          <w:rFonts w:ascii="Garamond" w:eastAsia="Calibri" w:hAnsi="Garamond" w:cs="Times New Roman"/>
          <w:sz w:val="24"/>
          <w:szCs w:val="24"/>
        </w:rPr>
        <w:t xml:space="preserve">lessening the more overtly Protestant elements of the institution, </w:t>
      </w:r>
      <w:r w:rsidR="00031964">
        <w:rPr>
          <w:rFonts w:ascii="Garamond" w:eastAsia="Calibri" w:hAnsi="Garamond" w:cs="Times New Roman"/>
          <w:sz w:val="24"/>
          <w:szCs w:val="24"/>
        </w:rPr>
        <w:t xml:space="preserve">which would in turn, </w:t>
      </w:r>
      <w:r w:rsidR="006177AD">
        <w:rPr>
          <w:rFonts w:ascii="Garamond" w:eastAsia="Calibri" w:hAnsi="Garamond" w:cs="Times New Roman"/>
          <w:sz w:val="24"/>
          <w:szCs w:val="24"/>
        </w:rPr>
        <w:t>says Pepinster</w:t>
      </w:r>
      <w:r w:rsidR="00031964">
        <w:rPr>
          <w:rFonts w:ascii="Garamond" w:eastAsia="Calibri" w:hAnsi="Garamond" w:cs="Times New Roman"/>
          <w:sz w:val="24"/>
          <w:szCs w:val="24"/>
        </w:rPr>
        <w:t xml:space="preserve">, enable </w:t>
      </w:r>
      <w:r w:rsidR="0034467A">
        <w:rPr>
          <w:rFonts w:ascii="Garamond" w:eastAsia="Calibri" w:hAnsi="Garamond" w:cs="Times New Roman"/>
          <w:sz w:val="24"/>
          <w:szCs w:val="24"/>
        </w:rPr>
        <w:t xml:space="preserve">a fuller participation for other non-Protestant </w:t>
      </w:r>
      <w:r w:rsidR="00B16413">
        <w:rPr>
          <w:rFonts w:ascii="Garamond" w:eastAsia="Calibri" w:hAnsi="Garamond" w:cs="Times New Roman"/>
          <w:sz w:val="24"/>
          <w:szCs w:val="24"/>
        </w:rPr>
        <w:t>communities of faith, be they Jewish, Muslim, Hindu, Buddhist, or indeed Catholic.</w:t>
      </w:r>
      <w:r w:rsidR="005D054C">
        <w:rPr>
          <w:rStyle w:val="FootnoteReference"/>
          <w:rFonts w:ascii="Garamond" w:eastAsia="Calibri" w:hAnsi="Garamond" w:cs="Times New Roman"/>
          <w:sz w:val="24"/>
          <w:szCs w:val="24"/>
        </w:rPr>
        <w:footnoteReference w:id="4"/>
      </w:r>
      <w:r w:rsidR="00B16413">
        <w:rPr>
          <w:rFonts w:ascii="Garamond" w:eastAsia="Calibri" w:hAnsi="Garamond" w:cs="Times New Roman"/>
          <w:sz w:val="24"/>
          <w:szCs w:val="24"/>
        </w:rPr>
        <w:t xml:space="preserve"> </w:t>
      </w:r>
    </w:p>
    <w:p w14:paraId="6C662F45" w14:textId="77777777" w:rsidR="00876379" w:rsidRDefault="00876379" w:rsidP="00335B20">
      <w:pPr>
        <w:spacing w:after="0" w:line="240" w:lineRule="auto"/>
        <w:jc w:val="both"/>
        <w:rPr>
          <w:rFonts w:ascii="Garamond" w:eastAsia="Calibri" w:hAnsi="Garamond" w:cs="Times New Roman"/>
          <w:sz w:val="24"/>
          <w:szCs w:val="24"/>
        </w:rPr>
      </w:pPr>
    </w:p>
    <w:p w14:paraId="62624C39" w14:textId="1FBA08F8" w:rsidR="00750B0F" w:rsidRDefault="00A8309A" w:rsidP="00876379">
      <w:pPr>
        <w:spacing w:after="0" w:line="240" w:lineRule="auto"/>
        <w:jc w:val="both"/>
        <w:rPr>
          <w:rFonts w:ascii="Garamond" w:hAnsi="Garamond"/>
          <w:sz w:val="24"/>
          <w:szCs w:val="24"/>
        </w:rPr>
      </w:pPr>
      <w:r>
        <w:rPr>
          <w:rFonts w:ascii="Garamond" w:eastAsia="Calibri" w:hAnsi="Garamond" w:cs="Times New Roman"/>
          <w:sz w:val="24"/>
          <w:szCs w:val="24"/>
        </w:rPr>
        <w:t>Criticisms of the monarchy are therefore today very unlikely to be religiously motivated</w:t>
      </w:r>
      <w:r w:rsidR="005A3772">
        <w:rPr>
          <w:rFonts w:ascii="Garamond" w:eastAsia="Calibri" w:hAnsi="Garamond" w:cs="Times New Roman"/>
          <w:sz w:val="24"/>
          <w:szCs w:val="24"/>
        </w:rPr>
        <w:t>, but are rather closely allied to the ideology of secularism. Such criticisms argue that</w:t>
      </w:r>
      <w:r w:rsidR="00876379" w:rsidRPr="00876379">
        <w:rPr>
          <w:rFonts w:ascii="Garamond" w:hAnsi="Garamond"/>
          <w:sz w:val="24"/>
          <w:szCs w:val="24"/>
        </w:rPr>
        <w:t xml:space="preserve"> monarchy i</w:t>
      </w:r>
      <w:r w:rsidR="00001138">
        <w:rPr>
          <w:rFonts w:ascii="Garamond" w:hAnsi="Garamond"/>
          <w:sz w:val="24"/>
          <w:szCs w:val="24"/>
        </w:rPr>
        <w:t>tself</w:t>
      </w:r>
      <w:r w:rsidR="00876379" w:rsidRPr="00876379">
        <w:rPr>
          <w:rFonts w:ascii="Garamond" w:hAnsi="Garamond"/>
          <w:sz w:val="24"/>
          <w:szCs w:val="24"/>
        </w:rPr>
        <w:t xml:space="preserve"> </w:t>
      </w:r>
      <w:r w:rsidR="00001138">
        <w:rPr>
          <w:rFonts w:ascii="Garamond" w:hAnsi="Garamond"/>
          <w:sz w:val="24"/>
          <w:szCs w:val="24"/>
        </w:rPr>
        <w:t xml:space="preserve">is </w:t>
      </w:r>
      <w:r w:rsidR="00876379" w:rsidRPr="00876379">
        <w:rPr>
          <w:rFonts w:ascii="Garamond" w:hAnsi="Garamond"/>
          <w:sz w:val="24"/>
          <w:szCs w:val="24"/>
        </w:rPr>
        <w:t xml:space="preserve">woefully </w:t>
      </w:r>
      <w:r w:rsidR="00001138">
        <w:rPr>
          <w:rFonts w:ascii="Garamond" w:hAnsi="Garamond"/>
          <w:sz w:val="24"/>
          <w:szCs w:val="24"/>
        </w:rPr>
        <w:t xml:space="preserve">antiquated, </w:t>
      </w:r>
      <w:r w:rsidR="00876379" w:rsidRPr="00876379">
        <w:rPr>
          <w:rFonts w:ascii="Garamond" w:hAnsi="Garamond"/>
          <w:sz w:val="24"/>
          <w:szCs w:val="24"/>
        </w:rPr>
        <w:t>that hereditary succession is unjust</w:t>
      </w:r>
      <w:r w:rsidR="00826EEB">
        <w:rPr>
          <w:rFonts w:ascii="Garamond" w:hAnsi="Garamond"/>
          <w:sz w:val="24"/>
          <w:szCs w:val="24"/>
        </w:rPr>
        <w:t xml:space="preserve"> and unmeritorious</w:t>
      </w:r>
      <w:r w:rsidR="00876379" w:rsidRPr="00876379">
        <w:rPr>
          <w:rFonts w:ascii="Garamond" w:hAnsi="Garamond"/>
          <w:sz w:val="24"/>
          <w:szCs w:val="24"/>
        </w:rPr>
        <w:t>, that the institution</w:t>
      </w:r>
      <w:r w:rsidR="00826EEB">
        <w:rPr>
          <w:rFonts w:ascii="Garamond" w:hAnsi="Garamond"/>
          <w:sz w:val="24"/>
          <w:szCs w:val="24"/>
        </w:rPr>
        <w:t xml:space="preserve"> enjoys </w:t>
      </w:r>
      <w:r w:rsidR="00B96D1A">
        <w:rPr>
          <w:rFonts w:ascii="Garamond" w:hAnsi="Garamond"/>
          <w:sz w:val="24"/>
          <w:szCs w:val="24"/>
        </w:rPr>
        <w:t>unacceptable</w:t>
      </w:r>
      <w:r w:rsidR="00876379" w:rsidRPr="00876379">
        <w:rPr>
          <w:rFonts w:ascii="Garamond" w:hAnsi="Garamond"/>
          <w:sz w:val="24"/>
          <w:szCs w:val="24"/>
        </w:rPr>
        <w:t xml:space="preserve"> </w:t>
      </w:r>
      <w:r w:rsidR="00826EEB">
        <w:rPr>
          <w:rFonts w:ascii="Garamond" w:hAnsi="Garamond"/>
          <w:sz w:val="24"/>
          <w:szCs w:val="24"/>
        </w:rPr>
        <w:t xml:space="preserve">material and political </w:t>
      </w:r>
      <w:r w:rsidR="00876379" w:rsidRPr="00876379">
        <w:rPr>
          <w:rFonts w:ascii="Garamond" w:hAnsi="Garamond"/>
          <w:sz w:val="24"/>
          <w:szCs w:val="24"/>
        </w:rPr>
        <w:t xml:space="preserve">privilege, and </w:t>
      </w:r>
      <w:r w:rsidR="00826EEB">
        <w:rPr>
          <w:rFonts w:ascii="Garamond" w:hAnsi="Garamond"/>
          <w:sz w:val="24"/>
          <w:szCs w:val="24"/>
        </w:rPr>
        <w:t xml:space="preserve">exhibits </w:t>
      </w:r>
      <w:r w:rsidR="00876379" w:rsidRPr="00876379">
        <w:rPr>
          <w:rFonts w:ascii="Garamond" w:hAnsi="Garamond"/>
          <w:sz w:val="24"/>
          <w:szCs w:val="24"/>
        </w:rPr>
        <w:t xml:space="preserve">a </w:t>
      </w:r>
      <w:r w:rsidR="00826EEB">
        <w:rPr>
          <w:rFonts w:ascii="Garamond" w:hAnsi="Garamond"/>
          <w:sz w:val="24"/>
          <w:szCs w:val="24"/>
        </w:rPr>
        <w:t xml:space="preserve">highly </w:t>
      </w:r>
      <w:r w:rsidR="00876379" w:rsidRPr="00876379">
        <w:rPr>
          <w:rFonts w:ascii="Garamond" w:hAnsi="Garamond"/>
          <w:sz w:val="24"/>
          <w:szCs w:val="24"/>
        </w:rPr>
        <w:t>questionable history</w:t>
      </w:r>
      <w:r w:rsidR="00E81D2F">
        <w:rPr>
          <w:rFonts w:ascii="Garamond" w:hAnsi="Garamond"/>
          <w:sz w:val="24"/>
          <w:szCs w:val="24"/>
        </w:rPr>
        <w:t xml:space="preserve"> when it comes to British colonialism</w:t>
      </w:r>
      <w:r w:rsidR="00FA3BBA">
        <w:rPr>
          <w:rFonts w:ascii="Garamond" w:hAnsi="Garamond"/>
          <w:sz w:val="24"/>
          <w:szCs w:val="24"/>
        </w:rPr>
        <w:t xml:space="preserve">. Proponents of such views </w:t>
      </w:r>
      <w:r w:rsidR="00B659B6">
        <w:rPr>
          <w:rFonts w:ascii="Garamond" w:hAnsi="Garamond"/>
          <w:sz w:val="24"/>
          <w:szCs w:val="24"/>
        </w:rPr>
        <w:t xml:space="preserve">hold that </w:t>
      </w:r>
      <w:r w:rsidR="00876379" w:rsidRPr="00876379">
        <w:rPr>
          <w:rFonts w:ascii="Garamond" w:hAnsi="Garamond"/>
          <w:sz w:val="24"/>
          <w:szCs w:val="24"/>
        </w:rPr>
        <w:t xml:space="preserve">the long-term outlook for </w:t>
      </w:r>
      <w:r w:rsidR="00B659B6">
        <w:rPr>
          <w:rFonts w:ascii="Garamond" w:hAnsi="Garamond"/>
          <w:sz w:val="24"/>
          <w:szCs w:val="24"/>
        </w:rPr>
        <w:t xml:space="preserve">the monarchy is (or should be) therefore </w:t>
      </w:r>
      <w:r w:rsidR="00876379" w:rsidRPr="00876379">
        <w:rPr>
          <w:rFonts w:ascii="Garamond" w:hAnsi="Garamond"/>
          <w:sz w:val="24"/>
          <w:szCs w:val="24"/>
        </w:rPr>
        <w:t>highly uncertain</w:t>
      </w:r>
      <w:r w:rsidR="00750B0F">
        <w:rPr>
          <w:rFonts w:ascii="Garamond" w:hAnsi="Garamond"/>
          <w:sz w:val="24"/>
          <w:szCs w:val="24"/>
        </w:rPr>
        <w:t xml:space="preserve">. </w:t>
      </w:r>
      <w:r w:rsidR="00E81D2F">
        <w:rPr>
          <w:rFonts w:ascii="Garamond" w:hAnsi="Garamond"/>
          <w:sz w:val="24"/>
          <w:szCs w:val="24"/>
        </w:rPr>
        <w:t>T</w:t>
      </w:r>
      <w:r w:rsidR="00750B0F">
        <w:rPr>
          <w:rFonts w:ascii="Garamond" w:hAnsi="Garamond"/>
          <w:sz w:val="24"/>
          <w:szCs w:val="24"/>
        </w:rPr>
        <w:t xml:space="preserve">he </w:t>
      </w:r>
      <w:r w:rsidR="00B96D1A">
        <w:rPr>
          <w:rFonts w:ascii="Garamond" w:hAnsi="Garamond"/>
          <w:sz w:val="24"/>
          <w:szCs w:val="24"/>
        </w:rPr>
        <w:t xml:space="preserve">Anglicanism </w:t>
      </w:r>
      <w:r w:rsidR="00750B0F">
        <w:rPr>
          <w:rFonts w:ascii="Garamond" w:hAnsi="Garamond"/>
          <w:sz w:val="24"/>
          <w:szCs w:val="24"/>
        </w:rPr>
        <w:t xml:space="preserve">of the </w:t>
      </w:r>
      <w:r w:rsidR="00E81D2F">
        <w:rPr>
          <w:rFonts w:ascii="Garamond" w:hAnsi="Garamond"/>
          <w:sz w:val="24"/>
          <w:szCs w:val="24"/>
        </w:rPr>
        <w:t xml:space="preserve">monarchy is </w:t>
      </w:r>
      <w:r w:rsidR="00951DFC">
        <w:rPr>
          <w:rFonts w:ascii="Garamond" w:hAnsi="Garamond"/>
          <w:sz w:val="24"/>
          <w:szCs w:val="24"/>
        </w:rPr>
        <w:t>often central to such</w:t>
      </w:r>
      <w:r w:rsidR="00750B0F">
        <w:rPr>
          <w:rFonts w:ascii="Garamond" w:hAnsi="Garamond"/>
          <w:sz w:val="24"/>
          <w:szCs w:val="24"/>
        </w:rPr>
        <w:t xml:space="preserve"> critique</w:t>
      </w:r>
      <w:r w:rsidR="00951DFC">
        <w:rPr>
          <w:rFonts w:ascii="Garamond" w:hAnsi="Garamond"/>
          <w:sz w:val="24"/>
          <w:szCs w:val="24"/>
        </w:rPr>
        <w:t>s</w:t>
      </w:r>
      <w:r w:rsidR="00750B0F">
        <w:rPr>
          <w:rFonts w:ascii="Garamond" w:hAnsi="Garamond"/>
          <w:sz w:val="24"/>
          <w:szCs w:val="24"/>
        </w:rPr>
        <w:t xml:space="preserve">, </w:t>
      </w:r>
      <w:r w:rsidR="00951DFC">
        <w:rPr>
          <w:rFonts w:ascii="Garamond" w:hAnsi="Garamond"/>
          <w:sz w:val="24"/>
          <w:szCs w:val="24"/>
        </w:rPr>
        <w:t>a</w:t>
      </w:r>
      <w:r w:rsidR="0076591B">
        <w:rPr>
          <w:rFonts w:ascii="Garamond" w:hAnsi="Garamond"/>
          <w:sz w:val="24"/>
          <w:szCs w:val="24"/>
        </w:rPr>
        <w:t>rgu</w:t>
      </w:r>
      <w:r w:rsidR="00951DFC">
        <w:rPr>
          <w:rFonts w:ascii="Garamond" w:hAnsi="Garamond"/>
          <w:sz w:val="24"/>
          <w:szCs w:val="24"/>
        </w:rPr>
        <w:t>ing</w:t>
      </w:r>
      <w:r w:rsidR="0076591B">
        <w:rPr>
          <w:rFonts w:ascii="Garamond" w:hAnsi="Garamond"/>
          <w:sz w:val="24"/>
          <w:szCs w:val="24"/>
        </w:rPr>
        <w:t xml:space="preserve"> that it is inappropriate to have </w:t>
      </w:r>
      <w:r w:rsidR="0085345D">
        <w:rPr>
          <w:rFonts w:ascii="Garamond" w:hAnsi="Garamond"/>
          <w:sz w:val="24"/>
          <w:szCs w:val="24"/>
        </w:rPr>
        <w:t xml:space="preserve">a state institution with a religious/denominational allegiance in a </w:t>
      </w:r>
      <w:r w:rsidR="00857AE0">
        <w:rPr>
          <w:rFonts w:ascii="Garamond" w:hAnsi="Garamond"/>
          <w:sz w:val="24"/>
          <w:szCs w:val="24"/>
        </w:rPr>
        <w:t xml:space="preserve">religiously plural society. </w:t>
      </w:r>
    </w:p>
    <w:p w14:paraId="23C98F61" w14:textId="77777777" w:rsidR="00750B0F" w:rsidRDefault="00750B0F" w:rsidP="00876379">
      <w:pPr>
        <w:spacing w:after="0" w:line="240" w:lineRule="auto"/>
        <w:jc w:val="both"/>
        <w:rPr>
          <w:rFonts w:ascii="Garamond" w:hAnsi="Garamond"/>
          <w:sz w:val="24"/>
          <w:szCs w:val="24"/>
        </w:rPr>
      </w:pPr>
    </w:p>
    <w:p w14:paraId="5D4440B2" w14:textId="5C960297" w:rsidR="00544BB8" w:rsidRDefault="008B7C4A" w:rsidP="00335B20">
      <w:pPr>
        <w:spacing w:after="0" w:line="240" w:lineRule="auto"/>
        <w:jc w:val="both"/>
        <w:rPr>
          <w:rFonts w:ascii="Garamond" w:hAnsi="Garamond"/>
          <w:sz w:val="24"/>
          <w:szCs w:val="24"/>
        </w:rPr>
      </w:pPr>
      <w:r>
        <w:rPr>
          <w:rFonts w:ascii="Garamond" w:hAnsi="Garamond"/>
          <w:sz w:val="24"/>
          <w:szCs w:val="24"/>
        </w:rPr>
        <w:t>In what follows, I will argue that</w:t>
      </w:r>
      <w:r w:rsidR="00857AE0">
        <w:rPr>
          <w:rFonts w:ascii="Garamond" w:hAnsi="Garamond"/>
          <w:sz w:val="24"/>
          <w:szCs w:val="24"/>
        </w:rPr>
        <w:t xml:space="preserve"> </w:t>
      </w:r>
      <w:r w:rsidR="00DB4F25">
        <w:rPr>
          <w:rFonts w:ascii="Garamond" w:hAnsi="Garamond"/>
          <w:sz w:val="24"/>
          <w:szCs w:val="24"/>
        </w:rPr>
        <w:t xml:space="preserve">Newman’s </w:t>
      </w:r>
      <w:r w:rsidR="00011E89">
        <w:rPr>
          <w:rFonts w:ascii="Garamond" w:hAnsi="Garamond"/>
          <w:sz w:val="24"/>
          <w:szCs w:val="24"/>
        </w:rPr>
        <w:t>contribution toward</w:t>
      </w:r>
      <w:r w:rsidR="00DB4F25">
        <w:rPr>
          <w:rFonts w:ascii="Garamond" w:hAnsi="Garamond"/>
          <w:sz w:val="24"/>
          <w:szCs w:val="24"/>
        </w:rPr>
        <w:t xml:space="preserve"> reconcili</w:t>
      </w:r>
      <w:r w:rsidR="00857AE0">
        <w:rPr>
          <w:rFonts w:ascii="Garamond" w:hAnsi="Garamond"/>
          <w:sz w:val="24"/>
          <w:szCs w:val="24"/>
        </w:rPr>
        <w:t>ng Pope and Crown</w:t>
      </w:r>
      <w:r w:rsidR="00011E89">
        <w:rPr>
          <w:rFonts w:ascii="Garamond" w:hAnsi="Garamond"/>
          <w:sz w:val="24"/>
          <w:szCs w:val="24"/>
        </w:rPr>
        <w:t xml:space="preserve"> in the popular mind should not be </w:t>
      </w:r>
      <w:r w:rsidR="000143BF">
        <w:rPr>
          <w:rFonts w:ascii="Garamond" w:hAnsi="Garamond"/>
          <w:sz w:val="24"/>
          <w:szCs w:val="24"/>
        </w:rPr>
        <w:t>understood in terms of the shared commitment</w:t>
      </w:r>
      <w:r w:rsidR="00616F5F">
        <w:rPr>
          <w:rFonts w:ascii="Garamond" w:hAnsi="Garamond"/>
          <w:sz w:val="24"/>
          <w:szCs w:val="24"/>
        </w:rPr>
        <w:t xml:space="preserve"> to religious freedom</w:t>
      </w:r>
      <w:r w:rsidR="00006AAB">
        <w:rPr>
          <w:rFonts w:ascii="Garamond" w:hAnsi="Garamond"/>
          <w:sz w:val="24"/>
          <w:szCs w:val="24"/>
        </w:rPr>
        <w:t xml:space="preserve">, </w:t>
      </w:r>
      <w:r w:rsidR="00B02751">
        <w:rPr>
          <w:rFonts w:ascii="Garamond" w:hAnsi="Garamond"/>
          <w:sz w:val="24"/>
          <w:szCs w:val="24"/>
        </w:rPr>
        <w:t>because</w:t>
      </w:r>
      <w:r w:rsidR="00006AAB">
        <w:rPr>
          <w:rFonts w:ascii="Garamond" w:hAnsi="Garamond"/>
          <w:sz w:val="24"/>
          <w:szCs w:val="24"/>
        </w:rPr>
        <w:t xml:space="preserve"> his own writing on the matter relies heavily on the </w:t>
      </w:r>
      <w:r w:rsidR="00FD3669">
        <w:rPr>
          <w:rFonts w:ascii="Garamond" w:hAnsi="Garamond"/>
          <w:sz w:val="24"/>
          <w:szCs w:val="24"/>
        </w:rPr>
        <w:t xml:space="preserve">Christian character of the </w:t>
      </w:r>
      <w:r w:rsidR="00DE48BB">
        <w:rPr>
          <w:rFonts w:ascii="Garamond" w:hAnsi="Garamond"/>
          <w:sz w:val="24"/>
          <w:szCs w:val="24"/>
        </w:rPr>
        <w:t xml:space="preserve">British </w:t>
      </w:r>
      <w:r w:rsidR="00FD3669">
        <w:rPr>
          <w:rFonts w:ascii="Garamond" w:hAnsi="Garamond"/>
          <w:sz w:val="24"/>
          <w:szCs w:val="24"/>
        </w:rPr>
        <w:t xml:space="preserve">monarchy itself. When it comes to the </w:t>
      </w:r>
      <w:r w:rsidR="00B02751">
        <w:rPr>
          <w:rFonts w:ascii="Garamond" w:hAnsi="Garamond"/>
          <w:sz w:val="24"/>
          <w:szCs w:val="24"/>
        </w:rPr>
        <w:t xml:space="preserve">broader </w:t>
      </w:r>
      <w:r w:rsidR="00FD3669">
        <w:rPr>
          <w:rFonts w:ascii="Garamond" w:hAnsi="Garamond"/>
          <w:sz w:val="24"/>
          <w:szCs w:val="24"/>
        </w:rPr>
        <w:t xml:space="preserve">challenges facing the </w:t>
      </w:r>
      <w:r w:rsidR="00B02751">
        <w:rPr>
          <w:rFonts w:ascii="Garamond" w:hAnsi="Garamond"/>
          <w:sz w:val="24"/>
          <w:szCs w:val="24"/>
        </w:rPr>
        <w:t>m</w:t>
      </w:r>
      <w:r w:rsidR="00FD3669">
        <w:rPr>
          <w:rFonts w:ascii="Garamond" w:hAnsi="Garamond"/>
          <w:sz w:val="24"/>
          <w:szCs w:val="24"/>
        </w:rPr>
        <w:t>onarchy in the 21</w:t>
      </w:r>
      <w:r w:rsidR="00FD3669" w:rsidRPr="00FD3669">
        <w:rPr>
          <w:rFonts w:ascii="Garamond" w:hAnsi="Garamond"/>
          <w:sz w:val="24"/>
          <w:szCs w:val="24"/>
          <w:vertAlign w:val="superscript"/>
        </w:rPr>
        <w:t>st</w:t>
      </w:r>
      <w:r w:rsidR="00FD3669">
        <w:rPr>
          <w:rFonts w:ascii="Garamond" w:hAnsi="Garamond"/>
          <w:sz w:val="24"/>
          <w:szCs w:val="24"/>
        </w:rPr>
        <w:t xml:space="preserve"> century, however, Newman</w:t>
      </w:r>
      <w:r w:rsidR="00DE48BB">
        <w:rPr>
          <w:rFonts w:ascii="Garamond" w:hAnsi="Garamond"/>
          <w:sz w:val="24"/>
          <w:szCs w:val="24"/>
        </w:rPr>
        <w:t xml:space="preserve"> </w:t>
      </w:r>
      <w:r w:rsidR="00B02751">
        <w:rPr>
          <w:rFonts w:ascii="Garamond" w:hAnsi="Garamond"/>
          <w:sz w:val="24"/>
          <w:szCs w:val="24"/>
        </w:rPr>
        <w:t xml:space="preserve">also </w:t>
      </w:r>
      <w:r w:rsidR="003C22E4">
        <w:rPr>
          <w:rFonts w:ascii="Garamond" w:hAnsi="Garamond"/>
          <w:sz w:val="24"/>
          <w:szCs w:val="24"/>
        </w:rPr>
        <w:t>offer</w:t>
      </w:r>
      <w:r w:rsidR="00B02751">
        <w:rPr>
          <w:rFonts w:ascii="Garamond" w:hAnsi="Garamond"/>
          <w:sz w:val="24"/>
          <w:szCs w:val="24"/>
        </w:rPr>
        <w:t>s</w:t>
      </w:r>
      <w:r w:rsidR="003C22E4">
        <w:rPr>
          <w:rFonts w:ascii="Garamond" w:hAnsi="Garamond"/>
          <w:sz w:val="24"/>
          <w:szCs w:val="24"/>
        </w:rPr>
        <w:t xml:space="preserve"> resources </w:t>
      </w:r>
      <w:r w:rsidR="002760BF">
        <w:rPr>
          <w:rFonts w:ascii="Garamond" w:hAnsi="Garamond"/>
          <w:sz w:val="24"/>
          <w:szCs w:val="24"/>
        </w:rPr>
        <w:t xml:space="preserve">for justifying its </w:t>
      </w:r>
      <w:r w:rsidR="003C22E4">
        <w:rPr>
          <w:rFonts w:ascii="Garamond" w:hAnsi="Garamond"/>
          <w:sz w:val="24"/>
          <w:szCs w:val="24"/>
        </w:rPr>
        <w:t xml:space="preserve">continued existence </w:t>
      </w:r>
      <w:r w:rsidR="006065D8">
        <w:rPr>
          <w:rFonts w:ascii="Garamond" w:hAnsi="Garamond"/>
          <w:sz w:val="24"/>
          <w:szCs w:val="24"/>
        </w:rPr>
        <w:t>in the years to come</w:t>
      </w:r>
      <w:r w:rsidR="00BE6605">
        <w:rPr>
          <w:rFonts w:ascii="Garamond" w:hAnsi="Garamond"/>
          <w:sz w:val="24"/>
          <w:szCs w:val="24"/>
        </w:rPr>
        <w:t>, from his epistemolog</w:t>
      </w:r>
      <w:r w:rsidR="00F626AC">
        <w:rPr>
          <w:rFonts w:ascii="Garamond" w:hAnsi="Garamond"/>
          <w:sz w:val="24"/>
          <w:szCs w:val="24"/>
        </w:rPr>
        <w:t>ical writings</w:t>
      </w:r>
      <w:r w:rsidR="006065D8">
        <w:rPr>
          <w:rFonts w:ascii="Garamond" w:hAnsi="Garamond"/>
          <w:sz w:val="24"/>
          <w:szCs w:val="24"/>
        </w:rPr>
        <w:t xml:space="preserve">. </w:t>
      </w:r>
    </w:p>
    <w:p w14:paraId="5A31A59E" w14:textId="77777777" w:rsidR="000E729C" w:rsidRDefault="000E729C" w:rsidP="00335B20">
      <w:pPr>
        <w:spacing w:after="0" w:line="240" w:lineRule="auto"/>
        <w:jc w:val="both"/>
        <w:rPr>
          <w:rFonts w:ascii="Garamond" w:hAnsi="Garamond"/>
          <w:sz w:val="24"/>
          <w:szCs w:val="24"/>
        </w:rPr>
      </w:pPr>
    </w:p>
    <w:p w14:paraId="15BED403" w14:textId="75FC2E08" w:rsidR="00544BB8" w:rsidRPr="00242319" w:rsidRDefault="00544BB8" w:rsidP="00335B20">
      <w:pPr>
        <w:spacing w:after="0" w:line="240" w:lineRule="auto"/>
        <w:jc w:val="both"/>
        <w:rPr>
          <w:rFonts w:ascii="Garamond" w:hAnsi="Garamond"/>
          <w:sz w:val="24"/>
          <w:szCs w:val="24"/>
          <w:u w:val="single"/>
        </w:rPr>
      </w:pPr>
      <w:r w:rsidRPr="00242319">
        <w:rPr>
          <w:rFonts w:ascii="Garamond" w:hAnsi="Garamond"/>
          <w:sz w:val="24"/>
          <w:szCs w:val="24"/>
          <w:u w:val="single"/>
        </w:rPr>
        <w:t>1: Monarchy and Christianity</w:t>
      </w:r>
    </w:p>
    <w:p w14:paraId="0721A91B" w14:textId="77777777" w:rsidR="00544BB8" w:rsidRDefault="00544BB8" w:rsidP="00335B20">
      <w:pPr>
        <w:spacing w:after="0" w:line="240" w:lineRule="auto"/>
        <w:jc w:val="both"/>
        <w:rPr>
          <w:rFonts w:ascii="Garamond" w:hAnsi="Garamond"/>
          <w:sz w:val="24"/>
          <w:szCs w:val="24"/>
        </w:rPr>
      </w:pPr>
    </w:p>
    <w:p w14:paraId="7188BF47" w14:textId="68F01053" w:rsidR="00AA2F2E" w:rsidRPr="00335B20" w:rsidRDefault="00956436" w:rsidP="00733C8A">
      <w:pPr>
        <w:pStyle w:val="paragraph"/>
        <w:spacing w:before="0" w:beforeAutospacing="0" w:after="0" w:afterAutospacing="0"/>
        <w:jc w:val="both"/>
        <w:textAlignment w:val="baseline"/>
        <w:rPr>
          <w:rFonts w:ascii="Garamond" w:hAnsi="Garamond"/>
        </w:rPr>
      </w:pPr>
      <w:r>
        <w:rPr>
          <w:rStyle w:val="normaltextrun"/>
          <w:rFonts w:ascii="Garamond" w:hAnsi="Garamond" w:cs="Segoe UI"/>
        </w:rPr>
        <w:t xml:space="preserve">During </w:t>
      </w:r>
      <w:r w:rsidRPr="195B5958">
        <w:rPr>
          <w:rStyle w:val="normaltextrun"/>
          <w:rFonts w:ascii="Garamond" w:hAnsi="Garamond" w:cs="Segoe UI"/>
        </w:rPr>
        <w:t>the outpouring of grief that attended the death of Queen Elizabeth II,</w:t>
      </w:r>
      <w:r>
        <w:rPr>
          <w:rStyle w:val="normaltextrun"/>
          <w:rFonts w:ascii="Garamond" w:hAnsi="Garamond" w:cs="Segoe UI"/>
        </w:rPr>
        <w:t xml:space="preserve"> and the celebration of King Charles’ coronation the following year, </w:t>
      </w:r>
      <w:r w:rsidRPr="195B5958">
        <w:rPr>
          <w:rStyle w:val="normaltextrun"/>
          <w:rFonts w:ascii="Garamond" w:hAnsi="Garamond" w:cs="Segoe UI"/>
        </w:rPr>
        <w:t xml:space="preserve">the Catholic response was </w:t>
      </w:r>
      <w:r w:rsidR="0050436A">
        <w:rPr>
          <w:rStyle w:val="normaltextrun"/>
          <w:rFonts w:ascii="Garamond" w:hAnsi="Garamond" w:cs="Segoe UI"/>
        </w:rPr>
        <w:t xml:space="preserve">almost </w:t>
      </w:r>
      <w:r w:rsidRPr="195B5958">
        <w:rPr>
          <w:rStyle w:val="normaltextrun"/>
          <w:rFonts w:ascii="Garamond" w:hAnsi="Garamond" w:cs="Segoe UI"/>
        </w:rPr>
        <w:t>unanimous</w:t>
      </w:r>
      <w:r w:rsidR="00A91534">
        <w:rPr>
          <w:rStyle w:val="normaltextrun"/>
          <w:rFonts w:ascii="Garamond" w:hAnsi="Garamond" w:cs="Segoe UI"/>
        </w:rPr>
        <w:t xml:space="preserve">ly </w:t>
      </w:r>
      <w:r w:rsidR="00F626AC">
        <w:rPr>
          <w:rStyle w:val="normaltextrun"/>
          <w:rFonts w:ascii="Garamond" w:hAnsi="Garamond" w:cs="Segoe UI"/>
        </w:rPr>
        <w:t>positive</w:t>
      </w:r>
      <w:r w:rsidR="0050436A">
        <w:rPr>
          <w:rStyle w:val="normaltextrun"/>
          <w:rFonts w:ascii="Garamond" w:hAnsi="Garamond" w:cs="Segoe UI"/>
        </w:rPr>
        <w:t>.</w:t>
      </w:r>
      <w:r w:rsidR="00586E97">
        <w:rPr>
          <w:rStyle w:val="normaltextrun"/>
          <w:rFonts w:ascii="Garamond" w:hAnsi="Garamond" w:cs="Segoe UI"/>
        </w:rPr>
        <w:t xml:space="preserve"> </w:t>
      </w:r>
      <w:r w:rsidR="00120049">
        <w:rPr>
          <w:rStyle w:val="normaltextrun"/>
          <w:rFonts w:ascii="Garamond" w:hAnsi="Garamond" w:cs="Segoe UI"/>
        </w:rPr>
        <w:t xml:space="preserve">We need not go all the way back to the Reformation to encounter </w:t>
      </w:r>
      <w:r w:rsidR="0050436A">
        <w:rPr>
          <w:rStyle w:val="normaltextrun"/>
          <w:rFonts w:ascii="Garamond" w:hAnsi="Garamond" w:cs="Segoe UI"/>
        </w:rPr>
        <w:t>historical</w:t>
      </w:r>
      <w:r w:rsidR="00120049">
        <w:rPr>
          <w:rStyle w:val="normaltextrun"/>
          <w:rFonts w:ascii="Garamond" w:hAnsi="Garamond" w:cs="Segoe UI"/>
        </w:rPr>
        <w:t xml:space="preserve"> tensions</w:t>
      </w:r>
      <w:r w:rsidR="0050436A">
        <w:rPr>
          <w:rStyle w:val="normaltextrun"/>
          <w:rFonts w:ascii="Garamond" w:hAnsi="Garamond" w:cs="Segoe UI"/>
        </w:rPr>
        <w:t xml:space="preserve">, however, </w:t>
      </w:r>
      <w:r w:rsidR="005D105C">
        <w:rPr>
          <w:rStyle w:val="normaltextrun"/>
          <w:rFonts w:ascii="Garamond" w:hAnsi="Garamond" w:cs="Segoe UI"/>
        </w:rPr>
        <w:t xml:space="preserve">for </w:t>
      </w:r>
      <w:r w:rsidR="0050436A">
        <w:rPr>
          <w:rStyle w:val="normaltextrun"/>
          <w:rFonts w:ascii="Garamond" w:hAnsi="Garamond" w:cs="Segoe UI"/>
        </w:rPr>
        <w:t>such tensions</w:t>
      </w:r>
      <w:r w:rsidR="005D105C">
        <w:rPr>
          <w:rStyle w:val="normaltextrun"/>
          <w:rFonts w:ascii="Garamond" w:hAnsi="Garamond" w:cs="Segoe UI"/>
        </w:rPr>
        <w:t xml:space="preserve"> remained intense during the life of John Henry Newman (</w:t>
      </w:r>
      <w:r w:rsidR="00B817BA">
        <w:rPr>
          <w:rStyle w:val="normaltextrun"/>
          <w:rFonts w:ascii="Garamond" w:hAnsi="Garamond" w:cs="Segoe UI"/>
        </w:rPr>
        <w:t>1801-1890)</w:t>
      </w:r>
      <w:r w:rsidR="00733C8A">
        <w:rPr>
          <w:rStyle w:val="normaltextrun"/>
          <w:rFonts w:ascii="Garamond" w:hAnsi="Garamond" w:cs="Segoe UI"/>
        </w:rPr>
        <w:t xml:space="preserve">. The tensions were not just historical, but also theological. </w:t>
      </w:r>
      <w:r w:rsidR="00544BB8">
        <w:rPr>
          <w:rFonts w:ascii="Garamond" w:hAnsi="Garamond"/>
        </w:rPr>
        <w:t>In the mid-19</w:t>
      </w:r>
      <w:r w:rsidR="00544BB8" w:rsidRPr="00544BB8">
        <w:rPr>
          <w:rFonts w:ascii="Garamond" w:hAnsi="Garamond"/>
          <w:vertAlign w:val="superscript"/>
        </w:rPr>
        <w:t>th</w:t>
      </w:r>
      <w:r w:rsidR="00544BB8">
        <w:rPr>
          <w:rFonts w:ascii="Garamond" w:hAnsi="Garamond"/>
        </w:rPr>
        <w:t xml:space="preserve"> century, </w:t>
      </w:r>
      <w:r w:rsidR="195B5958" w:rsidRPr="195B5958">
        <w:rPr>
          <w:rFonts w:ascii="Garamond" w:hAnsi="Garamond"/>
        </w:rPr>
        <w:t xml:space="preserve">Newman </w:t>
      </w:r>
      <w:r w:rsidR="004C193C">
        <w:rPr>
          <w:rFonts w:ascii="Garamond" w:hAnsi="Garamond"/>
        </w:rPr>
        <w:t>was not alone in</w:t>
      </w:r>
      <w:r w:rsidR="195B5958" w:rsidRPr="195B5958">
        <w:rPr>
          <w:rFonts w:ascii="Garamond" w:hAnsi="Garamond"/>
        </w:rPr>
        <w:t xml:space="preserve"> tackling questions surrounding the theological weight of what we would today call ‘national culture’ against the background of a 19</w:t>
      </w:r>
      <w:r w:rsidR="195B5958" w:rsidRPr="195B5958">
        <w:rPr>
          <w:rFonts w:ascii="Garamond" w:hAnsi="Garamond"/>
          <w:vertAlign w:val="superscript"/>
        </w:rPr>
        <w:t>th</w:t>
      </w:r>
      <w:r w:rsidR="195B5958" w:rsidRPr="195B5958">
        <w:rPr>
          <w:rFonts w:ascii="Garamond" w:hAnsi="Garamond"/>
        </w:rPr>
        <w:t xml:space="preserve"> century Catholic scen</w:t>
      </w:r>
      <w:r w:rsidR="00652029">
        <w:rPr>
          <w:rFonts w:ascii="Garamond" w:hAnsi="Garamond"/>
        </w:rPr>
        <w:t>e which left little room for local variation</w:t>
      </w:r>
      <w:r w:rsidR="00DD757A">
        <w:rPr>
          <w:rFonts w:ascii="Garamond" w:hAnsi="Garamond"/>
        </w:rPr>
        <w:t xml:space="preserve"> in political systems</w:t>
      </w:r>
      <w:r w:rsidR="00652029">
        <w:rPr>
          <w:rFonts w:ascii="Garamond" w:hAnsi="Garamond"/>
        </w:rPr>
        <w:t>.</w:t>
      </w:r>
      <w:r w:rsidR="195B5958" w:rsidRPr="195B5958">
        <w:rPr>
          <w:rFonts w:ascii="Garamond" w:hAnsi="Garamond"/>
        </w:rPr>
        <w:t xml:space="preserve"> For example, the 1843 translation of </w:t>
      </w:r>
      <w:r w:rsidR="0019142C">
        <w:rPr>
          <w:rFonts w:ascii="Garamond" w:hAnsi="Garamond"/>
        </w:rPr>
        <w:t xml:space="preserve">the Catholic theologian </w:t>
      </w:r>
      <w:r w:rsidR="195B5958" w:rsidRPr="195B5958">
        <w:rPr>
          <w:rFonts w:ascii="Garamond" w:hAnsi="Garamond"/>
        </w:rPr>
        <w:t xml:space="preserve">Johann Adam Möhler’s </w:t>
      </w:r>
      <w:r w:rsidR="195B5958" w:rsidRPr="195B5958">
        <w:rPr>
          <w:rFonts w:ascii="Garamond" w:hAnsi="Garamond"/>
          <w:i/>
          <w:iCs/>
        </w:rPr>
        <w:t>Symbolik</w:t>
      </w:r>
      <w:r w:rsidR="195B5958" w:rsidRPr="195B5958">
        <w:rPr>
          <w:rFonts w:ascii="Garamond" w:hAnsi="Garamond"/>
        </w:rPr>
        <w:t xml:space="preserve"> includes the following passage: </w:t>
      </w:r>
    </w:p>
    <w:p w14:paraId="2B588A8A" w14:textId="7E38849B" w:rsidR="00AA2F2E" w:rsidRPr="00335B20" w:rsidRDefault="00AA2F2E" w:rsidP="00335B20">
      <w:pPr>
        <w:pStyle w:val="paragraph"/>
        <w:spacing w:before="0" w:beforeAutospacing="0" w:after="0" w:afterAutospacing="0"/>
        <w:jc w:val="both"/>
        <w:textAlignment w:val="baseline"/>
        <w:rPr>
          <w:rFonts w:ascii="Garamond" w:hAnsi="Garamond" w:cs="Segoe UI"/>
        </w:rPr>
      </w:pPr>
    </w:p>
    <w:p w14:paraId="045AF83E" w14:textId="77777777" w:rsidR="00AA2F2E" w:rsidRPr="00335B20" w:rsidRDefault="00AA2F2E" w:rsidP="0038010E">
      <w:pPr>
        <w:pStyle w:val="paragraph"/>
        <w:spacing w:before="0" w:beforeAutospacing="0" w:after="0" w:afterAutospacing="0"/>
        <w:ind w:left="720"/>
        <w:jc w:val="both"/>
        <w:textAlignment w:val="baseline"/>
        <w:rPr>
          <w:rStyle w:val="normaltextrun"/>
          <w:rFonts w:ascii="Garamond" w:hAnsi="Garamond" w:cs="Segoe UI"/>
          <w:color w:val="000000"/>
          <w:shd w:val="clear" w:color="auto" w:fill="FFFFFF"/>
          <w:lang w:val="en-US"/>
        </w:rPr>
      </w:pPr>
      <w:r w:rsidRPr="00335B20">
        <w:rPr>
          <w:rStyle w:val="normaltextrun"/>
          <w:rFonts w:ascii="Garamond" w:hAnsi="Garamond" w:cs="Segoe UI"/>
          <w:color w:val="000000"/>
          <w:shd w:val="clear" w:color="auto" w:fill="FFFFFF"/>
          <w:lang w:val="en-US"/>
        </w:rPr>
        <w:t xml:space="preserve">‘Each nation is endowed with a peculiar character, stamped on the deepest, most hidden parts of its being, which distinguishes it from all other nations, and manifests its peculiarity in public and domestic life, in art and science; in short, in every relation.’ </w:t>
      </w:r>
    </w:p>
    <w:p w14:paraId="53F1FC46" w14:textId="0567DE7A" w:rsidR="00AA2F2E" w:rsidRPr="00335B20" w:rsidRDefault="00AA2F2E" w:rsidP="00335B20">
      <w:pPr>
        <w:pStyle w:val="paragraph"/>
        <w:spacing w:before="0" w:beforeAutospacing="0" w:after="0" w:afterAutospacing="0"/>
        <w:jc w:val="both"/>
        <w:textAlignment w:val="baseline"/>
        <w:rPr>
          <w:rStyle w:val="normaltextrun"/>
          <w:rFonts w:ascii="Garamond" w:hAnsi="Garamond" w:cs="Segoe UI"/>
          <w:color w:val="000000"/>
          <w:shd w:val="clear" w:color="auto" w:fill="FFFFFF"/>
          <w:lang w:val="en-US"/>
        </w:rPr>
      </w:pPr>
    </w:p>
    <w:p w14:paraId="7CCEA803" w14:textId="103DBD64" w:rsidR="00AA2F2E" w:rsidRPr="00335B20" w:rsidRDefault="00AA2F2E" w:rsidP="00335B20">
      <w:pPr>
        <w:pStyle w:val="paragraph"/>
        <w:spacing w:before="0" w:beforeAutospacing="0" w:after="0" w:afterAutospacing="0"/>
        <w:jc w:val="both"/>
        <w:textAlignment w:val="baseline"/>
        <w:rPr>
          <w:rFonts w:ascii="Garamond" w:hAnsi="Garamond"/>
        </w:rPr>
      </w:pPr>
      <w:r w:rsidRPr="00335B20">
        <w:rPr>
          <w:rFonts w:ascii="Garamond" w:hAnsi="Garamond"/>
        </w:rPr>
        <w:t>M</w:t>
      </w:r>
      <w:r w:rsidRPr="00335B20">
        <w:rPr>
          <w:rFonts w:ascii="Garamond" w:hAnsi="Garamond" w:cstheme="minorHAnsi"/>
        </w:rPr>
        <w:t>ö</w:t>
      </w:r>
      <w:r w:rsidRPr="00335B20">
        <w:rPr>
          <w:rFonts w:ascii="Garamond" w:hAnsi="Garamond"/>
        </w:rPr>
        <w:t xml:space="preserve">hler goes on, </w:t>
      </w:r>
    </w:p>
    <w:p w14:paraId="2B974CF8" w14:textId="77777777" w:rsidR="00AA2F2E" w:rsidRPr="00335B20" w:rsidRDefault="00AA2F2E" w:rsidP="00335B20">
      <w:pPr>
        <w:pStyle w:val="paragraph"/>
        <w:spacing w:before="0" w:beforeAutospacing="0" w:after="0" w:afterAutospacing="0"/>
        <w:jc w:val="both"/>
        <w:textAlignment w:val="baseline"/>
        <w:rPr>
          <w:rStyle w:val="normaltextrun"/>
          <w:rFonts w:ascii="Garamond" w:hAnsi="Garamond" w:cs="Segoe UI"/>
          <w:color w:val="000000"/>
          <w:shd w:val="clear" w:color="auto" w:fill="FFFFFF"/>
          <w:lang w:val="en-US"/>
        </w:rPr>
      </w:pPr>
    </w:p>
    <w:p w14:paraId="7EC79523" w14:textId="59073331" w:rsidR="00AA2F2E" w:rsidRPr="00335B20" w:rsidRDefault="00AA2F2E" w:rsidP="0038010E">
      <w:pPr>
        <w:pStyle w:val="paragraph"/>
        <w:spacing w:before="0" w:beforeAutospacing="0" w:after="0" w:afterAutospacing="0"/>
        <w:ind w:left="720"/>
        <w:jc w:val="both"/>
        <w:textAlignment w:val="baseline"/>
        <w:rPr>
          <w:rFonts w:ascii="Garamond" w:hAnsi="Garamond" w:cs="Segoe UI"/>
        </w:rPr>
      </w:pPr>
      <w:r w:rsidRPr="00335B20">
        <w:rPr>
          <w:rStyle w:val="normaltextrun"/>
          <w:rFonts w:ascii="Garamond" w:hAnsi="Garamond" w:cs="Segoe UI"/>
          <w:color w:val="000000"/>
          <w:shd w:val="clear" w:color="auto" w:fill="FFFFFF"/>
          <w:lang w:val="en-US"/>
        </w:rPr>
        <w:lastRenderedPageBreak/>
        <w:t>‘In every general act of a people, the national spirit is infallibly expressed; and should contests […] occur, the element destructive to the vital principle of the whole will most certainly be detached in them’</w:t>
      </w:r>
      <w:r w:rsidR="002815C4">
        <w:rPr>
          <w:rStyle w:val="normaltextrun"/>
          <w:rFonts w:ascii="Garamond" w:hAnsi="Garamond" w:cs="Segoe UI"/>
          <w:color w:val="000000"/>
          <w:shd w:val="clear" w:color="auto" w:fill="FFFFFF"/>
          <w:lang w:val="en-US"/>
        </w:rPr>
        <w:t>.</w:t>
      </w:r>
      <w:r w:rsidR="002815C4">
        <w:rPr>
          <w:rStyle w:val="FootnoteReference"/>
          <w:rFonts w:ascii="Garamond" w:hAnsi="Garamond" w:cs="Segoe UI"/>
          <w:color w:val="000000"/>
          <w:shd w:val="clear" w:color="auto" w:fill="FFFFFF"/>
          <w:lang w:val="en-US"/>
        </w:rPr>
        <w:footnoteReference w:id="5"/>
      </w:r>
      <w:r w:rsidR="002815C4">
        <w:rPr>
          <w:rStyle w:val="normaltextrun"/>
          <w:rFonts w:ascii="Garamond" w:hAnsi="Garamond" w:cs="Segoe UI"/>
          <w:color w:val="000000"/>
          <w:shd w:val="clear" w:color="auto" w:fill="FFFFFF"/>
          <w:lang w:val="en-US"/>
        </w:rPr>
        <w:t xml:space="preserve"> </w:t>
      </w:r>
      <w:r w:rsidRPr="00335B20">
        <w:rPr>
          <w:rStyle w:val="eop"/>
          <w:rFonts w:ascii="Garamond" w:hAnsi="Garamond" w:cs="Segoe UI"/>
          <w:color w:val="000000"/>
        </w:rPr>
        <w:t> </w:t>
      </w:r>
    </w:p>
    <w:p w14:paraId="32D86215" w14:textId="17751FE2" w:rsidR="00AA2F2E" w:rsidRPr="00335B20" w:rsidRDefault="006078D4" w:rsidP="00335B20">
      <w:pPr>
        <w:spacing w:after="0" w:line="240" w:lineRule="auto"/>
        <w:jc w:val="both"/>
        <w:rPr>
          <w:rFonts w:ascii="Garamond" w:hAnsi="Garamond"/>
          <w:sz w:val="24"/>
          <w:szCs w:val="24"/>
        </w:rPr>
      </w:pPr>
      <w:r w:rsidRPr="00335B20">
        <w:rPr>
          <w:rFonts w:ascii="Garamond" w:hAnsi="Garamond"/>
          <w:sz w:val="24"/>
          <w:szCs w:val="24"/>
        </w:rPr>
        <w:t xml:space="preserve">     </w:t>
      </w:r>
    </w:p>
    <w:p w14:paraId="1ED09E69" w14:textId="598B6562" w:rsidR="00AA2F2E" w:rsidRPr="00335B20" w:rsidRDefault="195B5958" w:rsidP="195B5958">
      <w:pPr>
        <w:pStyle w:val="paragraph"/>
        <w:spacing w:before="0" w:beforeAutospacing="0" w:after="0" w:afterAutospacing="0"/>
        <w:jc w:val="both"/>
        <w:textAlignment w:val="baseline"/>
        <w:rPr>
          <w:rStyle w:val="normaltextrun"/>
          <w:rFonts w:ascii="Garamond" w:hAnsi="Garamond" w:cs="Segoe UI"/>
        </w:rPr>
      </w:pPr>
      <w:r w:rsidRPr="195B5958">
        <w:rPr>
          <w:rFonts w:ascii="Garamond" w:hAnsi="Garamond"/>
        </w:rPr>
        <w:t xml:space="preserve">This understanding of a ‘vital principle’ or ‘peculiar character’ pertaining to a nation is </w:t>
      </w:r>
      <w:r w:rsidR="00F234E6">
        <w:rPr>
          <w:rFonts w:ascii="Garamond" w:hAnsi="Garamond"/>
        </w:rPr>
        <w:t xml:space="preserve">markedly </w:t>
      </w:r>
      <w:r w:rsidRPr="195B5958">
        <w:rPr>
          <w:rFonts w:ascii="Garamond" w:hAnsi="Garamond"/>
        </w:rPr>
        <w:t xml:space="preserve">similar to </w:t>
      </w:r>
      <w:r w:rsidR="0019142C">
        <w:rPr>
          <w:rFonts w:ascii="Garamond" w:hAnsi="Garamond"/>
        </w:rPr>
        <w:t xml:space="preserve">the </w:t>
      </w:r>
      <w:r w:rsidRPr="195B5958">
        <w:rPr>
          <w:rFonts w:ascii="Garamond" w:hAnsi="Garamond"/>
        </w:rPr>
        <w:t>‘vital principle’ which Newman considers pertains to Christianity itself. In his</w:t>
      </w:r>
      <w:r w:rsidR="0019142C">
        <w:rPr>
          <w:rFonts w:ascii="Garamond" w:hAnsi="Garamond"/>
        </w:rPr>
        <w:t xml:space="preserve"> </w:t>
      </w:r>
      <w:r w:rsidR="0019142C" w:rsidRPr="0019142C">
        <w:rPr>
          <w:rFonts w:ascii="Garamond" w:hAnsi="Garamond"/>
          <w:i/>
          <w:iCs/>
        </w:rPr>
        <w:t>Essay on the Development of Christian Doctrine</w:t>
      </w:r>
      <w:r w:rsidR="00F92E07">
        <w:rPr>
          <w:rFonts w:ascii="Garamond" w:hAnsi="Garamond"/>
        </w:rPr>
        <w:t>, he describes one characteristic of an</w:t>
      </w:r>
      <w:r w:rsidRPr="195B5958">
        <w:rPr>
          <w:rStyle w:val="normaltextrun"/>
          <w:rFonts w:ascii="Garamond" w:hAnsi="Garamond" w:cs="Segoe UI"/>
        </w:rPr>
        <w:t xml:space="preserve"> authentic development in Christian doctrine</w:t>
      </w:r>
      <w:r w:rsidR="0039086C">
        <w:rPr>
          <w:rStyle w:val="normaltextrun"/>
          <w:rFonts w:ascii="Garamond" w:hAnsi="Garamond" w:cs="Segoe UI"/>
        </w:rPr>
        <w:t xml:space="preserve"> as </w:t>
      </w:r>
      <w:r w:rsidRPr="195B5958">
        <w:rPr>
          <w:rStyle w:val="normaltextrun"/>
          <w:rFonts w:ascii="Garamond" w:hAnsi="Garamond" w:cs="Segoe UI"/>
        </w:rPr>
        <w:t xml:space="preserve">‘the power of assimilation’. </w:t>
      </w:r>
      <w:r w:rsidR="006B3D80">
        <w:rPr>
          <w:rStyle w:val="normaltextrun"/>
          <w:rFonts w:ascii="Garamond" w:hAnsi="Garamond" w:cs="Segoe UI"/>
        </w:rPr>
        <w:t xml:space="preserve">He </w:t>
      </w:r>
      <w:r w:rsidRPr="195B5958">
        <w:rPr>
          <w:rStyle w:val="normaltextrun"/>
          <w:rFonts w:ascii="Garamond" w:hAnsi="Garamond" w:cs="Segoe UI"/>
        </w:rPr>
        <w:t>argues that, as Christianity develops, the original ‘vital principle’</w:t>
      </w:r>
      <w:r w:rsidR="00C038ED">
        <w:rPr>
          <w:rStyle w:val="normaltextrun"/>
          <w:rFonts w:ascii="Garamond" w:hAnsi="Garamond" w:cs="Segoe UI"/>
        </w:rPr>
        <w:t xml:space="preserve"> </w:t>
      </w:r>
      <w:r w:rsidRPr="195B5958">
        <w:rPr>
          <w:rStyle w:val="normaltextrun"/>
          <w:rFonts w:ascii="Garamond" w:hAnsi="Garamond" w:cs="Segoe UI"/>
        </w:rPr>
        <w:t xml:space="preserve">of Christianity grows ‘by taking into its substance external materials’ – </w:t>
      </w:r>
      <w:r w:rsidR="006B3D80">
        <w:rPr>
          <w:rStyle w:val="normaltextrun"/>
          <w:rFonts w:ascii="Garamond" w:hAnsi="Garamond" w:cs="Segoe UI"/>
        </w:rPr>
        <w:t>which will include those</w:t>
      </w:r>
      <w:r w:rsidRPr="195B5958">
        <w:rPr>
          <w:rStyle w:val="normaltextrun"/>
          <w:rFonts w:ascii="Garamond" w:hAnsi="Garamond" w:cs="Segoe UI"/>
        </w:rPr>
        <w:t xml:space="preserve"> rooted in ‘national culture’</w:t>
      </w:r>
      <w:r w:rsidR="0039086C">
        <w:rPr>
          <w:rStyle w:val="normaltextrun"/>
          <w:rFonts w:ascii="Garamond" w:hAnsi="Garamond" w:cs="Segoe UI"/>
        </w:rPr>
        <w:t xml:space="preserve"> - </w:t>
      </w:r>
      <w:r w:rsidRPr="195B5958">
        <w:rPr>
          <w:rStyle w:val="normaltextrun"/>
          <w:rFonts w:ascii="Garamond" w:hAnsi="Garamond" w:cs="Segoe UI"/>
        </w:rPr>
        <w:t xml:space="preserve">while it also rejects </w:t>
      </w:r>
      <w:r w:rsidR="0064582C">
        <w:rPr>
          <w:rStyle w:val="normaltextrun"/>
          <w:rFonts w:ascii="Garamond" w:hAnsi="Garamond" w:cs="Segoe UI"/>
        </w:rPr>
        <w:t xml:space="preserve">‘external materials’ </w:t>
      </w:r>
      <w:r w:rsidRPr="195B5958">
        <w:rPr>
          <w:rStyle w:val="normaltextrun"/>
          <w:rFonts w:ascii="Garamond" w:hAnsi="Garamond" w:cs="Segoe UI"/>
        </w:rPr>
        <w:t xml:space="preserve">which are ‘destructive’ to the original idea – for </w:t>
      </w:r>
      <w:r w:rsidR="00D02871">
        <w:rPr>
          <w:rStyle w:val="normaltextrun"/>
          <w:rFonts w:ascii="Garamond" w:hAnsi="Garamond" w:cs="Segoe UI"/>
        </w:rPr>
        <w:t xml:space="preserve">destructive elements </w:t>
      </w:r>
      <w:r w:rsidRPr="195B5958">
        <w:rPr>
          <w:rStyle w:val="normaltextrun"/>
          <w:rFonts w:ascii="Garamond" w:hAnsi="Garamond" w:cs="Segoe UI"/>
        </w:rPr>
        <w:t>cannot be ‘subjected to a new sovereign’, which is ultimately, Jesus Christ.</w:t>
      </w:r>
      <w:r w:rsidRPr="195B5958">
        <w:rPr>
          <w:rStyle w:val="superscript"/>
          <w:rFonts w:ascii="Garamond" w:hAnsi="Garamond" w:cs="Segoe UI"/>
          <w:vertAlign w:val="superscript"/>
        </w:rPr>
        <w:t xml:space="preserve">2 </w:t>
      </w:r>
      <w:r w:rsidRPr="195B5958">
        <w:rPr>
          <w:rStyle w:val="normaltextrun"/>
          <w:rFonts w:ascii="Garamond" w:hAnsi="Garamond" w:cs="Segoe UI"/>
        </w:rPr>
        <w:t xml:space="preserve"> The difficulty here is, of course, that </w:t>
      </w:r>
      <w:r w:rsidR="0064582C">
        <w:rPr>
          <w:rStyle w:val="normaltextrun"/>
          <w:rFonts w:ascii="Garamond" w:hAnsi="Garamond" w:cs="Segoe UI"/>
        </w:rPr>
        <w:t>the</w:t>
      </w:r>
      <w:r w:rsidRPr="195B5958">
        <w:rPr>
          <w:rStyle w:val="normaltextrun"/>
          <w:rFonts w:ascii="Garamond" w:hAnsi="Garamond" w:cs="Segoe UI"/>
        </w:rPr>
        <w:t xml:space="preserve"> universal faith </w:t>
      </w:r>
      <w:r w:rsidR="00BD733A">
        <w:rPr>
          <w:rStyle w:val="normaltextrun"/>
          <w:rFonts w:ascii="Garamond" w:hAnsi="Garamond" w:cs="Segoe UI"/>
        </w:rPr>
        <w:t>which Newman concluded is</w:t>
      </w:r>
      <w:r w:rsidR="0064582C">
        <w:rPr>
          <w:rStyle w:val="normaltextrun"/>
          <w:rFonts w:ascii="Garamond" w:hAnsi="Garamond" w:cs="Segoe UI"/>
        </w:rPr>
        <w:t xml:space="preserve"> </w:t>
      </w:r>
      <w:r w:rsidR="00BD733A">
        <w:rPr>
          <w:rStyle w:val="normaltextrun"/>
          <w:rFonts w:ascii="Garamond" w:hAnsi="Garamond" w:cs="Segoe UI"/>
        </w:rPr>
        <w:t>ever-</w:t>
      </w:r>
      <w:r w:rsidR="00BD3EED">
        <w:rPr>
          <w:rStyle w:val="normaltextrun"/>
          <w:rFonts w:ascii="Garamond" w:hAnsi="Garamond" w:cs="Segoe UI"/>
        </w:rPr>
        <w:t xml:space="preserve">safeguarded by Rome, </w:t>
      </w:r>
      <w:r w:rsidRPr="195B5958">
        <w:rPr>
          <w:rStyle w:val="normaltextrun"/>
          <w:rFonts w:ascii="Garamond" w:hAnsi="Garamond" w:cs="Segoe UI"/>
        </w:rPr>
        <w:t>a</w:t>
      </w:r>
      <w:r w:rsidR="00413EFA">
        <w:rPr>
          <w:rStyle w:val="normaltextrun"/>
          <w:rFonts w:ascii="Garamond" w:hAnsi="Garamond" w:cs="Segoe UI"/>
        </w:rPr>
        <w:t xml:space="preserve">s well as each </w:t>
      </w:r>
      <w:r w:rsidRPr="195B5958">
        <w:rPr>
          <w:rStyle w:val="normaltextrun"/>
          <w:rFonts w:ascii="Garamond" w:hAnsi="Garamond" w:cs="Segoe UI"/>
        </w:rPr>
        <w:t>particular nation</w:t>
      </w:r>
      <w:r w:rsidR="00BD3EED">
        <w:rPr>
          <w:rStyle w:val="normaltextrun"/>
          <w:rFonts w:ascii="Garamond" w:hAnsi="Garamond" w:cs="Segoe UI"/>
        </w:rPr>
        <w:t>,</w:t>
      </w:r>
      <w:r w:rsidRPr="195B5958">
        <w:rPr>
          <w:rStyle w:val="normaltextrun"/>
          <w:rFonts w:ascii="Garamond" w:hAnsi="Garamond" w:cs="Segoe UI"/>
        </w:rPr>
        <w:t xml:space="preserve"> </w:t>
      </w:r>
      <w:r w:rsidR="00413EFA">
        <w:rPr>
          <w:rStyle w:val="normaltextrun"/>
          <w:rFonts w:ascii="Garamond" w:hAnsi="Garamond" w:cs="Segoe UI"/>
        </w:rPr>
        <w:t>both</w:t>
      </w:r>
      <w:r w:rsidRPr="195B5958">
        <w:rPr>
          <w:rStyle w:val="normaltextrun"/>
          <w:rFonts w:ascii="Garamond" w:hAnsi="Garamond" w:cs="Segoe UI"/>
        </w:rPr>
        <w:t xml:space="preserve"> have </w:t>
      </w:r>
      <w:r w:rsidR="0039086C">
        <w:rPr>
          <w:rStyle w:val="normaltextrun"/>
          <w:rFonts w:ascii="Garamond" w:hAnsi="Garamond" w:cs="Segoe UI"/>
        </w:rPr>
        <w:t>their own</w:t>
      </w:r>
      <w:r w:rsidRPr="195B5958">
        <w:rPr>
          <w:rStyle w:val="normaltextrun"/>
          <w:rFonts w:ascii="Garamond" w:hAnsi="Garamond" w:cs="Segoe UI"/>
        </w:rPr>
        <w:t xml:space="preserve"> </w:t>
      </w:r>
      <w:r w:rsidR="0039086C">
        <w:rPr>
          <w:rStyle w:val="normaltextrun"/>
          <w:rFonts w:ascii="Garamond" w:hAnsi="Garamond" w:cs="Segoe UI"/>
        </w:rPr>
        <w:t>‘</w:t>
      </w:r>
      <w:r w:rsidRPr="195B5958">
        <w:rPr>
          <w:rStyle w:val="normaltextrun"/>
          <w:rFonts w:ascii="Garamond" w:hAnsi="Garamond" w:cs="Segoe UI"/>
        </w:rPr>
        <w:t>vital principle</w:t>
      </w:r>
      <w:r w:rsidR="0039086C">
        <w:rPr>
          <w:rStyle w:val="normaltextrun"/>
          <w:rFonts w:ascii="Garamond" w:hAnsi="Garamond" w:cs="Segoe UI"/>
        </w:rPr>
        <w:t>’</w:t>
      </w:r>
      <w:r w:rsidR="00BD3EED">
        <w:rPr>
          <w:rStyle w:val="normaltextrun"/>
          <w:rFonts w:ascii="Garamond" w:hAnsi="Garamond" w:cs="Segoe UI"/>
        </w:rPr>
        <w:t>. Yet</w:t>
      </w:r>
      <w:r w:rsidRPr="195B5958">
        <w:rPr>
          <w:rStyle w:val="normaltextrun"/>
          <w:rFonts w:ascii="Garamond" w:hAnsi="Garamond" w:cs="Segoe UI"/>
        </w:rPr>
        <w:t xml:space="preserve">, for Newman, the </w:t>
      </w:r>
      <w:r w:rsidR="00F42255">
        <w:rPr>
          <w:rStyle w:val="normaltextrun"/>
          <w:rFonts w:ascii="Garamond" w:hAnsi="Garamond" w:cs="Segoe UI"/>
        </w:rPr>
        <w:t>development of</w:t>
      </w:r>
      <w:r w:rsidRPr="195B5958">
        <w:rPr>
          <w:rStyle w:val="normaltextrun"/>
          <w:rFonts w:ascii="Garamond" w:hAnsi="Garamond" w:cs="Segoe UI"/>
        </w:rPr>
        <w:t xml:space="preserve"> the </w:t>
      </w:r>
      <w:r w:rsidR="0097233A">
        <w:rPr>
          <w:rStyle w:val="normaltextrun"/>
          <w:rFonts w:ascii="Garamond" w:hAnsi="Garamond" w:cs="Segoe UI"/>
        </w:rPr>
        <w:t xml:space="preserve">purportedly </w:t>
      </w:r>
      <w:r w:rsidRPr="195B5958">
        <w:rPr>
          <w:rStyle w:val="normaltextrun"/>
          <w:rFonts w:ascii="Garamond" w:hAnsi="Garamond" w:cs="Segoe UI"/>
        </w:rPr>
        <w:t xml:space="preserve">universal </w:t>
      </w:r>
      <w:r w:rsidR="0097233A">
        <w:rPr>
          <w:rStyle w:val="normaltextrun"/>
          <w:rFonts w:ascii="Garamond" w:hAnsi="Garamond" w:cs="Segoe UI"/>
        </w:rPr>
        <w:t xml:space="preserve">Catholic </w:t>
      </w:r>
      <w:r w:rsidRPr="195B5958">
        <w:rPr>
          <w:rStyle w:val="normaltextrun"/>
          <w:rFonts w:ascii="Garamond" w:hAnsi="Garamond" w:cs="Segoe UI"/>
        </w:rPr>
        <w:t>faith take</w:t>
      </w:r>
      <w:r w:rsidR="00DE03BB">
        <w:rPr>
          <w:rStyle w:val="normaltextrun"/>
          <w:rFonts w:ascii="Garamond" w:hAnsi="Garamond" w:cs="Segoe UI"/>
        </w:rPr>
        <w:t>s</w:t>
      </w:r>
      <w:r w:rsidRPr="195B5958">
        <w:rPr>
          <w:rStyle w:val="normaltextrun"/>
          <w:rFonts w:ascii="Garamond" w:hAnsi="Garamond" w:cs="Segoe UI"/>
        </w:rPr>
        <w:t xml:space="preserve"> shape by drawing on its cultural setting - especially where, </w:t>
      </w:r>
      <w:r w:rsidR="00413EFA">
        <w:rPr>
          <w:rStyle w:val="normaltextrun"/>
          <w:rFonts w:ascii="Garamond" w:hAnsi="Garamond" w:cs="Segoe UI"/>
        </w:rPr>
        <w:t xml:space="preserve">he </w:t>
      </w:r>
      <w:r w:rsidRPr="195B5958">
        <w:rPr>
          <w:rStyle w:val="normaltextrun"/>
          <w:rFonts w:ascii="Garamond" w:hAnsi="Garamond" w:cs="Segoe UI"/>
        </w:rPr>
        <w:t>says</w:t>
      </w:r>
      <w:r w:rsidR="00413EFA">
        <w:rPr>
          <w:rStyle w:val="normaltextrun"/>
          <w:rFonts w:ascii="Garamond" w:hAnsi="Garamond" w:cs="Segoe UI"/>
        </w:rPr>
        <w:t xml:space="preserve">, </w:t>
      </w:r>
      <w:r w:rsidRPr="195B5958">
        <w:rPr>
          <w:rStyle w:val="normaltextrun"/>
          <w:rFonts w:ascii="Garamond" w:hAnsi="Garamond" w:cs="Segoe UI"/>
        </w:rPr>
        <w:t>there is an ‘antecedent affinity’ between Christian teaching and the ‘peculiar character’ of that setting.</w:t>
      </w:r>
      <w:r w:rsidR="00F42255">
        <w:rPr>
          <w:rStyle w:val="FootnoteReference"/>
          <w:rFonts w:ascii="Garamond" w:hAnsi="Garamond" w:cs="Segoe UI"/>
        </w:rPr>
        <w:footnoteReference w:id="6"/>
      </w:r>
      <w:r w:rsidRPr="195B5958">
        <w:rPr>
          <w:rStyle w:val="normaltextrun"/>
          <w:rFonts w:ascii="Garamond" w:hAnsi="Garamond" w:cs="Segoe UI"/>
        </w:rPr>
        <w:t xml:space="preserve"> </w:t>
      </w:r>
    </w:p>
    <w:p w14:paraId="48A3C10F" w14:textId="77777777" w:rsidR="00AA2F2E" w:rsidRPr="00335B20" w:rsidRDefault="00AA2F2E" w:rsidP="00335B20">
      <w:pPr>
        <w:pStyle w:val="paragraph"/>
        <w:spacing w:before="0" w:beforeAutospacing="0" w:after="0" w:afterAutospacing="0"/>
        <w:jc w:val="both"/>
        <w:textAlignment w:val="baseline"/>
        <w:rPr>
          <w:rStyle w:val="normaltextrun"/>
          <w:rFonts w:ascii="Garamond" w:hAnsi="Garamond" w:cs="Segoe UI"/>
        </w:rPr>
      </w:pPr>
    </w:p>
    <w:p w14:paraId="2CAD702C" w14:textId="6DE0EC93" w:rsidR="00EB1FB1" w:rsidRPr="00335B20" w:rsidRDefault="001053DE" w:rsidP="00AF6AB8">
      <w:pPr>
        <w:pStyle w:val="paragraph"/>
        <w:spacing w:before="0" w:beforeAutospacing="0" w:after="0" w:afterAutospacing="0"/>
        <w:jc w:val="both"/>
        <w:textAlignment w:val="baseline"/>
        <w:rPr>
          <w:rStyle w:val="normaltextrun"/>
          <w:rFonts w:ascii="Garamond" w:hAnsi="Garamond" w:cs="Segoe UI"/>
        </w:rPr>
      </w:pPr>
      <w:bookmarkStart w:id="0" w:name="_Hlk119484967"/>
      <w:r>
        <w:rPr>
          <w:rStyle w:val="normaltextrun"/>
          <w:rFonts w:ascii="Garamond" w:hAnsi="Garamond" w:cs="Segoe UI"/>
        </w:rPr>
        <w:t xml:space="preserve">Considered practically, </w:t>
      </w:r>
      <w:bookmarkEnd w:id="0"/>
      <w:r w:rsidR="00AF6AB8">
        <w:rPr>
          <w:rStyle w:val="normaltextrun"/>
          <w:rFonts w:ascii="Garamond" w:hAnsi="Garamond" w:cs="Segoe UI"/>
        </w:rPr>
        <w:t>t</w:t>
      </w:r>
      <w:r w:rsidR="005A70CA" w:rsidRPr="00335B20">
        <w:rPr>
          <w:rStyle w:val="eop"/>
          <w:rFonts w:ascii="Garamond" w:hAnsi="Garamond" w:cs="Segoe UI"/>
        </w:rPr>
        <w:t xml:space="preserve">o convert </w:t>
      </w:r>
      <w:r w:rsidR="00AF6AB8">
        <w:rPr>
          <w:rStyle w:val="eop"/>
          <w:rFonts w:ascii="Garamond" w:hAnsi="Garamond" w:cs="Segoe UI"/>
        </w:rPr>
        <w:t xml:space="preserve">to Catholicism </w:t>
      </w:r>
      <w:r w:rsidR="005A70CA" w:rsidRPr="00335B20">
        <w:rPr>
          <w:rStyle w:val="eop"/>
          <w:rFonts w:ascii="Garamond" w:hAnsi="Garamond" w:cs="Segoe UI"/>
        </w:rPr>
        <w:t xml:space="preserve">in Newman’s day was to make oneself vulnerable to </w:t>
      </w:r>
      <w:r w:rsidR="00FB34B7" w:rsidRPr="00335B20">
        <w:rPr>
          <w:rStyle w:val="eop"/>
          <w:rFonts w:ascii="Garamond" w:hAnsi="Garamond" w:cs="Segoe UI"/>
        </w:rPr>
        <w:t xml:space="preserve">serious </w:t>
      </w:r>
      <w:r w:rsidR="005A70CA" w:rsidRPr="00335B20">
        <w:rPr>
          <w:rStyle w:val="eop"/>
          <w:rFonts w:ascii="Garamond" w:hAnsi="Garamond" w:cs="Segoe UI"/>
        </w:rPr>
        <w:t xml:space="preserve">allegations of national disloyalty. </w:t>
      </w:r>
      <w:r w:rsidR="00B228EA" w:rsidRPr="00335B20">
        <w:rPr>
          <w:rStyle w:val="eop"/>
          <w:rFonts w:ascii="Garamond" w:hAnsi="Garamond" w:cs="Segoe UI"/>
        </w:rPr>
        <w:t xml:space="preserve">Frank Turner famously said </w:t>
      </w:r>
      <w:r w:rsidR="006A1370" w:rsidRPr="00335B20">
        <w:rPr>
          <w:rStyle w:val="normaltextrun"/>
          <w:rFonts w:ascii="Garamond" w:hAnsi="Garamond"/>
          <w:color w:val="000000"/>
          <w:shd w:val="clear" w:color="auto" w:fill="FFFFFF"/>
          <w:lang w:val="en-US"/>
        </w:rPr>
        <w:t xml:space="preserve">‘the Tractarian pursuit of the Catholic led as much to </w:t>
      </w:r>
      <w:r w:rsidR="006A1370" w:rsidRPr="195B5958">
        <w:rPr>
          <w:rStyle w:val="normaltextrun"/>
          <w:rFonts w:ascii="Garamond" w:hAnsi="Garamond"/>
          <w:i/>
          <w:iCs/>
          <w:color w:val="000000"/>
          <w:shd w:val="clear" w:color="auto" w:fill="FFFFFF"/>
          <w:lang w:val="en-US"/>
        </w:rPr>
        <w:t>cultural</w:t>
      </w:r>
      <w:r w:rsidR="006A1370" w:rsidRPr="00335B20">
        <w:rPr>
          <w:rStyle w:val="normaltextrun"/>
          <w:rFonts w:ascii="Garamond" w:hAnsi="Garamond"/>
          <w:color w:val="000000"/>
          <w:shd w:val="clear" w:color="auto" w:fill="FFFFFF"/>
          <w:lang w:val="en-US"/>
        </w:rPr>
        <w:t xml:space="preserve"> as to </w:t>
      </w:r>
      <w:r w:rsidR="006A1370" w:rsidRPr="195B5958">
        <w:rPr>
          <w:rStyle w:val="normaltextrun"/>
          <w:rFonts w:ascii="Garamond" w:hAnsi="Garamond"/>
          <w:i/>
          <w:iCs/>
          <w:color w:val="000000"/>
          <w:shd w:val="clear" w:color="auto" w:fill="FFFFFF"/>
          <w:lang w:val="en-US"/>
        </w:rPr>
        <w:t>religious</w:t>
      </w:r>
      <w:r w:rsidR="006A1370" w:rsidRPr="00335B20">
        <w:rPr>
          <w:rStyle w:val="normaltextrun"/>
          <w:rFonts w:ascii="Garamond" w:hAnsi="Garamond"/>
          <w:color w:val="000000"/>
          <w:shd w:val="clear" w:color="auto" w:fill="FFFFFF"/>
          <w:lang w:val="en-US"/>
        </w:rPr>
        <w:t xml:space="preserve"> apostasy’, </w:t>
      </w:r>
      <w:r w:rsidR="005426E3" w:rsidRPr="00335B20">
        <w:rPr>
          <w:rStyle w:val="normaltextrun"/>
          <w:rFonts w:ascii="Garamond" w:hAnsi="Garamond"/>
          <w:color w:val="000000"/>
          <w:shd w:val="clear" w:color="auto" w:fill="FFFFFF"/>
          <w:lang w:val="en-US"/>
        </w:rPr>
        <w:t>and</w:t>
      </w:r>
      <w:r w:rsidR="006A1370" w:rsidRPr="00335B20">
        <w:rPr>
          <w:rStyle w:val="normaltextrun"/>
          <w:rFonts w:ascii="Garamond" w:hAnsi="Garamond"/>
          <w:color w:val="000000"/>
          <w:shd w:val="clear" w:color="auto" w:fill="FFFFFF"/>
          <w:lang w:val="en-US"/>
        </w:rPr>
        <w:t xml:space="preserve"> </w:t>
      </w:r>
      <w:r w:rsidR="00524000" w:rsidRPr="00335B20">
        <w:rPr>
          <w:rStyle w:val="normaltextrun"/>
          <w:rFonts w:ascii="Garamond" w:hAnsi="Garamond"/>
          <w:color w:val="000000"/>
          <w:shd w:val="clear" w:color="auto" w:fill="FFFFFF"/>
          <w:lang w:val="en-US"/>
        </w:rPr>
        <w:t xml:space="preserve">if </w:t>
      </w:r>
      <w:r w:rsidR="005426E3" w:rsidRPr="00335B20">
        <w:rPr>
          <w:rStyle w:val="normaltextrun"/>
          <w:rFonts w:ascii="Garamond" w:hAnsi="Garamond"/>
          <w:color w:val="000000"/>
          <w:shd w:val="clear" w:color="auto" w:fill="FFFFFF"/>
          <w:lang w:val="en-US"/>
        </w:rPr>
        <w:t>t</w:t>
      </w:r>
      <w:r w:rsidR="00524000" w:rsidRPr="00335B20">
        <w:rPr>
          <w:rStyle w:val="normaltextrun"/>
          <w:rFonts w:ascii="Garamond" w:hAnsi="Garamond"/>
          <w:color w:val="000000"/>
          <w:shd w:val="clear" w:color="auto" w:fill="FFFFFF"/>
          <w:lang w:val="en-US"/>
        </w:rPr>
        <w:t xml:space="preserve">hat pursuit ended </w:t>
      </w:r>
      <w:r w:rsidR="005426E3" w:rsidRPr="00335B20">
        <w:rPr>
          <w:rStyle w:val="normaltextrun"/>
          <w:rFonts w:ascii="Garamond" w:hAnsi="Garamond"/>
          <w:color w:val="000000"/>
          <w:shd w:val="clear" w:color="auto" w:fill="FFFFFF"/>
          <w:lang w:val="en-US"/>
        </w:rPr>
        <w:t xml:space="preserve">in the waters of the Tiber, </w:t>
      </w:r>
      <w:r w:rsidR="00524000" w:rsidRPr="00335B20">
        <w:rPr>
          <w:rStyle w:val="normaltextrun"/>
          <w:rFonts w:ascii="Garamond" w:hAnsi="Garamond"/>
          <w:color w:val="000000"/>
          <w:shd w:val="clear" w:color="auto" w:fill="FFFFFF"/>
          <w:lang w:val="en-US"/>
        </w:rPr>
        <w:t>the apostasy was frequently taken to be political too.</w:t>
      </w:r>
      <w:r w:rsidR="006A1370" w:rsidRPr="00335B20">
        <w:rPr>
          <w:rStyle w:val="FootnoteReference"/>
          <w:rFonts w:ascii="Garamond" w:hAnsi="Garamond"/>
          <w:color w:val="000000"/>
          <w:shd w:val="clear" w:color="auto" w:fill="FFFFFF"/>
          <w:lang w:val="en-US"/>
        </w:rPr>
        <w:footnoteReference w:id="7"/>
      </w:r>
      <w:r w:rsidR="00524000" w:rsidRPr="00335B20">
        <w:rPr>
          <w:rStyle w:val="normaltextrun"/>
          <w:rFonts w:ascii="Garamond" w:hAnsi="Garamond"/>
          <w:color w:val="000000"/>
          <w:shd w:val="clear" w:color="auto" w:fill="FFFFFF"/>
          <w:lang w:val="en-US"/>
        </w:rPr>
        <w:t xml:space="preserve"> </w:t>
      </w:r>
      <w:r w:rsidR="007C0F82">
        <w:rPr>
          <w:rStyle w:val="normaltextrun"/>
          <w:rFonts w:ascii="Garamond" w:hAnsi="Garamond"/>
          <w:color w:val="000000"/>
          <w:shd w:val="clear" w:color="auto" w:fill="FFFFFF"/>
          <w:lang w:val="en-US"/>
        </w:rPr>
        <w:t xml:space="preserve">Nearly </w:t>
      </w:r>
      <w:r w:rsidR="002057CC">
        <w:rPr>
          <w:rStyle w:val="normaltextrun"/>
          <w:rFonts w:ascii="Garamond" w:hAnsi="Garamond"/>
          <w:color w:val="000000"/>
          <w:shd w:val="clear" w:color="auto" w:fill="FFFFFF"/>
          <w:lang w:val="en-US"/>
        </w:rPr>
        <w:t xml:space="preserve">twenty </w:t>
      </w:r>
      <w:r w:rsidR="007C0F82">
        <w:rPr>
          <w:rStyle w:val="normaltextrun"/>
          <w:rFonts w:ascii="Garamond" w:hAnsi="Garamond"/>
          <w:color w:val="000000"/>
          <w:shd w:val="clear" w:color="auto" w:fill="FFFFFF"/>
          <w:lang w:val="en-US"/>
        </w:rPr>
        <w:t>years</w:t>
      </w:r>
      <w:r w:rsidR="002057CC">
        <w:rPr>
          <w:rStyle w:val="normaltextrun"/>
          <w:rFonts w:ascii="Garamond" w:hAnsi="Garamond"/>
          <w:color w:val="000000"/>
          <w:shd w:val="clear" w:color="auto" w:fill="FFFFFF"/>
          <w:lang w:val="en-US"/>
        </w:rPr>
        <w:t xml:space="preserve"> after Newman converted, he was</w:t>
      </w:r>
      <w:r w:rsidR="00BD372A" w:rsidRPr="00335B20">
        <w:rPr>
          <w:rStyle w:val="normaltextrun"/>
          <w:rFonts w:ascii="Garamond" w:hAnsi="Garamond"/>
          <w:color w:val="000000"/>
          <w:shd w:val="clear" w:color="auto" w:fill="FFFFFF"/>
          <w:lang w:val="en-US"/>
        </w:rPr>
        <w:t xml:space="preserve"> subjected to a full-blown character assassination by Charles Kingsley</w:t>
      </w:r>
      <w:r w:rsidR="00302AA0" w:rsidRPr="00335B20">
        <w:rPr>
          <w:rStyle w:val="normaltextrun"/>
          <w:rFonts w:ascii="Garamond" w:hAnsi="Garamond"/>
          <w:color w:val="000000"/>
          <w:shd w:val="clear" w:color="auto" w:fill="FFFFFF"/>
          <w:lang w:val="en-US"/>
        </w:rPr>
        <w:t>, which skated as close a</w:t>
      </w:r>
      <w:r w:rsidR="007F4F86">
        <w:rPr>
          <w:rStyle w:val="normaltextrun"/>
          <w:rFonts w:ascii="Garamond" w:hAnsi="Garamond"/>
          <w:color w:val="000000"/>
          <w:shd w:val="clear" w:color="auto" w:fill="FFFFFF"/>
          <w:lang w:val="en-US"/>
        </w:rPr>
        <w:t>s</w:t>
      </w:r>
      <w:r w:rsidR="00302AA0" w:rsidRPr="00335B20">
        <w:rPr>
          <w:rStyle w:val="normaltextrun"/>
          <w:rFonts w:ascii="Garamond" w:hAnsi="Garamond"/>
          <w:color w:val="000000"/>
          <w:shd w:val="clear" w:color="auto" w:fill="FFFFFF"/>
          <w:lang w:val="en-US"/>
        </w:rPr>
        <w:t xml:space="preserve"> </w:t>
      </w:r>
      <w:r w:rsidR="005422A3">
        <w:rPr>
          <w:rStyle w:val="normaltextrun"/>
          <w:rFonts w:ascii="Garamond" w:hAnsi="Garamond"/>
          <w:color w:val="000000"/>
          <w:shd w:val="clear" w:color="auto" w:fill="FFFFFF"/>
          <w:lang w:val="en-US"/>
        </w:rPr>
        <w:t xml:space="preserve">possible </w:t>
      </w:r>
      <w:r w:rsidR="007F4F86">
        <w:rPr>
          <w:rStyle w:val="normaltextrun"/>
          <w:rFonts w:ascii="Garamond" w:hAnsi="Garamond"/>
          <w:color w:val="000000"/>
          <w:shd w:val="clear" w:color="auto" w:fill="FFFFFF"/>
          <w:lang w:val="en-US"/>
        </w:rPr>
        <w:t>t</w:t>
      </w:r>
      <w:r w:rsidR="00302AA0" w:rsidRPr="00335B20">
        <w:rPr>
          <w:rStyle w:val="normaltextrun"/>
          <w:rFonts w:ascii="Garamond" w:hAnsi="Garamond"/>
          <w:color w:val="000000"/>
          <w:shd w:val="clear" w:color="auto" w:fill="FFFFFF"/>
          <w:lang w:val="en-US"/>
        </w:rPr>
        <w:t>o an accusation of treason</w:t>
      </w:r>
      <w:r w:rsidR="005426E3" w:rsidRPr="00335B20">
        <w:rPr>
          <w:rStyle w:val="normaltextrun"/>
          <w:rFonts w:ascii="Garamond" w:hAnsi="Garamond"/>
          <w:color w:val="000000"/>
          <w:shd w:val="clear" w:color="auto" w:fill="FFFFFF"/>
          <w:lang w:val="en-US"/>
        </w:rPr>
        <w:t xml:space="preserve">. Kingsley alleged that Newman </w:t>
      </w:r>
      <w:r w:rsidR="00EB1FB1" w:rsidRPr="00335B20">
        <w:rPr>
          <w:rStyle w:val="normaltextrun"/>
          <w:rFonts w:ascii="Garamond" w:hAnsi="Garamond" w:cs="Segoe UI"/>
        </w:rPr>
        <w:t xml:space="preserve">had insinuated that ‘Queen Victoria’s government was to the Church of England what Nero’s or Diocletian’s was to the Church of Rome’. </w:t>
      </w:r>
      <w:r w:rsidR="005422A3">
        <w:rPr>
          <w:rStyle w:val="normaltextrun"/>
          <w:rFonts w:ascii="Garamond" w:hAnsi="Garamond" w:cs="Segoe UI"/>
        </w:rPr>
        <w:t xml:space="preserve">Moreover, </w:t>
      </w:r>
      <w:r w:rsidR="005426E3" w:rsidRPr="00335B20">
        <w:rPr>
          <w:rStyle w:val="normaltextrun"/>
          <w:rFonts w:ascii="Garamond" w:hAnsi="Garamond" w:cs="Segoe UI"/>
        </w:rPr>
        <w:t>Kingsley did</w:t>
      </w:r>
      <w:r w:rsidR="00C62F66">
        <w:rPr>
          <w:rStyle w:val="normaltextrun"/>
          <w:rFonts w:ascii="Garamond" w:hAnsi="Garamond" w:cs="Segoe UI"/>
        </w:rPr>
        <w:t xml:space="preserve"> </w:t>
      </w:r>
      <w:r w:rsidR="005426E3" w:rsidRPr="00335B20">
        <w:rPr>
          <w:rStyle w:val="normaltextrun"/>
          <w:rFonts w:ascii="Garamond" w:hAnsi="Garamond" w:cs="Segoe UI"/>
        </w:rPr>
        <w:t>n</w:t>
      </w:r>
      <w:r w:rsidR="00C62F66">
        <w:rPr>
          <w:rStyle w:val="normaltextrun"/>
          <w:rFonts w:ascii="Garamond" w:hAnsi="Garamond" w:cs="Segoe UI"/>
        </w:rPr>
        <w:t>o</w:t>
      </w:r>
      <w:r w:rsidR="005426E3" w:rsidRPr="00335B20">
        <w:rPr>
          <w:rStyle w:val="normaltextrun"/>
          <w:rFonts w:ascii="Garamond" w:hAnsi="Garamond" w:cs="Segoe UI"/>
        </w:rPr>
        <w:t xml:space="preserve">t hold back about his </w:t>
      </w:r>
      <w:r w:rsidR="00EB1FB1" w:rsidRPr="00335B20">
        <w:rPr>
          <w:rStyle w:val="normaltextrun"/>
          <w:rFonts w:ascii="Garamond" w:hAnsi="Garamond" w:cs="Segoe UI"/>
        </w:rPr>
        <w:t>‘strong distrust of certain Catholics’</w:t>
      </w:r>
      <w:r w:rsidR="005426E3" w:rsidRPr="00335B20">
        <w:rPr>
          <w:rStyle w:val="normaltextrun"/>
          <w:rFonts w:ascii="Garamond" w:hAnsi="Garamond" w:cs="Segoe UI"/>
        </w:rPr>
        <w:t>, by which he means converts from Anglicanism, for</w:t>
      </w:r>
      <w:r w:rsidR="00EB1FB1" w:rsidRPr="00335B20">
        <w:rPr>
          <w:rStyle w:val="normaltextrun"/>
          <w:rFonts w:ascii="Garamond" w:hAnsi="Garamond" w:cs="Segoe UI"/>
        </w:rPr>
        <w:t xml:space="preserve"> they</w:t>
      </w:r>
      <w:r w:rsidR="006776B8">
        <w:rPr>
          <w:rStyle w:val="normaltextrun"/>
          <w:rFonts w:ascii="Garamond" w:hAnsi="Garamond" w:cs="Segoe UI"/>
        </w:rPr>
        <w:t xml:space="preserve"> are said </w:t>
      </w:r>
      <w:r w:rsidR="00EB1FB1" w:rsidRPr="00335B20">
        <w:rPr>
          <w:rStyle w:val="normaltextrun"/>
          <w:rFonts w:ascii="Garamond" w:hAnsi="Garamond" w:cs="Segoe UI"/>
        </w:rPr>
        <w:t xml:space="preserve">always </w:t>
      </w:r>
      <w:r w:rsidR="006776B8">
        <w:rPr>
          <w:rStyle w:val="normaltextrun"/>
          <w:rFonts w:ascii="Garamond" w:hAnsi="Garamond" w:cs="Segoe UI"/>
        </w:rPr>
        <w:t xml:space="preserve">to </w:t>
      </w:r>
      <w:r w:rsidR="00EB1FB1" w:rsidRPr="00335B20">
        <w:rPr>
          <w:rStyle w:val="normaltextrun"/>
          <w:rFonts w:ascii="Garamond" w:hAnsi="Garamond" w:cs="Segoe UI"/>
        </w:rPr>
        <w:t>‘round upon their mother Church</w:t>
      </w:r>
      <w:r w:rsidR="007F4F86">
        <w:rPr>
          <w:rStyle w:val="normaltextrun"/>
          <w:rFonts w:ascii="Garamond" w:hAnsi="Garamond" w:cs="Segoe UI"/>
        </w:rPr>
        <w:t xml:space="preserve">, </w:t>
      </w:r>
      <w:r w:rsidR="00EB1FB1" w:rsidRPr="00335B20">
        <w:rPr>
          <w:rStyle w:val="normaltextrun"/>
          <w:rFonts w:ascii="Garamond" w:hAnsi="Garamond" w:cs="Segoe UI"/>
        </w:rPr>
        <w:t>(I had almost said their mother country) with contumely and slander’.</w:t>
      </w:r>
      <w:r w:rsidR="008C6675">
        <w:rPr>
          <w:rStyle w:val="FootnoteReference"/>
          <w:rFonts w:ascii="Garamond" w:hAnsi="Garamond" w:cs="Segoe UI"/>
        </w:rPr>
        <w:footnoteReference w:id="8"/>
      </w:r>
      <w:r w:rsidR="00EB1FB1" w:rsidRPr="00335B20">
        <w:rPr>
          <w:rStyle w:val="normaltextrun"/>
          <w:rFonts w:ascii="Garamond" w:hAnsi="Garamond" w:cs="Segoe UI"/>
        </w:rPr>
        <w:t xml:space="preserve"> </w:t>
      </w:r>
    </w:p>
    <w:p w14:paraId="2BA151FD" w14:textId="77777777" w:rsidR="005426E3" w:rsidRPr="00335B20" w:rsidRDefault="005426E3" w:rsidP="00335B20">
      <w:pPr>
        <w:pStyle w:val="paragraph"/>
        <w:spacing w:before="0" w:beforeAutospacing="0" w:after="0" w:afterAutospacing="0"/>
        <w:jc w:val="both"/>
        <w:textAlignment w:val="baseline"/>
        <w:rPr>
          <w:rStyle w:val="normaltextrun"/>
          <w:rFonts w:ascii="Garamond" w:hAnsi="Garamond" w:cs="Segoe UI"/>
        </w:rPr>
      </w:pPr>
    </w:p>
    <w:p w14:paraId="164ECD2A" w14:textId="7139BC82" w:rsidR="00C31974" w:rsidRPr="00335B20" w:rsidRDefault="00823408" w:rsidP="195B5958">
      <w:pPr>
        <w:pStyle w:val="paragraph"/>
        <w:spacing w:before="0" w:beforeAutospacing="0" w:after="0" w:afterAutospacing="0"/>
        <w:jc w:val="both"/>
        <w:textAlignment w:val="baseline"/>
        <w:rPr>
          <w:rStyle w:val="normaltextrun"/>
          <w:rFonts w:ascii="Garamond" w:hAnsi="Garamond" w:cs="Segoe UI"/>
        </w:rPr>
      </w:pPr>
      <w:r w:rsidRPr="00335B20">
        <w:rPr>
          <w:rStyle w:val="eop"/>
          <w:rFonts w:ascii="Garamond" w:hAnsi="Garamond" w:cs="Segoe UI"/>
        </w:rPr>
        <w:t xml:space="preserve">Against this background, the movement </w:t>
      </w:r>
      <w:r w:rsidR="00C62F66">
        <w:rPr>
          <w:rStyle w:val="eop"/>
          <w:rFonts w:ascii="Garamond" w:hAnsi="Garamond" w:cs="Segoe UI"/>
        </w:rPr>
        <w:t xml:space="preserve">within Catholicism which </w:t>
      </w:r>
      <w:r w:rsidRPr="00335B20">
        <w:rPr>
          <w:rStyle w:val="eop"/>
          <w:rFonts w:ascii="Garamond" w:hAnsi="Garamond" w:cs="Segoe UI"/>
        </w:rPr>
        <w:t>call</w:t>
      </w:r>
      <w:r w:rsidR="00C62F66">
        <w:rPr>
          <w:rStyle w:val="eop"/>
          <w:rFonts w:ascii="Garamond" w:hAnsi="Garamond" w:cs="Segoe UI"/>
        </w:rPr>
        <w:t xml:space="preserve">ed </w:t>
      </w:r>
      <w:r w:rsidRPr="00335B20">
        <w:rPr>
          <w:rStyle w:val="eop"/>
          <w:rFonts w:ascii="Garamond" w:hAnsi="Garamond" w:cs="Segoe UI"/>
        </w:rPr>
        <w:t>for a formal definition of Papal Infallibility</w:t>
      </w:r>
      <w:r w:rsidR="00DC393E">
        <w:rPr>
          <w:rStyle w:val="eop"/>
          <w:rFonts w:ascii="Garamond" w:hAnsi="Garamond" w:cs="Segoe UI"/>
        </w:rPr>
        <w:t xml:space="preserve">, in the run-up to the First Vatican Council of </w:t>
      </w:r>
      <w:r w:rsidR="00E541A8">
        <w:rPr>
          <w:rStyle w:val="eop"/>
          <w:rFonts w:ascii="Garamond" w:hAnsi="Garamond" w:cs="Segoe UI"/>
        </w:rPr>
        <w:t>1869-70,</w:t>
      </w:r>
      <w:r w:rsidRPr="00335B20">
        <w:rPr>
          <w:rStyle w:val="eop"/>
          <w:rFonts w:ascii="Garamond" w:hAnsi="Garamond" w:cs="Segoe UI"/>
        </w:rPr>
        <w:t xml:space="preserve"> seemed particularly sinister</w:t>
      </w:r>
      <w:r w:rsidR="006F1E75">
        <w:rPr>
          <w:rStyle w:val="eop"/>
          <w:rFonts w:ascii="Garamond" w:hAnsi="Garamond" w:cs="Segoe UI"/>
        </w:rPr>
        <w:t xml:space="preserve">. How could one be loyal to two parties if one </w:t>
      </w:r>
      <w:r w:rsidR="004B4B6A">
        <w:rPr>
          <w:rStyle w:val="eop"/>
          <w:rFonts w:ascii="Garamond" w:hAnsi="Garamond" w:cs="Segoe UI"/>
        </w:rPr>
        <w:t xml:space="preserve">of those parties </w:t>
      </w:r>
      <w:r w:rsidR="006F1E75">
        <w:rPr>
          <w:rStyle w:val="eop"/>
          <w:rFonts w:ascii="Garamond" w:hAnsi="Garamond" w:cs="Segoe UI"/>
        </w:rPr>
        <w:t xml:space="preserve">is taken to be an infallible oracle? </w:t>
      </w:r>
      <w:r w:rsidR="00D57BC8" w:rsidRPr="00335B20">
        <w:rPr>
          <w:rStyle w:val="eop"/>
          <w:rFonts w:ascii="Garamond" w:hAnsi="Garamond" w:cs="Segoe UI"/>
        </w:rPr>
        <w:t>Newman defended the definition to the Duke of Norfolk, and th</w:t>
      </w:r>
      <w:r w:rsidR="002D67F5">
        <w:rPr>
          <w:rStyle w:val="eop"/>
          <w:rFonts w:ascii="Garamond" w:hAnsi="Garamond" w:cs="Segoe UI"/>
        </w:rPr>
        <w:t xml:space="preserve">e </w:t>
      </w:r>
      <w:r w:rsidR="00D57BC8" w:rsidRPr="00335B20">
        <w:rPr>
          <w:rStyle w:val="eop"/>
          <w:rFonts w:ascii="Garamond" w:hAnsi="Garamond" w:cs="Segoe UI"/>
        </w:rPr>
        <w:t xml:space="preserve">letter </w:t>
      </w:r>
      <w:r w:rsidR="002D67F5">
        <w:rPr>
          <w:rStyle w:val="eop"/>
          <w:rFonts w:ascii="Garamond" w:hAnsi="Garamond" w:cs="Segoe UI"/>
        </w:rPr>
        <w:t>containing his defence i</w:t>
      </w:r>
      <w:r w:rsidR="00D57BC8" w:rsidRPr="00335B20">
        <w:rPr>
          <w:rStyle w:val="eop"/>
          <w:rFonts w:ascii="Garamond" w:hAnsi="Garamond" w:cs="Segoe UI"/>
        </w:rPr>
        <w:t>s rightly taken</w:t>
      </w:r>
      <w:r w:rsidR="004B4B6A">
        <w:rPr>
          <w:rStyle w:val="eop"/>
          <w:rFonts w:ascii="Garamond" w:hAnsi="Garamond" w:cs="Segoe UI"/>
        </w:rPr>
        <w:t xml:space="preserve"> </w:t>
      </w:r>
      <w:r w:rsidR="003B2C76" w:rsidRPr="00335B20">
        <w:rPr>
          <w:rStyle w:val="eop"/>
          <w:rFonts w:ascii="Garamond" w:hAnsi="Garamond" w:cs="Segoe UI"/>
        </w:rPr>
        <w:t>as</w:t>
      </w:r>
      <w:r w:rsidR="006F1E75">
        <w:rPr>
          <w:rStyle w:val="eop"/>
          <w:rFonts w:ascii="Garamond" w:hAnsi="Garamond" w:cs="Segoe UI"/>
        </w:rPr>
        <w:t xml:space="preserve"> an important milestone toward</w:t>
      </w:r>
      <w:r w:rsidR="003B2C76" w:rsidRPr="00335B20">
        <w:rPr>
          <w:rStyle w:val="eop"/>
          <w:rFonts w:ascii="Garamond" w:hAnsi="Garamond" w:cs="Segoe UI"/>
        </w:rPr>
        <w:t xml:space="preserve"> </w:t>
      </w:r>
      <w:r w:rsidR="004B4B6A">
        <w:rPr>
          <w:rStyle w:val="eop"/>
          <w:rFonts w:ascii="Garamond" w:hAnsi="Garamond" w:cs="Segoe UI"/>
        </w:rPr>
        <w:t>the contemporary</w:t>
      </w:r>
      <w:r w:rsidR="003B2C76" w:rsidRPr="00335B20">
        <w:rPr>
          <w:rStyle w:val="eop"/>
          <w:rFonts w:ascii="Garamond" w:hAnsi="Garamond" w:cs="Segoe UI"/>
        </w:rPr>
        <w:t xml:space="preserve"> rapprochement between </w:t>
      </w:r>
      <w:r w:rsidR="002D67F5">
        <w:rPr>
          <w:rStyle w:val="eop"/>
          <w:rFonts w:ascii="Garamond" w:hAnsi="Garamond" w:cs="Segoe UI"/>
        </w:rPr>
        <w:t>Roman Catholics and the</w:t>
      </w:r>
      <w:r w:rsidR="003B2C76" w:rsidRPr="00335B20">
        <w:rPr>
          <w:rStyle w:val="eop"/>
          <w:rFonts w:ascii="Garamond" w:hAnsi="Garamond" w:cs="Segoe UI"/>
        </w:rPr>
        <w:t xml:space="preserve"> British crown </w:t>
      </w:r>
      <w:r w:rsidR="195B5958" w:rsidRPr="195B5958">
        <w:rPr>
          <w:rStyle w:val="eop"/>
          <w:rFonts w:ascii="Garamond" w:hAnsi="Garamond" w:cs="Segoe UI"/>
        </w:rPr>
        <w:t>to this day</w:t>
      </w:r>
      <w:r w:rsidR="006F1E75">
        <w:rPr>
          <w:rStyle w:val="eop"/>
          <w:rFonts w:ascii="Garamond" w:hAnsi="Garamond" w:cs="Segoe UI"/>
        </w:rPr>
        <w:t xml:space="preserve">. </w:t>
      </w:r>
      <w:r w:rsidR="003B2C76" w:rsidRPr="00335B20">
        <w:rPr>
          <w:rStyle w:val="eop"/>
          <w:rFonts w:ascii="Garamond" w:hAnsi="Garamond" w:cs="Segoe UI"/>
        </w:rPr>
        <w:t>Newman stated</w:t>
      </w:r>
      <w:r w:rsidR="004009CA" w:rsidRPr="00335B20">
        <w:rPr>
          <w:rStyle w:val="eop"/>
          <w:rFonts w:ascii="Garamond" w:hAnsi="Garamond" w:cs="Segoe UI"/>
        </w:rPr>
        <w:t xml:space="preserve"> something which can </w:t>
      </w:r>
      <w:r w:rsidR="006F1E75">
        <w:rPr>
          <w:rStyle w:val="eop"/>
          <w:rFonts w:ascii="Garamond" w:hAnsi="Garamond" w:cs="Segoe UI"/>
        </w:rPr>
        <w:t xml:space="preserve">now </w:t>
      </w:r>
      <w:r w:rsidR="003D3DE1">
        <w:rPr>
          <w:rStyle w:val="eop"/>
          <w:rFonts w:ascii="Garamond" w:hAnsi="Garamond" w:cs="Segoe UI"/>
        </w:rPr>
        <w:t xml:space="preserve">just </w:t>
      </w:r>
      <w:r w:rsidR="004009CA" w:rsidRPr="00335B20">
        <w:rPr>
          <w:rStyle w:val="eop"/>
          <w:rFonts w:ascii="Garamond" w:hAnsi="Garamond" w:cs="Segoe UI"/>
        </w:rPr>
        <w:t xml:space="preserve">be assumed: </w:t>
      </w:r>
      <w:r w:rsidR="0001692E" w:rsidRPr="00335B20">
        <w:rPr>
          <w:rStyle w:val="normaltextrun"/>
          <w:rFonts w:ascii="Garamond" w:hAnsi="Garamond" w:cs="Segoe UI"/>
        </w:rPr>
        <w:t>‘I see no inconsistency in my being at once a good Catholic and a good Englishman’</w:t>
      </w:r>
      <w:r w:rsidR="004009CA" w:rsidRPr="00335B20">
        <w:rPr>
          <w:rStyle w:val="normaltextrun"/>
          <w:rFonts w:ascii="Garamond" w:hAnsi="Garamond" w:cs="Segoe UI"/>
        </w:rPr>
        <w:t>.</w:t>
      </w:r>
      <w:r w:rsidR="003D3DE1">
        <w:rPr>
          <w:rStyle w:val="FootnoteReference"/>
          <w:rFonts w:ascii="Garamond" w:hAnsi="Garamond" w:cs="Segoe UI"/>
        </w:rPr>
        <w:footnoteReference w:id="9"/>
      </w:r>
      <w:r w:rsidR="004009CA" w:rsidRPr="00335B20">
        <w:rPr>
          <w:rStyle w:val="normaltextrun"/>
          <w:rFonts w:ascii="Garamond" w:hAnsi="Garamond" w:cs="Segoe UI"/>
        </w:rPr>
        <w:t xml:space="preserve"> His argument is</w:t>
      </w:r>
      <w:r w:rsidR="003D3DE1">
        <w:rPr>
          <w:rStyle w:val="normaltextrun"/>
          <w:rFonts w:ascii="Garamond" w:hAnsi="Garamond" w:cs="Segoe UI"/>
        </w:rPr>
        <w:t xml:space="preserve"> </w:t>
      </w:r>
      <w:r w:rsidR="004009CA" w:rsidRPr="00335B20">
        <w:rPr>
          <w:rStyle w:val="normaltextrun"/>
          <w:rFonts w:ascii="Garamond" w:hAnsi="Garamond" w:cs="Segoe UI"/>
        </w:rPr>
        <w:t xml:space="preserve">that </w:t>
      </w:r>
      <w:r w:rsidR="003D3DE1">
        <w:rPr>
          <w:rStyle w:val="normaltextrun"/>
          <w:rFonts w:ascii="Garamond" w:hAnsi="Garamond" w:cs="Segoe UI"/>
        </w:rPr>
        <w:t xml:space="preserve">the formal definition of </w:t>
      </w:r>
      <w:r w:rsidR="00163614" w:rsidRPr="00335B20">
        <w:rPr>
          <w:rStyle w:val="normaltextrun"/>
          <w:rFonts w:ascii="Garamond" w:hAnsi="Garamond" w:cs="Segoe UI"/>
        </w:rPr>
        <w:t xml:space="preserve">Papal </w:t>
      </w:r>
      <w:r w:rsidR="005426E3" w:rsidRPr="00335B20">
        <w:rPr>
          <w:rStyle w:val="normaltextrun"/>
          <w:rFonts w:ascii="Garamond" w:hAnsi="Garamond" w:cs="Segoe UI"/>
        </w:rPr>
        <w:t>Infallibility</w:t>
      </w:r>
      <w:r w:rsidR="00163614" w:rsidRPr="00335B20">
        <w:rPr>
          <w:rStyle w:val="normaltextrun"/>
          <w:rFonts w:ascii="Garamond" w:hAnsi="Garamond" w:cs="Segoe UI"/>
        </w:rPr>
        <w:t xml:space="preserve"> does not extend to </w:t>
      </w:r>
      <w:r w:rsidR="005426E3" w:rsidRPr="00335B20">
        <w:rPr>
          <w:rStyle w:val="normaltextrun"/>
          <w:rFonts w:ascii="Garamond" w:hAnsi="Garamond" w:cs="Segoe UI"/>
        </w:rPr>
        <w:t xml:space="preserve">political issues, </w:t>
      </w:r>
      <w:r w:rsidR="00BA45B2" w:rsidRPr="00335B20">
        <w:rPr>
          <w:rStyle w:val="normaltextrun"/>
          <w:rFonts w:ascii="Garamond" w:hAnsi="Garamond" w:cs="Segoe UI"/>
        </w:rPr>
        <w:t xml:space="preserve">but rather to instances where the Pope speaks </w:t>
      </w:r>
      <w:r w:rsidR="00BA45B2" w:rsidRPr="195B5958">
        <w:rPr>
          <w:rStyle w:val="normaltextrun"/>
          <w:rFonts w:ascii="Garamond" w:hAnsi="Garamond" w:cs="Segoe UI"/>
          <w:i/>
          <w:iCs/>
        </w:rPr>
        <w:t>ex cathedra</w:t>
      </w:r>
      <w:r w:rsidR="00BA45B2" w:rsidRPr="00335B20">
        <w:rPr>
          <w:rStyle w:val="normaltextrun"/>
          <w:rFonts w:ascii="Garamond" w:hAnsi="Garamond" w:cs="Segoe UI"/>
        </w:rPr>
        <w:t xml:space="preserve"> </w:t>
      </w:r>
      <w:r w:rsidR="00056B71">
        <w:rPr>
          <w:rStyle w:val="normaltextrun"/>
          <w:rFonts w:ascii="Garamond" w:hAnsi="Garamond" w:cs="Segoe UI"/>
        </w:rPr>
        <w:t xml:space="preserve">on </w:t>
      </w:r>
      <w:r w:rsidR="00BA45B2" w:rsidRPr="00335B20">
        <w:rPr>
          <w:rStyle w:val="normaltextrun"/>
          <w:rFonts w:ascii="Garamond" w:hAnsi="Garamond" w:cs="Segoe UI"/>
        </w:rPr>
        <w:t xml:space="preserve">matters of faith and </w:t>
      </w:r>
      <w:r w:rsidR="00BA45B2" w:rsidRPr="00335B20">
        <w:rPr>
          <w:rStyle w:val="normaltextrun"/>
          <w:rFonts w:ascii="Garamond" w:hAnsi="Garamond" w:cs="Segoe UI"/>
        </w:rPr>
        <w:lastRenderedPageBreak/>
        <w:t>morals.</w:t>
      </w:r>
      <w:r w:rsidR="00056B71">
        <w:rPr>
          <w:rStyle w:val="FootnoteReference"/>
          <w:rFonts w:ascii="Garamond" w:hAnsi="Garamond" w:cs="Segoe UI"/>
        </w:rPr>
        <w:footnoteReference w:id="10"/>
      </w:r>
      <w:r w:rsidR="00BA45B2" w:rsidRPr="00335B20">
        <w:rPr>
          <w:rStyle w:val="normaltextrun"/>
          <w:rFonts w:ascii="Garamond" w:hAnsi="Garamond" w:cs="Segoe UI"/>
        </w:rPr>
        <w:t xml:space="preserve"> </w:t>
      </w:r>
      <w:r w:rsidR="00335B20" w:rsidRPr="00335B20">
        <w:rPr>
          <w:rStyle w:val="normaltextrun"/>
          <w:rFonts w:ascii="Garamond" w:hAnsi="Garamond" w:cs="Segoe UI"/>
        </w:rPr>
        <w:t>Infallibility</w:t>
      </w:r>
      <w:r w:rsidR="00CF6FFA" w:rsidRPr="00335B20">
        <w:rPr>
          <w:rStyle w:val="normaltextrun"/>
          <w:rFonts w:ascii="Garamond" w:hAnsi="Garamond" w:cs="Segoe UI"/>
        </w:rPr>
        <w:t xml:space="preserve"> is </w:t>
      </w:r>
      <w:r w:rsidR="00C7683E">
        <w:rPr>
          <w:rStyle w:val="normaltextrun"/>
          <w:rFonts w:ascii="Garamond" w:hAnsi="Garamond" w:cs="Segoe UI"/>
        </w:rPr>
        <w:t xml:space="preserve">therefore </w:t>
      </w:r>
      <w:r w:rsidR="00CF6FFA" w:rsidRPr="00335B20">
        <w:rPr>
          <w:rStyle w:val="normaltextrun"/>
          <w:rFonts w:ascii="Garamond" w:hAnsi="Garamond" w:cs="Segoe UI"/>
        </w:rPr>
        <w:t xml:space="preserve">not about political </w:t>
      </w:r>
      <w:r w:rsidR="006F1E75" w:rsidRPr="00335B20">
        <w:rPr>
          <w:rStyle w:val="normaltextrun"/>
          <w:rFonts w:ascii="Garamond" w:hAnsi="Garamond" w:cs="Segoe UI"/>
        </w:rPr>
        <w:t>allegiance;</w:t>
      </w:r>
      <w:r w:rsidR="00CF6FFA" w:rsidRPr="00335B20">
        <w:rPr>
          <w:rStyle w:val="normaltextrun"/>
          <w:rFonts w:ascii="Garamond" w:hAnsi="Garamond" w:cs="Segoe UI"/>
        </w:rPr>
        <w:t xml:space="preserve"> </w:t>
      </w:r>
      <w:r w:rsidR="006F1E75">
        <w:rPr>
          <w:rStyle w:val="normaltextrun"/>
          <w:rFonts w:ascii="Garamond" w:hAnsi="Garamond" w:cs="Segoe UI"/>
        </w:rPr>
        <w:t>h</w:t>
      </w:r>
      <w:r w:rsidR="005D0AEC" w:rsidRPr="00335B20">
        <w:rPr>
          <w:rStyle w:val="normaltextrun"/>
          <w:rFonts w:ascii="Garamond" w:hAnsi="Garamond" w:cs="Segoe UI"/>
        </w:rPr>
        <w:t xml:space="preserve">ence, </w:t>
      </w:r>
      <w:r w:rsidR="00056B71">
        <w:rPr>
          <w:rStyle w:val="normaltextrun"/>
          <w:rFonts w:ascii="Garamond" w:hAnsi="Garamond" w:cs="Segoe UI"/>
        </w:rPr>
        <w:t xml:space="preserve">one can assume it is </w:t>
      </w:r>
      <w:r w:rsidR="00637795">
        <w:rPr>
          <w:rStyle w:val="normaltextrun"/>
          <w:rFonts w:ascii="Garamond" w:hAnsi="Garamond" w:cs="Segoe UI"/>
        </w:rPr>
        <w:t xml:space="preserve">near impossible that </w:t>
      </w:r>
      <w:r w:rsidR="00E15294">
        <w:rPr>
          <w:rStyle w:val="normaltextrun"/>
          <w:rFonts w:ascii="Garamond" w:hAnsi="Garamond" w:cs="Segoe UI"/>
        </w:rPr>
        <w:t xml:space="preserve">a supposedly </w:t>
      </w:r>
      <w:r w:rsidR="00C17475">
        <w:rPr>
          <w:rStyle w:val="normaltextrun"/>
          <w:rFonts w:ascii="Garamond" w:hAnsi="Garamond" w:cs="Segoe UI"/>
        </w:rPr>
        <w:t>infallible</w:t>
      </w:r>
      <w:r w:rsidR="00E15294">
        <w:rPr>
          <w:rStyle w:val="normaltextrun"/>
          <w:rFonts w:ascii="Garamond" w:hAnsi="Garamond" w:cs="Segoe UI"/>
        </w:rPr>
        <w:t xml:space="preserve"> oracle </w:t>
      </w:r>
      <w:r w:rsidR="00637795">
        <w:rPr>
          <w:rStyle w:val="normaltextrun"/>
          <w:rFonts w:ascii="Garamond" w:hAnsi="Garamond" w:cs="Segoe UI"/>
        </w:rPr>
        <w:t xml:space="preserve">would contradict </w:t>
      </w:r>
      <w:r w:rsidR="00C17475">
        <w:rPr>
          <w:rStyle w:val="normaltextrun"/>
          <w:rFonts w:ascii="Garamond" w:hAnsi="Garamond" w:cs="Segoe UI"/>
        </w:rPr>
        <w:t>a local sovereign</w:t>
      </w:r>
      <w:r w:rsidR="005D0AEC" w:rsidRPr="00335B20">
        <w:rPr>
          <w:rStyle w:val="normaltextrun"/>
          <w:rFonts w:ascii="Garamond" w:hAnsi="Garamond" w:cs="Segoe UI"/>
        </w:rPr>
        <w:t xml:space="preserve">. </w:t>
      </w:r>
      <w:r w:rsidR="00FA2AA2" w:rsidRPr="00335B20">
        <w:rPr>
          <w:rStyle w:val="normaltextrun"/>
          <w:rFonts w:ascii="Garamond" w:hAnsi="Garamond" w:cs="Segoe UI"/>
        </w:rPr>
        <w:t xml:space="preserve">Indeed, </w:t>
      </w:r>
      <w:r w:rsidR="00C22D01">
        <w:rPr>
          <w:rStyle w:val="normaltextrun"/>
          <w:rFonts w:ascii="Garamond" w:hAnsi="Garamond" w:cs="Segoe UI"/>
        </w:rPr>
        <w:t xml:space="preserve">it is precisely </w:t>
      </w:r>
      <w:r w:rsidR="00FA2AA2" w:rsidRPr="00335B20">
        <w:rPr>
          <w:rStyle w:val="normaltextrun"/>
          <w:rFonts w:ascii="Garamond" w:hAnsi="Garamond" w:cs="Segoe UI"/>
        </w:rPr>
        <w:t xml:space="preserve">the </w:t>
      </w:r>
      <w:r w:rsidR="00F01B87">
        <w:rPr>
          <w:rStyle w:val="normaltextrun"/>
          <w:rFonts w:ascii="Garamond" w:hAnsi="Garamond" w:cs="Segoe UI"/>
        </w:rPr>
        <w:t xml:space="preserve">historical </w:t>
      </w:r>
      <w:r w:rsidR="00FA2AA2" w:rsidRPr="00335B20">
        <w:rPr>
          <w:rStyle w:val="normaltextrun"/>
          <w:rFonts w:ascii="Garamond" w:hAnsi="Garamond" w:cs="Segoe UI"/>
        </w:rPr>
        <w:t xml:space="preserve">failure to disambiguate these </w:t>
      </w:r>
      <w:r w:rsidR="00335B20" w:rsidRPr="00335B20">
        <w:rPr>
          <w:rStyle w:val="normaltextrun"/>
          <w:rFonts w:ascii="Garamond" w:hAnsi="Garamond" w:cs="Segoe UI"/>
        </w:rPr>
        <w:t xml:space="preserve">two domains of concern </w:t>
      </w:r>
      <w:r w:rsidR="00C22D01">
        <w:rPr>
          <w:rStyle w:val="normaltextrun"/>
          <w:rFonts w:ascii="Garamond" w:hAnsi="Garamond" w:cs="Segoe UI"/>
        </w:rPr>
        <w:t xml:space="preserve">which </w:t>
      </w:r>
      <w:r w:rsidR="00FA2AA2" w:rsidRPr="00335B20">
        <w:rPr>
          <w:rStyle w:val="normaltextrun"/>
          <w:rFonts w:ascii="Garamond" w:hAnsi="Garamond" w:cs="Segoe UI"/>
        </w:rPr>
        <w:t xml:space="preserve">is </w:t>
      </w:r>
      <w:r w:rsidR="00C22D01">
        <w:rPr>
          <w:rStyle w:val="normaltextrun"/>
          <w:rFonts w:ascii="Garamond" w:hAnsi="Garamond" w:cs="Segoe UI"/>
        </w:rPr>
        <w:t>the primary</w:t>
      </w:r>
      <w:r w:rsidR="00335B20" w:rsidRPr="00335B20">
        <w:rPr>
          <w:rStyle w:val="normaltextrun"/>
          <w:rFonts w:ascii="Garamond" w:hAnsi="Garamond" w:cs="Segoe UI"/>
        </w:rPr>
        <w:t xml:space="preserve"> issue for Newman. He points to the </w:t>
      </w:r>
      <w:r w:rsidR="008D2823" w:rsidRPr="00335B20">
        <w:rPr>
          <w:rStyle w:val="normaltextrun"/>
          <w:rFonts w:ascii="Garamond" w:hAnsi="Garamond" w:cs="Segoe UI"/>
        </w:rPr>
        <w:t>Irish example</w:t>
      </w:r>
      <w:r w:rsidR="00335B20" w:rsidRPr="00335B20">
        <w:rPr>
          <w:rStyle w:val="normaltextrun"/>
          <w:rFonts w:ascii="Garamond" w:hAnsi="Garamond" w:cs="Segoe UI"/>
        </w:rPr>
        <w:t xml:space="preserve"> to </w:t>
      </w:r>
      <w:r w:rsidR="003A4C85">
        <w:rPr>
          <w:rStyle w:val="normaltextrun"/>
          <w:rFonts w:ascii="Garamond" w:hAnsi="Garamond" w:cs="Segoe UI"/>
        </w:rPr>
        <w:t xml:space="preserve">claim </w:t>
      </w:r>
      <w:r w:rsidR="00335B20" w:rsidRPr="00335B20">
        <w:rPr>
          <w:rStyle w:val="normaltextrun"/>
          <w:rFonts w:ascii="Garamond" w:hAnsi="Garamond" w:cs="Segoe UI"/>
        </w:rPr>
        <w:t xml:space="preserve">that </w:t>
      </w:r>
      <w:r w:rsidR="00C80ED8" w:rsidRPr="00335B20">
        <w:rPr>
          <w:rStyle w:val="normaltextrun"/>
          <w:rFonts w:ascii="Garamond" w:hAnsi="Garamond" w:cs="Segoe UI"/>
        </w:rPr>
        <w:t>‘Ireland is not the only country in which politics, or patriotism’ has ‘been so closely associated with religion in the nation</w:t>
      </w:r>
      <w:r w:rsidR="00C17475">
        <w:rPr>
          <w:rStyle w:val="normaltextrun"/>
          <w:rFonts w:ascii="Garamond" w:hAnsi="Garamond" w:cs="Segoe UI"/>
        </w:rPr>
        <w:t>’</w:t>
      </w:r>
      <w:r w:rsidR="00C80ED8" w:rsidRPr="00335B20">
        <w:rPr>
          <w:rStyle w:val="normaltextrun"/>
          <w:rFonts w:ascii="Garamond" w:hAnsi="Garamond" w:cs="Segoe UI"/>
        </w:rPr>
        <w:t xml:space="preserve"> </w:t>
      </w:r>
      <w:r w:rsidR="00C17475">
        <w:rPr>
          <w:rStyle w:val="normaltextrun"/>
          <w:rFonts w:ascii="Garamond" w:hAnsi="Garamond" w:cs="Segoe UI"/>
        </w:rPr>
        <w:t>t</w:t>
      </w:r>
      <w:r w:rsidR="00C80ED8" w:rsidRPr="00335B20">
        <w:rPr>
          <w:rStyle w:val="normaltextrun"/>
          <w:rFonts w:ascii="Garamond" w:hAnsi="Garamond" w:cs="Segoe UI"/>
        </w:rPr>
        <w:t xml:space="preserve">hat </w:t>
      </w:r>
      <w:r w:rsidR="002712AB" w:rsidRPr="00335B20">
        <w:rPr>
          <w:rStyle w:val="normaltextrun"/>
          <w:rFonts w:ascii="Garamond" w:hAnsi="Garamond" w:cs="Segoe UI"/>
        </w:rPr>
        <w:t>it</w:t>
      </w:r>
      <w:r w:rsidR="00C80ED8" w:rsidRPr="00335B20">
        <w:rPr>
          <w:rStyle w:val="normaltextrun"/>
          <w:rFonts w:ascii="Garamond" w:hAnsi="Garamond" w:cs="Segoe UI"/>
        </w:rPr>
        <w:t xml:space="preserve"> is difficult to say which </w:t>
      </w:r>
      <w:r w:rsidR="00C80ED8" w:rsidRPr="00C17475">
        <w:rPr>
          <w:rStyle w:val="normaltextrun"/>
          <w:rFonts w:ascii="Garamond" w:hAnsi="Garamond" w:cs="Segoe UI"/>
        </w:rPr>
        <w:t>is which.</w:t>
      </w:r>
      <w:r w:rsidR="00C80ED8" w:rsidRPr="00335B20">
        <w:rPr>
          <w:rStyle w:val="FootnoteReference"/>
          <w:rFonts w:ascii="Garamond" w:hAnsi="Garamond" w:cs="Segoe UI"/>
        </w:rPr>
        <w:footnoteReference w:id="11"/>
      </w:r>
      <w:r w:rsidR="00C17475">
        <w:rPr>
          <w:rStyle w:val="normaltextrun"/>
          <w:rFonts w:ascii="Garamond" w:hAnsi="Garamond" w:cs="Segoe UI"/>
        </w:rPr>
        <w:t xml:space="preserve"> Such sentiments </w:t>
      </w:r>
      <w:r w:rsidR="00594EED">
        <w:rPr>
          <w:rStyle w:val="normaltextrun"/>
          <w:rFonts w:ascii="Garamond" w:hAnsi="Garamond" w:cs="Segoe UI"/>
        </w:rPr>
        <w:t xml:space="preserve">can be interpreted as suggesting a greater separation between religion and politics </w:t>
      </w:r>
      <w:r w:rsidR="00594EED" w:rsidRPr="00594EED">
        <w:rPr>
          <w:rStyle w:val="normaltextrun"/>
          <w:rFonts w:ascii="Garamond" w:hAnsi="Garamond" w:cs="Segoe UI"/>
          <w:i/>
          <w:iCs/>
        </w:rPr>
        <w:t>tout court</w:t>
      </w:r>
      <w:r w:rsidR="00594EED">
        <w:rPr>
          <w:rStyle w:val="normaltextrun"/>
          <w:rFonts w:ascii="Garamond" w:hAnsi="Garamond" w:cs="Segoe UI"/>
        </w:rPr>
        <w:t xml:space="preserve"> would be beneficial for the Catholic cause. </w:t>
      </w:r>
    </w:p>
    <w:p w14:paraId="674315BC" w14:textId="77777777" w:rsidR="00C31974" w:rsidRPr="00335B20" w:rsidRDefault="00C31974" w:rsidP="00335B20">
      <w:pPr>
        <w:pStyle w:val="paragraph"/>
        <w:spacing w:before="0" w:beforeAutospacing="0" w:after="0" w:afterAutospacing="0"/>
        <w:jc w:val="both"/>
        <w:textAlignment w:val="baseline"/>
        <w:rPr>
          <w:rStyle w:val="normaltextrun"/>
          <w:rFonts w:ascii="Garamond" w:hAnsi="Garamond" w:cs="Segoe UI"/>
        </w:rPr>
      </w:pPr>
    </w:p>
    <w:p w14:paraId="5D13BDB6" w14:textId="2A41C851" w:rsidR="00C70AD2" w:rsidRDefault="00026E09" w:rsidP="00E64054">
      <w:pPr>
        <w:pStyle w:val="paragraph"/>
        <w:spacing w:before="0" w:beforeAutospacing="0" w:after="0" w:afterAutospacing="0"/>
        <w:jc w:val="both"/>
        <w:textAlignment w:val="baseline"/>
        <w:rPr>
          <w:rStyle w:val="normaltextrun"/>
          <w:rFonts w:ascii="Garamond" w:hAnsi="Garamond" w:cs="Segoe UI"/>
        </w:rPr>
      </w:pPr>
      <w:r>
        <w:rPr>
          <w:rStyle w:val="normaltextrun"/>
          <w:rFonts w:ascii="Garamond" w:hAnsi="Garamond" w:cs="Segoe UI"/>
        </w:rPr>
        <w:t>Newman’s l</w:t>
      </w:r>
      <w:r w:rsidR="000C5ADB" w:rsidRPr="00335B20">
        <w:rPr>
          <w:rStyle w:val="normaltextrun"/>
          <w:rFonts w:ascii="Garamond" w:hAnsi="Garamond" w:cs="Segoe UI"/>
        </w:rPr>
        <w:t xml:space="preserve">etter might seem to settle the matter, and indeed many assume it does. </w:t>
      </w:r>
      <w:r w:rsidR="00614CE4" w:rsidRPr="00335B20">
        <w:rPr>
          <w:rStyle w:val="normaltextrun"/>
          <w:rFonts w:ascii="Garamond" w:hAnsi="Garamond" w:cs="Segoe UI"/>
        </w:rPr>
        <w:t>However</w:t>
      </w:r>
      <w:r w:rsidR="006A4A63">
        <w:rPr>
          <w:rStyle w:val="normaltextrun"/>
          <w:rFonts w:ascii="Garamond" w:hAnsi="Garamond" w:cs="Segoe UI"/>
        </w:rPr>
        <w:t xml:space="preserve">, </w:t>
      </w:r>
      <w:r w:rsidR="00D97AA8">
        <w:rPr>
          <w:rStyle w:val="normaltextrun"/>
          <w:rFonts w:ascii="Garamond" w:hAnsi="Garamond" w:cs="Segoe UI"/>
        </w:rPr>
        <w:t xml:space="preserve">given </w:t>
      </w:r>
      <w:r w:rsidR="00522CB8">
        <w:rPr>
          <w:rStyle w:val="normaltextrun"/>
          <w:rFonts w:ascii="Garamond" w:hAnsi="Garamond" w:cs="Segoe UI"/>
        </w:rPr>
        <w:t xml:space="preserve">a </w:t>
      </w:r>
      <w:r w:rsidR="006A4A63">
        <w:rPr>
          <w:rStyle w:val="normaltextrun"/>
          <w:rFonts w:ascii="Garamond" w:hAnsi="Garamond" w:cs="Segoe UI"/>
        </w:rPr>
        <w:t>19</w:t>
      </w:r>
      <w:r w:rsidR="006A4A63" w:rsidRPr="006A4A63">
        <w:rPr>
          <w:rStyle w:val="normaltextrun"/>
          <w:rFonts w:ascii="Garamond" w:hAnsi="Garamond" w:cs="Segoe UI"/>
          <w:vertAlign w:val="superscript"/>
        </w:rPr>
        <w:t>th</w:t>
      </w:r>
      <w:r w:rsidR="006A4A63">
        <w:rPr>
          <w:rStyle w:val="normaltextrun"/>
          <w:rFonts w:ascii="Garamond" w:hAnsi="Garamond" w:cs="Segoe UI"/>
        </w:rPr>
        <w:t xml:space="preserve"> century context </w:t>
      </w:r>
      <w:r w:rsidR="00D97AA8">
        <w:rPr>
          <w:rStyle w:val="normaltextrun"/>
          <w:rFonts w:ascii="Garamond" w:hAnsi="Garamond" w:cs="Segoe UI"/>
        </w:rPr>
        <w:t>riven with ‘No Popery</w:t>
      </w:r>
      <w:r w:rsidR="00522CB8">
        <w:rPr>
          <w:rStyle w:val="normaltextrun"/>
          <w:rFonts w:ascii="Garamond" w:hAnsi="Garamond" w:cs="Segoe UI"/>
        </w:rPr>
        <w:t xml:space="preserve">’ </w:t>
      </w:r>
      <w:r w:rsidR="006A4A63">
        <w:rPr>
          <w:rStyle w:val="normaltextrun"/>
          <w:rFonts w:ascii="Garamond" w:hAnsi="Garamond" w:cs="Segoe UI"/>
        </w:rPr>
        <w:t xml:space="preserve">and </w:t>
      </w:r>
      <w:r w:rsidR="00522CB8">
        <w:rPr>
          <w:rStyle w:val="normaltextrun"/>
          <w:rFonts w:ascii="Garamond" w:hAnsi="Garamond" w:cs="Segoe UI"/>
        </w:rPr>
        <w:t xml:space="preserve">much popular anti-Catholic prejudice, not to mention </w:t>
      </w:r>
      <w:r w:rsidR="00FE0634">
        <w:rPr>
          <w:rStyle w:val="normaltextrun"/>
          <w:rFonts w:ascii="Garamond" w:hAnsi="Garamond" w:cs="Segoe UI"/>
        </w:rPr>
        <w:t>the slander against him from</w:t>
      </w:r>
      <w:r w:rsidR="006A4A63">
        <w:rPr>
          <w:rStyle w:val="normaltextrun"/>
          <w:rFonts w:ascii="Garamond" w:hAnsi="Garamond" w:cs="Segoe UI"/>
        </w:rPr>
        <w:t xml:space="preserve"> Kingsley, </w:t>
      </w:r>
      <w:r w:rsidR="00FE0634">
        <w:rPr>
          <w:rStyle w:val="normaltextrun"/>
          <w:rFonts w:ascii="Garamond" w:hAnsi="Garamond" w:cs="Segoe UI"/>
        </w:rPr>
        <w:t xml:space="preserve">we might </w:t>
      </w:r>
      <w:r w:rsidR="006A4A63">
        <w:rPr>
          <w:rStyle w:val="normaltextrun"/>
          <w:rFonts w:ascii="Garamond" w:hAnsi="Garamond" w:cs="Segoe UI"/>
        </w:rPr>
        <w:t xml:space="preserve">ask whether Newman </w:t>
      </w:r>
      <w:r w:rsidR="00FE0634">
        <w:rPr>
          <w:rStyle w:val="normaltextrun"/>
          <w:rFonts w:ascii="Garamond" w:hAnsi="Garamond" w:cs="Segoe UI"/>
        </w:rPr>
        <w:t>strategically downplays some of the underlying</w:t>
      </w:r>
      <w:r w:rsidR="00E64054">
        <w:rPr>
          <w:rStyle w:val="normaltextrun"/>
          <w:rFonts w:ascii="Garamond" w:hAnsi="Garamond" w:cs="Segoe UI"/>
        </w:rPr>
        <w:t xml:space="preserve"> issues</w:t>
      </w:r>
      <w:r w:rsidR="00962890">
        <w:rPr>
          <w:rStyle w:val="normaltextrun"/>
          <w:rFonts w:ascii="Garamond" w:hAnsi="Garamond" w:cs="Segoe UI"/>
        </w:rPr>
        <w:t xml:space="preserve"> at stake</w:t>
      </w:r>
      <w:r w:rsidR="00E64054">
        <w:rPr>
          <w:rStyle w:val="normaltextrun"/>
          <w:rFonts w:ascii="Garamond" w:hAnsi="Garamond" w:cs="Segoe UI"/>
        </w:rPr>
        <w:t xml:space="preserve">. That is, </w:t>
      </w:r>
      <w:r w:rsidR="00962890">
        <w:rPr>
          <w:rStyle w:val="normaltextrun"/>
          <w:rFonts w:ascii="Garamond" w:hAnsi="Garamond" w:cs="Segoe UI"/>
        </w:rPr>
        <w:t xml:space="preserve">at the time of writing his </w:t>
      </w:r>
      <w:r w:rsidR="00962890" w:rsidRPr="00962890">
        <w:rPr>
          <w:rStyle w:val="normaltextrun"/>
          <w:rFonts w:ascii="Garamond" w:hAnsi="Garamond" w:cs="Segoe UI"/>
          <w:i/>
          <w:iCs/>
        </w:rPr>
        <w:t>Letter</w:t>
      </w:r>
      <w:r w:rsidR="00962890">
        <w:rPr>
          <w:rStyle w:val="normaltextrun"/>
          <w:rFonts w:ascii="Garamond" w:hAnsi="Garamond" w:cs="Segoe UI"/>
        </w:rPr>
        <w:t xml:space="preserve">, </w:t>
      </w:r>
      <w:r w:rsidR="004D3653" w:rsidRPr="00335B20">
        <w:rPr>
          <w:rStyle w:val="normaltextrun"/>
          <w:rFonts w:ascii="Garamond" w:hAnsi="Garamond" w:cs="Segoe UI"/>
        </w:rPr>
        <w:t>there</w:t>
      </w:r>
      <w:r w:rsidR="00CF5162">
        <w:rPr>
          <w:rStyle w:val="normaltextrun"/>
          <w:rFonts w:ascii="Garamond" w:hAnsi="Garamond" w:cs="Segoe UI"/>
        </w:rPr>
        <w:t xml:space="preserve"> </w:t>
      </w:r>
      <w:r w:rsidR="00962890">
        <w:rPr>
          <w:rStyle w:val="normaltextrun"/>
          <w:rFonts w:ascii="Garamond" w:hAnsi="Garamond" w:cs="Segoe UI"/>
        </w:rPr>
        <w:t>wa</w:t>
      </w:r>
      <w:r w:rsidR="004D3653" w:rsidRPr="00335B20">
        <w:rPr>
          <w:rStyle w:val="normaltextrun"/>
          <w:rFonts w:ascii="Garamond" w:hAnsi="Garamond" w:cs="Segoe UI"/>
        </w:rPr>
        <w:t xml:space="preserve">s no </w:t>
      </w:r>
      <w:r w:rsidR="004D1DC6">
        <w:rPr>
          <w:rStyle w:val="normaltextrun"/>
          <w:rFonts w:ascii="Garamond" w:hAnsi="Garamond" w:cs="Segoe UI"/>
        </w:rPr>
        <w:t xml:space="preserve">formal </w:t>
      </w:r>
      <w:r w:rsidR="004D3653" w:rsidRPr="00335B20">
        <w:rPr>
          <w:rStyle w:val="normaltextrun"/>
          <w:rFonts w:ascii="Garamond" w:hAnsi="Garamond" w:cs="Segoe UI"/>
        </w:rPr>
        <w:t xml:space="preserve">doctrinal </w:t>
      </w:r>
      <w:r w:rsidR="004D1DC6">
        <w:rPr>
          <w:rStyle w:val="normaltextrun"/>
          <w:rFonts w:ascii="Garamond" w:hAnsi="Garamond" w:cs="Segoe UI"/>
        </w:rPr>
        <w:t xml:space="preserve">reprieve from the </w:t>
      </w:r>
      <w:r w:rsidR="00376ADA">
        <w:rPr>
          <w:rStyle w:val="normaltextrun"/>
          <w:rFonts w:ascii="Garamond" w:hAnsi="Garamond" w:cs="Segoe UI"/>
        </w:rPr>
        <w:t>counter Reformation</w:t>
      </w:r>
      <w:r w:rsidR="00E64054">
        <w:rPr>
          <w:rStyle w:val="normaltextrun"/>
          <w:rFonts w:ascii="Garamond" w:hAnsi="Garamond" w:cs="Segoe UI"/>
        </w:rPr>
        <w:t>-</w:t>
      </w:r>
      <w:r w:rsidR="00376ADA">
        <w:rPr>
          <w:rStyle w:val="normaltextrun"/>
          <w:rFonts w:ascii="Garamond" w:hAnsi="Garamond" w:cs="Segoe UI"/>
        </w:rPr>
        <w:t xml:space="preserve">era understanding of political sovereignty. </w:t>
      </w:r>
      <w:r w:rsidR="00A4243C">
        <w:rPr>
          <w:rStyle w:val="normaltextrun"/>
          <w:rFonts w:ascii="Garamond" w:hAnsi="Garamond" w:cs="Segoe UI"/>
        </w:rPr>
        <w:t xml:space="preserve">Such an understanding can be seen in </w:t>
      </w:r>
      <w:r w:rsidR="009704FB" w:rsidRPr="00335B20">
        <w:rPr>
          <w:rStyle w:val="normaltextrun"/>
          <w:rFonts w:ascii="Garamond" w:hAnsi="Garamond" w:cs="Segoe UI"/>
        </w:rPr>
        <w:t>St Robert Bellarmine</w:t>
      </w:r>
      <w:r w:rsidR="006F1E75">
        <w:rPr>
          <w:rStyle w:val="normaltextrun"/>
          <w:rFonts w:ascii="Garamond" w:hAnsi="Garamond" w:cs="Segoe UI"/>
        </w:rPr>
        <w:t>, for whom</w:t>
      </w:r>
      <w:r w:rsidR="00C947AD">
        <w:rPr>
          <w:rStyle w:val="normaltextrun"/>
          <w:rFonts w:ascii="Garamond" w:hAnsi="Garamond" w:cs="Segoe UI"/>
        </w:rPr>
        <w:t xml:space="preserve"> </w:t>
      </w:r>
      <w:r w:rsidR="00E36AEF" w:rsidRPr="00335B20">
        <w:rPr>
          <w:rStyle w:val="normaltextrun"/>
          <w:rFonts w:ascii="Garamond" w:hAnsi="Garamond" w:cs="Segoe UI"/>
        </w:rPr>
        <w:t xml:space="preserve">the pope </w:t>
      </w:r>
      <w:r w:rsidR="00DC05A6">
        <w:rPr>
          <w:rStyle w:val="normaltextrun"/>
          <w:rFonts w:ascii="Garamond" w:hAnsi="Garamond" w:cs="Segoe UI"/>
        </w:rPr>
        <w:t>gives</w:t>
      </w:r>
      <w:r w:rsidR="00E36AEF" w:rsidRPr="00335B20">
        <w:rPr>
          <w:rStyle w:val="normaltextrun"/>
          <w:rFonts w:ascii="Garamond" w:hAnsi="Garamond" w:cs="Segoe UI"/>
        </w:rPr>
        <w:t xml:space="preserve"> </w:t>
      </w:r>
      <w:r w:rsidR="00DC05A6">
        <w:rPr>
          <w:rStyle w:val="normaltextrun"/>
          <w:rFonts w:ascii="Garamond" w:hAnsi="Garamond" w:cs="Segoe UI"/>
        </w:rPr>
        <w:t>‘</w:t>
      </w:r>
      <w:r w:rsidR="00E36AEF" w:rsidRPr="00335B20">
        <w:rPr>
          <w:rStyle w:val="normaltextrun"/>
          <w:rFonts w:ascii="Garamond" w:hAnsi="Garamond" w:cs="Segoe UI"/>
        </w:rPr>
        <w:t>legitimacy to the power of princes</w:t>
      </w:r>
      <w:r w:rsidR="00DC05A6">
        <w:rPr>
          <w:rStyle w:val="normaltextrun"/>
          <w:rFonts w:ascii="Garamond" w:hAnsi="Garamond" w:cs="Segoe UI"/>
        </w:rPr>
        <w:t>’</w:t>
      </w:r>
      <w:r w:rsidR="00467EAC">
        <w:rPr>
          <w:rStyle w:val="normaltextrun"/>
          <w:rFonts w:ascii="Garamond" w:hAnsi="Garamond" w:cs="Segoe UI"/>
        </w:rPr>
        <w:t xml:space="preserve">, and </w:t>
      </w:r>
      <w:r w:rsidR="00E36AEF" w:rsidRPr="00335B20">
        <w:rPr>
          <w:rStyle w:val="normaltextrun"/>
          <w:rFonts w:ascii="Garamond" w:hAnsi="Garamond" w:cs="Segoe UI"/>
        </w:rPr>
        <w:t>king</w:t>
      </w:r>
      <w:r w:rsidR="00467EAC">
        <w:rPr>
          <w:rStyle w:val="normaltextrun"/>
          <w:rFonts w:ascii="Garamond" w:hAnsi="Garamond" w:cs="Segoe UI"/>
        </w:rPr>
        <w:t>s</w:t>
      </w:r>
      <w:r w:rsidR="00E36AEF" w:rsidRPr="00335B20">
        <w:rPr>
          <w:rStyle w:val="normaltextrun"/>
          <w:rFonts w:ascii="Garamond" w:hAnsi="Garamond" w:cs="Segoe UI"/>
        </w:rPr>
        <w:t xml:space="preserve"> </w:t>
      </w:r>
      <w:r w:rsidR="00C70AD2">
        <w:rPr>
          <w:rStyle w:val="normaltextrun"/>
          <w:rFonts w:ascii="Garamond" w:hAnsi="Garamond" w:cs="Segoe UI"/>
        </w:rPr>
        <w:t xml:space="preserve">rule </w:t>
      </w:r>
      <w:r w:rsidR="002405F1">
        <w:rPr>
          <w:rStyle w:val="normaltextrun"/>
          <w:rFonts w:ascii="Garamond" w:hAnsi="Garamond" w:cs="Segoe UI"/>
        </w:rPr>
        <w:t>‘</w:t>
      </w:r>
      <w:r w:rsidR="00E36AEF" w:rsidRPr="00335B20">
        <w:rPr>
          <w:rStyle w:val="normaltextrun"/>
          <w:rFonts w:ascii="Garamond" w:hAnsi="Garamond" w:cs="Segoe UI"/>
        </w:rPr>
        <w:t>only indirectly by divine right’</w:t>
      </w:r>
      <w:r w:rsidR="002405F1">
        <w:rPr>
          <w:rStyle w:val="normaltextrun"/>
          <w:rFonts w:ascii="Garamond" w:hAnsi="Garamond" w:cs="Segoe UI"/>
        </w:rPr>
        <w:t xml:space="preserve">. Hence, </w:t>
      </w:r>
      <w:r w:rsidR="004E42F6" w:rsidRPr="00335B20">
        <w:rPr>
          <w:rStyle w:val="normaltextrun"/>
          <w:rFonts w:ascii="Garamond" w:hAnsi="Garamond" w:cs="Segoe UI"/>
        </w:rPr>
        <w:t>‘the sovereign pontiff</w:t>
      </w:r>
      <w:r w:rsidR="002248A1">
        <w:rPr>
          <w:rStyle w:val="normaltextrun"/>
          <w:rFonts w:ascii="Garamond" w:hAnsi="Garamond" w:cs="Segoe UI"/>
        </w:rPr>
        <w:t>’</w:t>
      </w:r>
      <w:r w:rsidR="004E42F6" w:rsidRPr="00335B20">
        <w:rPr>
          <w:rStyle w:val="normaltextrun"/>
          <w:rFonts w:ascii="Garamond" w:hAnsi="Garamond" w:cs="Segoe UI"/>
        </w:rPr>
        <w:t xml:space="preserve"> holds </w:t>
      </w:r>
      <w:r w:rsidR="002248A1">
        <w:rPr>
          <w:rStyle w:val="normaltextrun"/>
          <w:rFonts w:ascii="Garamond" w:hAnsi="Garamond" w:cs="Segoe UI"/>
        </w:rPr>
        <w:t>‘</w:t>
      </w:r>
      <w:r w:rsidR="004E42F6" w:rsidRPr="00335B20">
        <w:rPr>
          <w:rStyle w:val="normaltextrun"/>
          <w:rFonts w:ascii="Garamond" w:hAnsi="Garamond" w:cs="Segoe UI"/>
        </w:rPr>
        <w:t>indirect power over temporal matters</w:t>
      </w:r>
      <w:r w:rsidR="00102FD7">
        <w:rPr>
          <w:rStyle w:val="normaltextrun"/>
          <w:rFonts w:ascii="Garamond" w:hAnsi="Garamond" w:cs="Segoe UI"/>
        </w:rPr>
        <w:t>’</w:t>
      </w:r>
      <w:r w:rsidR="004E42F6" w:rsidRPr="00335B20">
        <w:rPr>
          <w:rStyle w:val="normaltextrun"/>
          <w:rFonts w:ascii="Garamond" w:hAnsi="Garamond" w:cs="Segoe UI"/>
        </w:rPr>
        <w:t xml:space="preserve"> when </w:t>
      </w:r>
      <w:r w:rsidR="00102FD7">
        <w:rPr>
          <w:rStyle w:val="normaltextrun"/>
          <w:rFonts w:ascii="Garamond" w:hAnsi="Garamond" w:cs="Segoe UI"/>
        </w:rPr>
        <w:t xml:space="preserve">such matters </w:t>
      </w:r>
      <w:r w:rsidR="004E42F6" w:rsidRPr="00335B20">
        <w:rPr>
          <w:rStyle w:val="normaltextrun"/>
          <w:rFonts w:ascii="Garamond" w:hAnsi="Garamond" w:cs="Segoe UI"/>
        </w:rPr>
        <w:t xml:space="preserve">risk </w:t>
      </w:r>
      <w:r w:rsidR="00102FD7">
        <w:rPr>
          <w:rStyle w:val="normaltextrun"/>
          <w:rFonts w:ascii="Garamond" w:hAnsi="Garamond" w:cs="Segoe UI"/>
        </w:rPr>
        <w:t>‘</w:t>
      </w:r>
      <w:r w:rsidR="004E42F6" w:rsidRPr="00335B20">
        <w:rPr>
          <w:rStyle w:val="normaltextrun"/>
          <w:rFonts w:ascii="Garamond" w:hAnsi="Garamond" w:cs="Segoe UI"/>
        </w:rPr>
        <w:t>compromising the eternal salvation of the faithful’.</w:t>
      </w:r>
      <w:r w:rsidR="004E42F6" w:rsidRPr="00335B20">
        <w:rPr>
          <w:rStyle w:val="FootnoteReference"/>
          <w:rFonts w:ascii="Garamond" w:hAnsi="Garamond" w:cs="Segoe UI"/>
        </w:rPr>
        <w:footnoteReference w:id="12"/>
      </w:r>
      <w:r w:rsidR="00666B8B" w:rsidRPr="00335B20">
        <w:rPr>
          <w:rStyle w:val="normaltextrun"/>
          <w:rFonts w:ascii="Garamond" w:hAnsi="Garamond" w:cs="Segoe UI"/>
        </w:rPr>
        <w:t xml:space="preserve"> </w:t>
      </w:r>
      <w:r w:rsidR="002248A1">
        <w:rPr>
          <w:rStyle w:val="normaltextrun"/>
          <w:rFonts w:ascii="Garamond" w:hAnsi="Garamond" w:cs="Segoe UI"/>
        </w:rPr>
        <w:t>The</w:t>
      </w:r>
      <w:r w:rsidR="006B212E" w:rsidRPr="00335B20">
        <w:rPr>
          <w:rStyle w:val="normaltextrun"/>
          <w:rFonts w:ascii="Garamond" w:hAnsi="Garamond" w:cs="Segoe UI"/>
        </w:rPr>
        <w:t xml:space="preserve"> supernatural</w:t>
      </w:r>
      <w:r w:rsidR="00C70AD2">
        <w:rPr>
          <w:rStyle w:val="normaltextrun"/>
          <w:rFonts w:ascii="Garamond" w:hAnsi="Garamond" w:cs="Segoe UI"/>
        </w:rPr>
        <w:t xml:space="preserve"> (or direct) </w:t>
      </w:r>
      <w:r w:rsidR="006B212E" w:rsidRPr="00335B20">
        <w:rPr>
          <w:rStyle w:val="normaltextrun"/>
          <w:rFonts w:ascii="Garamond" w:hAnsi="Garamond" w:cs="Segoe UI"/>
        </w:rPr>
        <w:t>divine right, depends on the bond between ‘the monarch and the Church’</w:t>
      </w:r>
      <w:r w:rsidR="00AB0D2E" w:rsidRPr="00335B20">
        <w:rPr>
          <w:rStyle w:val="normaltextrun"/>
          <w:rFonts w:ascii="Garamond" w:hAnsi="Garamond" w:cs="Segoe UI"/>
        </w:rPr>
        <w:t>, as defined by Pope Gre</w:t>
      </w:r>
      <w:r w:rsidR="00C70AD2">
        <w:rPr>
          <w:rStyle w:val="normaltextrun"/>
          <w:rFonts w:ascii="Garamond" w:hAnsi="Garamond" w:cs="Segoe UI"/>
        </w:rPr>
        <w:t>g</w:t>
      </w:r>
      <w:r w:rsidR="00AB0D2E" w:rsidRPr="00335B20">
        <w:rPr>
          <w:rStyle w:val="normaltextrun"/>
          <w:rFonts w:ascii="Garamond" w:hAnsi="Garamond" w:cs="Segoe UI"/>
        </w:rPr>
        <w:t>ory VII</w:t>
      </w:r>
      <w:r w:rsidR="006B212E" w:rsidRPr="00335B20">
        <w:rPr>
          <w:rStyle w:val="normaltextrun"/>
          <w:rFonts w:ascii="Garamond" w:hAnsi="Garamond" w:cs="Segoe UI"/>
        </w:rPr>
        <w:t>.</w:t>
      </w:r>
      <w:r w:rsidR="00AB0D2E" w:rsidRPr="00335B20">
        <w:rPr>
          <w:rStyle w:val="normaltextrun"/>
          <w:rFonts w:ascii="Garamond" w:hAnsi="Garamond" w:cs="Segoe UI"/>
        </w:rPr>
        <w:t xml:space="preserve"> The pope’s divine right </w:t>
      </w:r>
      <w:r w:rsidR="003D0CDD" w:rsidRPr="00335B20">
        <w:rPr>
          <w:rStyle w:val="normaltextrun"/>
          <w:rFonts w:ascii="Garamond" w:hAnsi="Garamond" w:cs="Segoe UI"/>
        </w:rPr>
        <w:t>‘</w:t>
      </w:r>
      <w:r w:rsidR="00AB0D2E" w:rsidRPr="00335B20">
        <w:rPr>
          <w:rStyle w:val="normaltextrun"/>
          <w:rFonts w:ascii="Garamond" w:hAnsi="Garamond" w:cs="Segoe UI"/>
        </w:rPr>
        <w:t>is superior</w:t>
      </w:r>
      <w:r w:rsidR="003D0CDD" w:rsidRPr="00335B20">
        <w:rPr>
          <w:rStyle w:val="normaltextrun"/>
          <w:rFonts w:ascii="Garamond" w:hAnsi="Garamond" w:cs="Segoe UI"/>
        </w:rPr>
        <w:t xml:space="preserve"> to that of kings and emporers’</w:t>
      </w:r>
      <w:r w:rsidR="00C70AD2">
        <w:rPr>
          <w:rStyle w:val="normaltextrun"/>
          <w:rFonts w:ascii="Garamond" w:hAnsi="Garamond" w:cs="Segoe UI"/>
        </w:rPr>
        <w:t xml:space="preserve">, says Bellarmine, </w:t>
      </w:r>
      <w:r w:rsidR="003D0CDD" w:rsidRPr="00335B20">
        <w:rPr>
          <w:rStyle w:val="normaltextrun"/>
          <w:rFonts w:ascii="Garamond" w:hAnsi="Garamond" w:cs="Segoe UI"/>
        </w:rPr>
        <w:t>which means he can excommunicate</w:t>
      </w:r>
      <w:r w:rsidR="00141562" w:rsidRPr="00335B20">
        <w:rPr>
          <w:rStyle w:val="normaltextrun"/>
          <w:rFonts w:ascii="Garamond" w:hAnsi="Garamond" w:cs="Segoe UI"/>
        </w:rPr>
        <w:t>, and even release ‘subjects from their oath of allegiance by virtue of their ruler’s disobedience of the Catholic faith’.</w:t>
      </w:r>
      <w:r w:rsidR="00141562" w:rsidRPr="00335B20">
        <w:rPr>
          <w:rStyle w:val="FootnoteReference"/>
          <w:rFonts w:ascii="Garamond" w:hAnsi="Garamond" w:cs="Segoe UI"/>
        </w:rPr>
        <w:footnoteReference w:id="13"/>
      </w:r>
      <w:r w:rsidR="00141562" w:rsidRPr="00335B20">
        <w:rPr>
          <w:rStyle w:val="normaltextrun"/>
          <w:rFonts w:ascii="Garamond" w:hAnsi="Garamond" w:cs="Segoe UI"/>
        </w:rPr>
        <w:t xml:space="preserve"> </w:t>
      </w:r>
    </w:p>
    <w:p w14:paraId="19E27419" w14:textId="77777777" w:rsidR="00C70AD2" w:rsidRDefault="00C70AD2" w:rsidP="00335B20">
      <w:pPr>
        <w:pStyle w:val="paragraph"/>
        <w:spacing w:before="0" w:beforeAutospacing="0" w:after="0" w:afterAutospacing="0"/>
        <w:jc w:val="both"/>
        <w:textAlignment w:val="baseline"/>
        <w:rPr>
          <w:rStyle w:val="normaltextrun"/>
          <w:rFonts w:ascii="Garamond" w:hAnsi="Garamond" w:cs="Segoe UI"/>
        </w:rPr>
      </w:pPr>
    </w:p>
    <w:p w14:paraId="2892156A" w14:textId="130C9012" w:rsidR="000C5ADB" w:rsidRPr="00335B20" w:rsidRDefault="00752BCD" w:rsidP="00335B20">
      <w:pPr>
        <w:pStyle w:val="paragraph"/>
        <w:spacing w:before="0" w:beforeAutospacing="0" w:after="0" w:afterAutospacing="0"/>
        <w:jc w:val="both"/>
        <w:textAlignment w:val="baseline"/>
        <w:rPr>
          <w:rStyle w:val="normaltextrun"/>
          <w:rFonts w:ascii="Garamond" w:hAnsi="Garamond" w:cs="Segoe UI"/>
        </w:rPr>
      </w:pPr>
      <w:r>
        <w:rPr>
          <w:rStyle w:val="normaltextrun"/>
          <w:rFonts w:ascii="Garamond" w:hAnsi="Garamond" w:cs="Segoe UI"/>
        </w:rPr>
        <w:t xml:space="preserve">There is no need to rehash </w:t>
      </w:r>
      <w:r w:rsidR="006F1E75">
        <w:rPr>
          <w:rStyle w:val="normaltextrun"/>
          <w:rFonts w:ascii="Garamond" w:hAnsi="Garamond" w:cs="Segoe UI"/>
        </w:rPr>
        <w:t>16</w:t>
      </w:r>
      <w:r w:rsidR="006F1E75" w:rsidRPr="006F1E75">
        <w:rPr>
          <w:rStyle w:val="normaltextrun"/>
          <w:rFonts w:ascii="Garamond" w:hAnsi="Garamond" w:cs="Segoe UI"/>
          <w:vertAlign w:val="superscript"/>
        </w:rPr>
        <w:t>th</w:t>
      </w:r>
      <w:r w:rsidR="006F1E75">
        <w:rPr>
          <w:rStyle w:val="normaltextrun"/>
          <w:rFonts w:ascii="Garamond" w:hAnsi="Garamond" w:cs="Segoe UI"/>
        </w:rPr>
        <w:t xml:space="preserve"> and 17</w:t>
      </w:r>
      <w:r w:rsidR="006F1E75" w:rsidRPr="006F1E75">
        <w:rPr>
          <w:rStyle w:val="normaltextrun"/>
          <w:rFonts w:ascii="Garamond" w:hAnsi="Garamond" w:cs="Segoe UI"/>
          <w:vertAlign w:val="superscript"/>
        </w:rPr>
        <w:t>th</w:t>
      </w:r>
      <w:r w:rsidR="006F1E75">
        <w:rPr>
          <w:rStyle w:val="normaltextrun"/>
          <w:rFonts w:ascii="Garamond" w:hAnsi="Garamond" w:cs="Segoe UI"/>
        </w:rPr>
        <w:t xml:space="preserve"> century arguments </w:t>
      </w:r>
      <w:r w:rsidR="00C947AD">
        <w:rPr>
          <w:rStyle w:val="normaltextrun"/>
          <w:rFonts w:ascii="Garamond" w:hAnsi="Garamond" w:cs="Segoe UI"/>
        </w:rPr>
        <w:t>he</w:t>
      </w:r>
      <w:r w:rsidR="006F1E75">
        <w:rPr>
          <w:rStyle w:val="normaltextrun"/>
          <w:rFonts w:ascii="Garamond" w:hAnsi="Garamond" w:cs="Segoe UI"/>
        </w:rPr>
        <w:t xml:space="preserve">re. </w:t>
      </w:r>
      <w:r w:rsidR="002A5F73">
        <w:rPr>
          <w:rStyle w:val="normaltextrun"/>
          <w:rFonts w:ascii="Garamond" w:hAnsi="Garamond" w:cs="Segoe UI"/>
        </w:rPr>
        <w:t xml:space="preserve">The point is that </w:t>
      </w:r>
      <w:r w:rsidR="006F1E75">
        <w:rPr>
          <w:rStyle w:val="normaltextrun"/>
          <w:rFonts w:ascii="Garamond" w:hAnsi="Garamond" w:cs="Segoe UI"/>
        </w:rPr>
        <w:t>Newman avoids</w:t>
      </w:r>
      <w:r w:rsidR="002A5F73">
        <w:rPr>
          <w:rStyle w:val="normaltextrun"/>
          <w:rFonts w:ascii="Garamond" w:hAnsi="Garamond" w:cs="Segoe UI"/>
        </w:rPr>
        <w:t xml:space="preserve"> mentioning this point, </w:t>
      </w:r>
      <w:r w:rsidR="00297923">
        <w:rPr>
          <w:rStyle w:val="normaltextrun"/>
          <w:rFonts w:ascii="Garamond" w:hAnsi="Garamond" w:cs="Segoe UI"/>
        </w:rPr>
        <w:t xml:space="preserve">perhaps </w:t>
      </w:r>
      <w:r w:rsidR="002A5F73">
        <w:rPr>
          <w:rStyle w:val="normaltextrun"/>
          <w:rFonts w:ascii="Garamond" w:hAnsi="Garamond" w:cs="Segoe UI"/>
        </w:rPr>
        <w:t xml:space="preserve">to avoid </w:t>
      </w:r>
      <w:r w:rsidR="00297923">
        <w:rPr>
          <w:rStyle w:val="normaltextrun"/>
          <w:rFonts w:ascii="Garamond" w:hAnsi="Garamond" w:cs="Segoe UI"/>
        </w:rPr>
        <w:t>another</w:t>
      </w:r>
      <w:r w:rsidR="002A5F73">
        <w:rPr>
          <w:rStyle w:val="normaltextrun"/>
          <w:rFonts w:ascii="Garamond" w:hAnsi="Garamond" w:cs="Segoe UI"/>
        </w:rPr>
        <w:t xml:space="preserve"> allegation of national disloyalty. </w:t>
      </w:r>
      <w:r w:rsidR="007406DB" w:rsidRPr="00335B20">
        <w:rPr>
          <w:rStyle w:val="normaltextrun"/>
          <w:rFonts w:ascii="Garamond" w:hAnsi="Garamond" w:cs="Segoe UI"/>
        </w:rPr>
        <w:t xml:space="preserve">Put in </w:t>
      </w:r>
      <w:r w:rsidR="00C70AD2">
        <w:rPr>
          <w:rStyle w:val="normaltextrun"/>
          <w:rFonts w:ascii="Garamond" w:hAnsi="Garamond" w:cs="Segoe UI"/>
        </w:rPr>
        <w:t xml:space="preserve">overly </w:t>
      </w:r>
      <w:r w:rsidR="007406DB" w:rsidRPr="00335B20">
        <w:rPr>
          <w:rStyle w:val="normaltextrun"/>
          <w:rFonts w:ascii="Garamond" w:hAnsi="Garamond" w:cs="Segoe UI"/>
        </w:rPr>
        <w:t xml:space="preserve">pedestrian language, </w:t>
      </w:r>
      <w:r w:rsidR="00A0652B" w:rsidRPr="00335B20">
        <w:rPr>
          <w:rStyle w:val="normaltextrun"/>
          <w:rFonts w:ascii="Garamond" w:hAnsi="Garamond" w:cs="Segoe UI"/>
        </w:rPr>
        <w:t>one cannot always separate the realm of ‘faith and morals’ from the realm of ‘secular discourse’</w:t>
      </w:r>
      <w:r w:rsidR="00EE5179" w:rsidRPr="00335B20">
        <w:rPr>
          <w:rStyle w:val="normaltextrun"/>
          <w:rFonts w:ascii="Garamond" w:hAnsi="Garamond" w:cs="Segoe UI"/>
        </w:rPr>
        <w:t xml:space="preserve">, political decisions can, in extreme circumstances, have consequences which bear on the </w:t>
      </w:r>
      <w:r w:rsidR="00693053" w:rsidRPr="00335B20">
        <w:rPr>
          <w:rStyle w:val="normaltextrun"/>
          <w:rFonts w:ascii="Garamond" w:hAnsi="Garamond" w:cs="Segoe UI"/>
        </w:rPr>
        <w:t xml:space="preserve">possibility of ‘salvation as such’. In </w:t>
      </w:r>
      <w:r w:rsidR="00C70AD2">
        <w:rPr>
          <w:rStyle w:val="normaltextrun"/>
          <w:rFonts w:ascii="Garamond" w:hAnsi="Garamond" w:cs="Segoe UI"/>
        </w:rPr>
        <w:t>those</w:t>
      </w:r>
      <w:r w:rsidR="00693053" w:rsidRPr="00335B20">
        <w:rPr>
          <w:rStyle w:val="normaltextrun"/>
          <w:rFonts w:ascii="Garamond" w:hAnsi="Garamond" w:cs="Segoe UI"/>
        </w:rPr>
        <w:t xml:space="preserve"> circumstances, </w:t>
      </w:r>
      <w:r w:rsidR="00C70AD2">
        <w:rPr>
          <w:rStyle w:val="normaltextrun"/>
          <w:rFonts w:ascii="Garamond" w:hAnsi="Garamond" w:cs="Segoe UI"/>
        </w:rPr>
        <w:t xml:space="preserve">the faithful Catholic </w:t>
      </w:r>
      <w:r w:rsidR="00693053" w:rsidRPr="00335B20">
        <w:rPr>
          <w:rStyle w:val="normaltextrun"/>
          <w:rFonts w:ascii="Garamond" w:hAnsi="Garamond" w:cs="Segoe UI"/>
        </w:rPr>
        <w:t xml:space="preserve">would </w:t>
      </w:r>
      <w:r w:rsidR="003223BE">
        <w:rPr>
          <w:rStyle w:val="normaltextrun"/>
          <w:rFonts w:ascii="Garamond" w:hAnsi="Garamond" w:cs="Segoe UI"/>
        </w:rPr>
        <w:t xml:space="preserve">no longer be able </w:t>
      </w:r>
      <w:r w:rsidR="00693053" w:rsidRPr="00335B20">
        <w:rPr>
          <w:rStyle w:val="normaltextrun"/>
          <w:rFonts w:ascii="Garamond" w:hAnsi="Garamond" w:cs="Segoe UI"/>
        </w:rPr>
        <w:t xml:space="preserve">to be a good </w:t>
      </w:r>
      <w:r w:rsidR="003223BE">
        <w:rPr>
          <w:rStyle w:val="normaltextrun"/>
          <w:rFonts w:ascii="Garamond" w:hAnsi="Garamond" w:cs="Segoe UI"/>
        </w:rPr>
        <w:t>citizen of the realm</w:t>
      </w:r>
      <w:r w:rsidR="00693053" w:rsidRPr="00335B20">
        <w:rPr>
          <w:rStyle w:val="normaltextrun"/>
          <w:rFonts w:ascii="Garamond" w:hAnsi="Garamond" w:cs="Segoe UI"/>
        </w:rPr>
        <w:t xml:space="preserve"> </w:t>
      </w:r>
      <w:r w:rsidR="00693053" w:rsidRPr="003223BE">
        <w:rPr>
          <w:rStyle w:val="normaltextrun"/>
          <w:rFonts w:ascii="Garamond" w:hAnsi="Garamond" w:cs="Segoe UI"/>
          <w:i/>
          <w:iCs/>
        </w:rPr>
        <w:t>and</w:t>
      </w:r>
      <w:r w:rsidR="00693053" w:rsidRPr="00335B20">
        <w:rPr>
          <w:rStyle w:val="normaltextrun"/>
          <w:rFonts w:ascii="Garamond" w:hAnsi="Garamond" w:cs="Segoe UI"/>
        </w:rPr>
        <w:t xml:space="preserve"> a good Catholic</w:t>
      </w:r>
      <w:r w:rsidR="00C70AD2">
        <w:rPr>
          <w:rStyle w:val="normaltextrun"/>
          <w:rFonts w:ascii="Garamond" w:hAnsi="Garamond" w:cs="Segoe UI"/>
        </w:rPr>
        <w:t>. T</w:t>
      </w:r>
      <w:r w:rsidR="001D1ECF" w:rsidRPr="00335B20">
        <w:rPr>
          <w:rStyle w:val="normaltextrun"/>
          <w:rFonts w:ascii="Garamond" w:hAnsi="Garamond" w:cs="Segoe UI"/>
        </w:rPr>
        <w:t xml:space="preserve">here is </w:t>
      </w:r>
      <w:r w:rsidR="00C70AD2">
        <w:rPr>
          <w:rStyle w:val="normaltextrun"/>
          <w:rFonts w:ascii="Garamond" w:hAnsi="Garamond" w:cs="Segoe UI"/>
        </w:rPr>
        <w:t xml:space="preserve">at least </w:t>
      </w:r>
      <w:r w:rsidR="001D1ECF" w:rsidRPr="00335B20">
        <w:rPr>
          <w:rStyle w:val="normaltextrun"/>
          <w:rFonts w:ascii="Garamond" w:hAnsi="Garamond" w:cs="Segoe UI"/>
        </w:rPr>
        <w:t>an abstract or principled inconsistency between the two</w:t>
      </w:r>
      <w:r w:rsidR="00C70AD2">
        <w:rPr>
          <w:rStyle w:val="normaltextrun"/>
          <w:rFonts w:ascii="Garamond" w:hAnsi="Garamond" w:cs="Segoe UI"/>
        </w:rPr>
        <w:t>,</w:t>
      </w:r>
      <w:r w:rsidR="001D1ECF" w:rsidRPr="00335B20">
        <w:rPr>
          <w:rStyle w:val="normaltextrun"/>
          <w:rFonts w:ascii="Garamond" w:hAnsi="Garamond" w:cs="Segoe UI"/>
        </w:rPr>
        <w:t xml:space="preserve"> although </w:t>
      </w:r>
      <w:r w:rsidR="00C947AD">
        <w:rPr>
          <w:rStyle w:val="normaltextrun"/>
          <w:rFonts w:ascii="Garamond" w:hAnsi="Garamond" w:cs="Segoe UI"/>
        </w:rPr>
        <w:t xml:space="preserve">there has been </w:t>
      </w:r>
      <w:r w:rsidR="003B2306">
        <w:rPr>
          <w:rStyle w:val="normaltextrun"/>
          <w:rFonts w:ascii="Garamond" w:hAnsi="Garamond" w:cs="Segoe UI"/>
        </w:rPr>
        <w:t xml:space="preserve">no </w:t>
      </w:r>
      <w:r w:rsidR="00C947AD">
        <w:rPr>
          <w:rStyle w:val="normaltextrun"/>
          <w:rFonts w:ascii="Garamond" w:hAnsi="Garamond" w:cs="Segoe UI"/>
        </w:rPr>
        <w:t xml:space="preserve">need for it to </w:t>
      </w:r>
      <w:r w:rsidR="001D1ECF" w:rsidRPr="00335B20">
        <w:rPr>
          <w:rStyle w:val="normaltextrun"/>
          <w:rFonts w:ascii="Garamond" w:hAnsi="Garamond" w:cs="Segoe UI"/>
        </w:rPr>
        <w:t xml:space="preserve">activated </w:t>
      </w:r>
      <w:r w:rsidR="00912B2E">
        <w:rPr>
          <w:rStyle w:val="normaltextrun"/>
          <w:rFonts w:ascii="Garamond" w:hAnsi="Garamond" w:cs="Segoe UI"/>
        </w:rPr>
        <w:t>in recent years</w:t>
      </w:r>
      <w:r w:rsidR="00A0793C" w:rsidRPr="00335B20">
        <w:rPr>
          <w:rStyle w:val="normaltextrun"/>
          <w:rFonts w:ascii="Garamond" w:hAnsi="Garamond" w:cs="Segoe UI"/>
        </w:rPr>
        <w:t>.</w:t>
      </w:r>
      <w:r w:rsidR="00C81E13" w:rsidRPr="00335B20">
        <w:rPr>
          <w:rStyle w:val="FootnoteReference"/>
          <w:rFonts w:ascii="Garamond" w:hAnsi="Garamond" w:cs="Segoe UI"/>
        </w:rPr>
        <w:footnoteReference w:id="14"/>
      </w:r>
    </w:p>
    <w:p w14:paraId="76944572" w14:textId="77777777" w:rsidR="00141562" w:rsidRPr="00335B20" w:rsidRDefault="00141562" w:rsidP="00335B20">
      <w:pPr>
        <w:pStyle w:val="paragraph"/>
        <w:spacing w:before="0" w:beforeAutospacing="0" w:after="0" w:afterAutospacing="0"/>
        <w:jc w:val="both"/>
        <w:textAlignment w:val="baseline"/>
        <w:rPr>
          <w:rStyle w:val="normaltextrun"/>
          <w:rFonts w:ascii="Garamond" w:hAnsi="Garamond" w:cs="Segoe UI"/>
        </w:rPr>
      </w:pPr>
    </w:p>
    <w:p w14:paraId="61F5D5C9" w14:textId="280DCF50" w:rsidR="000228CE" w:rsidRDefault="007E0692" w:rsidP="00C70AD2">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r>
        <w:rPr>
          <w:rStyle w:val="normaltextrun"/>
          <w:rFonts w:ascii="Garamond" w:hAnsi="Garamond" w:cs="Segoe UI"/>
        </w:rPr>
        <w:t>A</w:t>
      </w:r>
      <w:r w:rsidR="006F1E75">
        <w:rPr>
          <w:rStyle w:val="normaltextrun"/>
          <w:rFonts w:ascii="Garamond" w:hAnsi="Garamond" w:cs="Segoe UI"/>
        </w:rPr>
        <w:t xml:space="preserve">n </w:t>
      </w:r>
      <w:r>
        <w:rPr>
          <w:rStyle w:val="normaltextrun"/>
          <w:rFonts w:ascii="Garamond" w:hAnsi="Garamond" w:cs="Segoe UI"/>
        </w:rPr>
        <w:t xml:space="preserve">important </w:t>
      </w:r>
      <w:r w:rsidR="00C70AD2">
        <w:rPr>
          <w:rStyle w:val="normaltextrun"/>
          <w:rFonts w:ascii="Garamond" w:hAnsi="Garamond" w:cs="Segoe UI"/>
        </w:rPr>
        <w:t>implication</w:t>
      </w:r>
      <w:r w:rsidR="006F1E75">
        <w:rPr>
          <w:rStyle w:val="normaltextrun"/>
          <w:rFonts w:ascii="Garamond" w:hAnsi="Garamond" w:cs="Segoe UI"/>
        </w:rPr>
        <w:t xml:space="preserve"> </w:t>
      </w:r>
      <w:r w:rsidR="00C70AD2">
        <w:rPr>
          <w:rStyle w:val="normaltextrun"/>
          <w:rFonts w:ascii="Garamond" w:hAnsi="Garamond" w:cs="Segoe UI"/>
        </w:rPr>
        <w:t>aris</w:t>
      </w:r>
      <w:r>
        <w:rPr>
          <w:rStyle w:val="normaltextrun"/>
          <w:rFonts w:ascii="Garamond" w:hAnsi="Garamond" w:cs="Segoe UI"/>
        </w:rPr>
        <w:t>es</w:t>
      </w:r>
      <w:r w:rsidR="00C70AD2">
        <w:rPr>
          <w:rStyle w:val="normaltextrun"/>
          <w:rFonts w:ascii="Garamond" w:hAnsi="Garamond" w:cs="Segoe UI"/>
        </w:rPr>
        <w:t xml:space="preserve"> from </w:t>
      </w:r>
      <w:r>
        <w:rPr>
          <w:rStyle w:val="normaltextrun"/>
          <w:rFonts w:ascii="Garamond" w:hAnsi="Garamond" w:cs="Segoe UI"/>
        </w:rPr>
        <w:t xml:space="preserve">Newman’s </w:t>
      </w:r>
      <w:r w:rsidR="00323C63">
        <w:rPr>
          <w:rStyle w:val="normaltextrun"/>
          <w:rFonts w:ascii="Garamond" w:hAnsi="Garamond" w:cs="Segoe UI"/>
        </w:rPr>
        <w:t>omission</w:t>
      </w:r>
      <w:r w:rsidR="006F1E75">
        <w:rPr>
          <w:rStyle w:val="normaltextrun"/>
          <w:rFonts w:ascii="Garamond" w:hAnsi="Garamond" w:cs="Segoe UI"/>
        </w:rPr>
        <w:t xml:space="preserve">, however. </w:t>
      </w:r>
      <w:r w:rsidR="00C70AD2">
        <w:rPr>
          <w:rStyle w:val="normaltextrun"/>
          <w:rFonts w:ascii="Garamond" w:hAnsi="Garamond" w:cs="Segoe UI"/>
        </w:rPr>
        <w:t>T</w:t>
      </w:r>
      <w:r w:rsidR="00C5337D" w:rsidRPr="00335B20">
        <w:rPr>
          <w:rStyle w:val="normaltextrun"/>
          <w:rFonts w:ascii="Garamond" w:hAnsi="Garamond" w:cs="Segoe UI"/>
        </w:rPr>
        <w:t xml:space="preserve">he </w:t>
      </w:r>
      <w:r w:rsidR="00232021" w:rsidRPr="00232021">
        <w:rPr>
          <w:rStyle w:val="normaltextrun"/>
          <w:rFonts w:ascii="Garamond" w:hAnsi="Garamond" w:cs="Segoe UI"/>
          <w:i/>
          <w:iCs/>
        </w:rPr>
        <w:t>de jure</w:t>
      </w:r>
      <w:r w:rsidR="00232021">
        <w:rPr>
          <w:rStyle w:val="normaltextrun"/>
          <w:rFonts w:ascii="Garamond" w:hAnsi="Garamond" w:cs="Segoe UI"/>
        </w:rPr>
        <w:t xml:space="preserve"> </w:t>
      </w:r>
      <w:r w:rsidR="00E94A83">
        <w:rPr>
          <w:rStyle w:val="normaltextrun"/>
          <w:rFonts w:ascii="Garamond" w:hAnsi="Garamond" w:cs="Segoe UI"/>
        </w:rPr>
        <w:t xml:space="preserve">tension does not have </w:t>
      </w:r>
      <w:r w:rsidR="00E94A83" w:rsidRPr="00E94A83">
        <w:rPr>
          <w:rStyle w:val="normaltextrun"/>
          <w:rFonts w:ascii="Garamond" w:hAnsi="Garamond" w:cs="Segoe UI"/>
          <w:i/>
          <w:iCs/>
        </w:rPr>
        <w:t>de facto</w:t>
      </w:r>
      <w:r w:rsidR="00E94A83">
        <w:rPr>
          <w:rStyle w:val="normaltextrun"/>
          <w:rFonts w:ascii="Garamond" w:hAnsi="Garamond" w:cs="Segoe UI"/>
        </w:rPr>
        <w:t xml:space="preserve"> traction, because </w:t>
      </w:r>
      <w:r w:rsidR="00B04420">
        <w:rPr>
          <w:rStyle w:val="normaltextrun"/>
          <w:rFonts w:ascii="Garamond" w:hAnsi="Garamond" w:cs="Segoe UI"/>
        </w:rPr>
        <w:t>the specific character of the British monarchy does not threaten to undermine basic fundamentals of faith and morals</w:t>
      </w:r>
      <w:r w:rsidR="00E94A83">
        <w:rPr>
          <w:rStyle w:val="normaltextrun"/>
          <w:rFonts w:ascii="Garamond" w:hAnsi="Garamond" w:cs="Segoe UI"/>
        </w:rPr>
        <w:t xml:space="preserve">. </w:t>
      </w:r>
      <w:r w:rsidR="00C70AD2">
        <w:rPr>
          <w:rStyle w:val="normaltextrun"/>
          <w:rFonts w:ascii="Garamond" w:hAnsi="Garamond" w:cs="Segoe UI"/>
        </w:rPr>
        <w:t>T</w:t>
      </w:r>
      <w:r w:rsidR="009367EF" w:rsidRPr="00335B20">
        <w:rPr>
          <w:rStyle w:val="normaltextrun"/>
          <w:rFonts w:ascii="Garamond" w:hAnsi="Garamond"/>
          <w:color w:val="000000"/>
          <w:shd w:val="clear" w:color="auto" w:fill="FFFFFF"/>
          <w:lang w:val="en-US"/>
        </w:rPr>
        <w:t xml:space="preserve">he Letter to the Duke of Norfolk is a </w:t>
      </w:r>
      <w:r w:rsidR="009367EF" w:rsidRPr="00335B20">
        <w:rPr>
          <w:rStyle w:val="normaltextrun"/>
          <w:rFonts w:ascii="Garamond" w:hAnsi="Garamond"/>
          <w:i/>
          <w:iCs/>
          <w:color w:val="000000"/>
          <w:shd w:val="clear" w:color="auto" w:fill="FFFFFF"/>
          <w:lang w:val="en-US"/>
        </w:rPr>
        <w:t>concordat</w:t>
      </w:r>
      <w:r w:rsidR="00BB2F60" w:rsidRPr="00335B20">
        <w:rPr>
          <w:rStyle w:val="normaltextrun"/>
          <w:rFonts w:ascii="Garamond" w:hAnsi="Garamond"/>
          <w:color w:val="000000"/>
          <w:shd w:val="clear" w:color="auto" w:fill="FFFFFF"/>
          <w:lang w:val="en-US"/>
        </w:rPr>
        <w:t xml:space="preserve">, but </w:t>
      </w:r>
      <w:r w:rsidR="009367EF" w:rsidRPr="00335B20">
        <w:rPr>
          <w:rStyle w:val="normaltextrun"/>
          <w:rFonts w:ascii="Garamond" w:hAnsi="Garamond"/>
          <w:color w:val="000000"/>
          <w:shd w:val="clear" w:color="auto" w:fill="FFFFFF"/>
          <w:lang w:val="en-US"/>
        </w:rPr>
        <w:t>not a conflation</w:t>
      </w:r>
      <w:r w:rsidR="00C70AD2">
        <w:rPr>
          <w:rStyle w:val="normaltextrun"/>
          <w:rFonts w:ascii="Garamond" w:hAnsi="Garamond"/>
          <w:color w:val="000000"/>
          <w:shd w:val="clear" w:color="auto" w:fill="FFFFFF"/>
          <w:lang w:val="en-US"/>
        </w:rPr>
        <w:t>,</w:t>
      </w:r>
      <w:r w:rsidR="009367EF" w:rsidRPr="00335B20">
        <w:rPr>
          <w:rStyle w:val="normaltextrun"/>
          <w:rFonts w:ascii="Garamond" w:hAnsi="Garamond"/>
          <w:color w:val="000000"/>
          <w:shd w:val="clear" w:color="auto" w:fill="FFFFFF"/>
          <w:lang w:val="en-US"/>
        </w:rPr>
        <w:t xml:space="preserve"> of the British Constitution with the Catholic faith</w:t>
      </w:r>
      <w:r w:rsidR="00C70AD2">
        <w:rPr>
          <w:rStyle w:val="normaltextrun"/>
          <w:rFonts w:ascii="Garamond" w:hAnsi="Garamond"/>
          <w:color w:val="000000"/>
          <w:shd w:val="clear" w:color="auto" w:fill="FFFFFF"/>
          <w:lang w:val="en-US"/>
        </w:rPr>
        <w:t>.</w:t>
      </w:r>
      <w:r w:rsidR="0009768E">
        <w:rPr>
          <w:rStyle w:val="FootnoteReference"/>
          <w:rFonts w:ascii="Garamond" w:hAnsi="Garamond"/>
          <w:color w:val="000000"/>
          <w:shd w:val="clear" w:color="auto" w:fill="FFFFFF"/>
          <w:lang w:val="en-US"/>
        </w:rPr>
        <w:footnoteReference w:id="15"/>
      </w:r>
      <w:r w:rsidR="00C70AD2">
        <w:rPr>
          <w:rStyle w:val="normaltextrun"/>
          <w:rFonts w:ascii="Garamond" w:hAnsi="Garamond"/>
          <w:color w:val="000000"/>
          <w:shd w:val="clear" w:color="auto" w:fill="FFFFFF"/>
          <w:lang w:val="en-US"/>
        </w:rPr>
        <w:t xml:space="preserve"> </w:t>
      </w:r>
      <w:r w:rsidR="005D2601">
        <w:rPr>
          <w:rStyle w:val="normaltextrun"/>
          <w:rFonts w:ascii="Garamond" w:hAnsi="Garamond"/>
          <w:color w:val="000000"/>
          <w:shd w:val="clear" w:color="auto" w:fill="FFFFFF"/>
          <w:lang w:val="en-US"/>
        </w:rPr>
        <w:t>T</w:t>
      </w:r>
      <w:r w:rsidR="00C70AD2">
        <w:rPr>
          <w:rStyle w:val="normaltextrun"/>
          <w:rFonts w:ascii="Garamond" w:hAnsi="Garamond"/>
          <w:color w:val="000000"/>
          <w:shd w:val="clear" w:color="auto" w:fill="FFFFFF"/>
          <w:lang w:val="en-US"/>
        </w:rPr>
        <w:t xml:space="preserve">he </w:t>
      </w:r>
      <w:r w:rsidR="005C2373">
        <w:rPr>
          <w:rStyle w:val="normaltextrun"/>
          <w:rFonts w:ascii="Garamond" w:hAnsi="Garamond"/>
          <w:color w:val="000000"/>
          <w:shd w:val="clear" w:color="auto" w:fill="FFFFFF"/>
          <w:lang w:val="en-US"/>
        </w:rPr>
        <w:t xml:space="preserve">implicit </w:t>
      </w:r>
      <w:r w:rsidR="00C70AD2">
        <w:rPr>
          <w:rStyle w:val="normaltextrun"/>
          <w:rFonts w:ascii="Garamond" w:hAnsi="Garamond"/>
          <w:color w:val="000000"/>
          <w:shd w:val="clear" w:color="auto" w:fill="FFFFFF"/>
          <w:lang w:val="en-US"/>
        </w:rPr>
        <w:t xml:space="preserve">terms of this </w:t>
      </w:r>
      <w:r w:rsidR="00C70AD2">
        <w:rPr>
          <w:rStyle w:val="normaltextrun"/>
          <w:rFonts w:ascii="Garamond" w:hAnsi="Garamond"/>
          <w:color w:val="000000"/>
          <w:shd w:val="clear" w:color="auto" w:fill="FFFFFF"/>
          <w:lang w:val="en-US"/>
        </w:rPr>
        <w:lastRenderedPageBreak/>
        <w:t>concordat</w:t>
      </w:r>
      <w:r w:rsidR="005D2601">
        <w:rPr>
          <w:rStyle w:val="normaltextrun"/>
          <w:rFonts w:ascii="Garamond" w:hAnsi="Garamond"/>
          <w:color w:val="000000"/>
          <w:shd w:val="clear" w:color="auto" w:fill="FFFFFF"/>
          <w:lang w:val="en-US"/>
        </w:rPr>
        <w:t xml:space="preserve"> are that </w:t>
      </w:r>
      <w:r w:rsidR="005C2373">
        <w:rPr>
          <w:rStyle w:val="normaltextrun"/>
          <w:rFonts w:ascii="Garamond" w:hAnsi="Garamond"/>
          <w:color w:val="000000"/>
          <w:shd w:val="clear" w:color="auto" w:fill="FFFFFF"/>
          <w:lang w:val="en-US"/>
        </w:rPr>
        <w:t>each m</w:t>
      </w:r>
      <w:r w:rsidR="00600BA5" w:rsidRPr="00335B20">
        <w:rPr>
          <w:rStyle w:val="normaltextrun"/>
          <w:rFonts w:ascii="Garamond" w:hAnsi="Garamond"/>
          <w:color w:val="000000"/>
          <w:shd w:val="clear" w:color="auto" w:fill="FFFFFF"/>
          <w:lang w:val="en-US"/>
        </w:rPr>
        <w:t>onarch</w:t>
      </w:r>
      <w:r w:rsidR="005C2373">
        <w:rPr>
          <w:rStyle w:val="normaltextrun"/>
          <w:rFonts w:ascii="Garamond" w:hAnsi="Garamond"/>
          <w:color w:val="000000"/>
          <w:shd w:val="clear" w:color="auto" w:fill="FFFFFF"/>
          <w:lang w:val="en-US"/>
        </w:rPr>
        <w:t xml:space="preserve"> </w:t>
      </w:r>
      <w:r w:rsidR="0060056F" w:rsidRPr="00335B20">
        <w:rPr>
          <w:rStyle w:val="normaltextrun"/>
          <w:rFonts w:ascii="Garamond" w:hAnsi="Garamond"/>
          <w:color w:val="000000"/>
          <w:shd w:val="clear" w:color="auto" w:fill="FFFFFF"/>
          <w:lang w:val="en-US"/>
        </w:rPr>
        <w:t xml:space="preserve">stays on the right path as regards </w:t>
      </w:r>
      <w:r w:rsidR="000228CE" w:rsidRPr="00CE49AE">
        <w:rPr>
          <w:rStyle w:val="normaltextrun"/>
          <w:rFonts w:ascii="Garamond" w:hAnsi="Garamond"/>
          <w:iCs/>
          <w:color w:val="000000"/>
          <w:shd w:val="clear" w:color="auto" w:fill="FFFFFF"/>
          <w:lang w:val="en-US"/>
        </w:rPr>
        <w:t xml:space="preserve">Christian </w:t>
      </w:r>
      <w:r w:rsidR="0060056F" w:rsidRPr="00335B20">
        <w:rPr>
          <w:rStyle w:val="normaltextrun"/>
          <w:rFonts w:ascii="Garamond" w:hAnsi="Garamond"/>
          <w:color w:val="000000"/>
          <w:shd w:val="clear" w:color="auto" w:fill="FFFFFF"/>
          <w:lang w:val="en-US"/>
        </w:rPr>
        <w:t>faith</w:t>
      </w:r>
      <w:r w:rsidR="00CE49AE">
        <w:rPr>
          <w:rStyle w:val="normaltextrun"/>
          <w:rFonts w:ascii="Garamond" w:hAnsi="Garamond"/>
          <w:color w:val="000000"/>
          <w:shd w:val="clear" w:color="auto" w:fill="FFFFFF"/>
          <w:lang w:val="en-US"/>
        </w:rPr>
        <w:t xml:space="preserve">, and Christian </w:t>
      </w:r>
      <w:r w:rsidR="0060056F" w:rsidRPr="00335B20">
        <w:rPr>
          <w:rStyle w:val="normaltextrun"/>
          <w:rFonts w:ascii="Garamond" w:hAnsi="Garamond"/>
          <w:color w:val="000000"/>
          <w:shd w:val="clear" w:color="auto" w:fill="FFFFFF"/>
          <w:lang w:val="en-US"/>
        </w:rPr>
        <w:t>moral</w:t>
      </w:r>
      <w:r w:rsidR="00CE49AE">
        <w:rPr>
          <w:rStyle w:val="normaltextrun"/>
          <w:rFonts w:ascii="Garamond" w:hAnsi="Garamond"/>
          <w:color w:val="000000"/>
          <w:shd w:val="clear" w:color="auto" w:fill="FFFFFF"/>
          <w:lang w:val="en-US"/>
        </w:rPr>
        <w:t>ity</w:t>
      </w:r>
      <w:r w:rsidR="0060056F" w:rsidRPr="00335B20">
        <w:rPr>
          <w:rStyle w:val="normaltextrun"/>
          <w:rFonts w:ascii="Garamond" w:hAnsi="Garamond"/>
          <w:color w:val="000000"/>
          <w:shd w:val="clear" w:color="auto" w:fill="FFFFFF"/>
          <w:lang w:val="en-US"/>
        </w:rPr>
        <w:t xml:space="preserve">. </w:t>
      </w:r>
      <w:r w:rsidR="000228CE">
        <w:rPr>
          <w:rStyle w:val="normaltextrun"/>
          <w:rFonts w:ascii="Garamond" w:hAnsi="Garamond"/>
          <w:color w:val="000000"/>
          <w:shd w:val="clear" w:color="auto" w:fill="FFFFFF"/>
          <w:lang w:val="en-US"/>
        </w:rPr>
        <w:t>Indeed, t</w:t>
      </w:r>
      <w:r w:rsidR="0060056F" w:rsidRPr="00335B20">
        <w:rPr>
          <w:rStyle w:val="normaltextrun"/>
          <w:rFonts w:ascii="Garamond" w:hAnsi="Garamond"/>
          <w:color w:val="000000"/>
          <w:shd w:val="clear" w:color="auto" w:fill="FFFFFF"/>
          <w:lang w:val="en-US"/>
        </w:rPr>
        <w:t>he concordat is on</w:t>
      </w:r>
      <w:r w:rsidR="000228CE">
        <w:rPr>
          <w:rStyle w:val="normaltextrun"/>
          <w:rFonts w:ascii="Garamond" w:hAnsi="Garamond"/>
          <w:color w:val="000000"/>
          <w:shd w:val="clear" w:color="auto" w:fill="FFFFFF"/>
          <w:lang w:val="en-US"/>
        </w:rPr>
        <w:t>l</w:t>
      </w:r>
      <w:r w:rsidR="0060056F" w:rsidRPr="00335B20">
        <w:rPr>
          <w:rStyle w:val="normaltextrun"/>
          <w:rFonts w:ascii="Garamond" w:hAnsi="Garamond"/>
          <w:color w:val="000000"/>
          <w:shd w:val="clear" w:color="auto" w:fill="FFFFFF"/>
          <w:lang w:val="en-US"/>
        </w:rPr>
        <w:t>y possible</w:t>
      </w:r>
      <w:r w:rsidR="000228CE">
        <w:rPr>
          <w:rStyle w:val="normaltextrun"/>
          <w:rFonts w:ascii="Garamond" w:hAnsi="Garamond"/>
          <w:color w:val="000000"/>
          <w:shd w:val="clear" w:color="auto" w:fill="FFFFFF"/>
          <w:lang w:val="en-US"/>
        </w:rPr>
        <w:t xml:space="preserve"> insofar as </w:t>
      </w:r>
      <w:r w:rsidR="0060056F" w:rsidRPr="00335B20">
        <w:rPr>
          <w:rStyle w:val="normaltextrun"/>
          <w:rFonts w:ascii="Garamond" w:hAnsi="Garamond"/>
          <w:color w:val="000000"/>
          <w:shd w:val="clear" w:color="auto" w:fill="FFFFFF"/>
          <w:lang w:val="en-US"/>
        </w:rPr>
        <w:t xml:space="preserve">temporal power is being wielded in </w:t>
      </w:r>
      <w:r w:rsidR="006C52FB">
        <w:rPr>
          <w:rStyle w:val="normaltextrun"/>
          <w:rFonts w:ascii="Garamond" w:hAnsi="Garamond"/>
          <w:color w:val="000000"/>
          <w:shd w:val="clear" w:color="auto" w:fill="FFFFFF"/>
          <w:lang w:val="en-US"/>
        </w:rPr>
        <w:t>broad alignment with C</w:t>
      </w:r>
      <w:r w:rsidR="0060056F" w:rsidRPr="00335B20">
        <w:rPr>
          <w:rStyle w:val="normaltextrun"/>
          <w:rFonts w:ascii="Garamond" w:hAnsi="Garamond"/>
          <w:color w:val="000000"/>
          <w:shd w:val="clear" w:color="auto" w:fill="FFFFFF"/>
          <w:lang w:val="en-US"/>
        </w:rPr>
        <w:t>hrist</w:t>
      </w:r>
      <w:r w:rsidR="006C52FB">
        <w:rPr>
          <w:rStyle w:val="normaltextrun"/>
          <w:rFonts w:ascii="Garamond" w:hAnsi="Garamond"/>
          <w:color w:val="000000"/>
          <w:shd w:val="clear" w:color="auto" w:fill="FFFFFF"/>
          <w:lang w:val="en-US"/>
        </w:rPr>
        <w:t>ian teaching</w:t>
      </w:r>
      <w:r w:rsidR="00667197" w:rsidRPr="00335B20">
        <w:rPr>
          <w:rStyle w:val="normaltextrun"/>
          <w:rFonts w:ascii="Garamond" w:hAnsi="Garamond"/>
          <w:color w:val="000000"/>
          <w:shd w:val="clear" w:color="auto" w:fill="FFFFFF"/>
          <w:lang w:val="en-US"/>
        </w:rPr>
        <w:t>.</w:t>
      </w:r>
      <w:r w:rsidR="006C52FB">
        <w:rPr>
          <w:rStyle w:val="normaltextrun"/>
          <w:rFonts w:ascii="Garamond" w:hAnsi="Garamond"/>
          <w:color w:val="000000"/>
          <w:shd w:val="clear" w:color="auto" w:fill="FFFFFF"/>
          <w:lang w:val="en-US"/>
        </w:rPr>
        <w:t xml:space="preserve"> Otherwise the </w:t>
      </w:r>
      <w:r w:rsidR="00C82C01">
        <w:rPr>
          <w:rStyle w:val="normaltextrun"/>
          <w:rFonts w:ascii="Garamond" w:hAnsi="Garamond"/>
          <w:color w:val="000000"/>
          <w:shd w:val="clear" w:color="auto" w:fill="FFFFFF"/>
          <w:lang w:val="en-US"/>
        </w:rPr>
        <w:t xml:space="preserve">separation between ‘faith and morals’ and the political sphere breaks down, and the concordat falters. </w:t>
      </w:r>
      <w:r w:rsidR="000228CE">
        <w:rPr>
          <w:rStyle w:val="normaltextrun"/>
          <w:rFonts w:ascii="Garamond" w:hAnsi="Garamond"/>
          <w:color w:val="000000"/>
          <w:shd w:val="clear" w:color="auto" w:fill="FFFFFF"/>
          <w:lang w:val="en-US"/>
        </w:rPr>
        <w:t xml:space="preserve">Contrary to </w:t>
      </w:r>
      <w:r w:rsidR="009C1F8E">
        <w:rPr>
          <w:rStyle w:val="normaltextrun"/>
          <w:rFonts w:ascii="Garamond" w:hAnsi="Garamond"/>
          <w:color w:val="000000"/>
          <w:shd w:val="clear" w:color="auto" w:fill="FFFFFF"/>
          <w:lang w:val="en-US"/>
        </w:rPr>
        <w:t xml:space="preserve">popular conceptions, then, </w:t>
      </w:r>
      <w:r w:rsidR="00667197" w:rsidRPr="00335B20">
        <w:rPr>
          <w:rStyle w:val="normaltextrun"/>
          <w:rFonts w:ascii="Garamond" w:hAnsi="Garamond"/>
          <w:color w:val="000000"/>
          <w:shd w:val="clear" w:color="auto" w:fill="FFFFFF"/>
          <w:lang w:val="en-US"/>
        </w:rPr>
        <w:t xml:space="preserve">Catholic </w:t>
      </w:r>
      <w:r w:rsidR="000228CE">
        <w:rPr>
          <w:rStyle w:val="normaltextrun"/>
          <w:rFonts w:ascii="Garamond" w:hAnsi="Garamond"/>
          <w:color w:val="000000"/>
          <w:shd w:val="clear" w:color="auto" w:fill="FFFFFF"/>
          <w:lang w:val="en-US"/>
        </w:rPr>
        <w:t>loyalty to the</w:t>
      </w:r>
      <w:r w:rsidR="00667197" w:rsidRPr="00335B20">
        <w:rPr>
          <w:rStyle w:val="normaltextrun"/>
          <w:rFonts w:ascii="Garamond" w:hAnsi="Garamond"/>
          <w:color w:val="000000"/>
          <w:shd w:val="clear" w:color="auto" w:fill="FFFFFF"/>
          <w:lang w:val="en-US"/>
        </w:rPr>
        <w:t xml:space="preserve"> </w:t>
      </w:r>
      <w:r w:rsidR="009C1F8E">
        <w:rPr>
          <w:rStyle w:val="normaltextrun"/>
          <w:rFonts w:ascii="Garamond" w:hAnsi="Garamond"/>
          <w:color w:val="000000"/>
          <w:shd w:val="clear" w:color="auto" w:fill="FFFFFF"/>
          <w:lang w:val="en-US"/>
        </w:rPr>
        <w:t>m</w:t>
      </w:r>
      <w:r w:rsidR="00667197" w:rsidRPr="00335B20">
        <w:rPr>
          <w:rStyle w:val="normaltextrun"/>
          <w:rFonts w:ascii="Garamond" w:hAnsi="Garamond"/>
          <w:color w:val="000000"/>
          <w:shd w:val="clear" w:color="auto" w:fill="FFFFFF"/>
          <w:lang w:val="en-US"/>
        </w:rPr>
        <w:t>onarchy is not</w:t>
      </w:r>
      <w:r w:rsidR="00136004">
        <w:rPr>
          <w:rStyle w:val="normaltextrun"/>
          <w:rFonts w:ascii="Garamond" w:hAnsi="Garamond"/>
          <w:color w:val="000000"/>
          <w:shd w:val="clear" w:color="auto" w:fill="FFFFFF"/>
          <w:lang w:val="en-US"/>
        </w:rPr>
        <w:t>, for Newman, based on</w:t>
      </w:r>
      <w:r w:rsidR="000228CE">
        <w:rPr>
          <w:rStyle w:val="normaltextrun"/>
          <w:rFonts w:ascii="Garamond" w:hAnsi="Garamond"/>
          <w:color w:val="000000"/>
          <w:shd w:val="clear" w:color="auto" w:fill="FFFFFF"/>
          <w:lang w:val="en-US"/>
        </w:rPr>
        <w:t xml:space="preserve"> </w:t>
      </w:r>
      <w:r w:rsidR="00136004">
        <w:rPr>
          <w:rStyle w:val="normaltextrun"/>
          <w:rFonts w:ascii="Garamond" w:hAnsi="Garamond"/>
          <w:color w:val="000000"/>
          <w:shd w:val="clear" w:color="auto" w:fill="FFFFFF"/>
          <w:lang w:val="en-US"/>
        </w:rPr>
        <w:t>a shared</w:t>
      </w:r>
      <w:r w:rsidR="000228CE">
        <w:rPr>
          <w:rStyle w:val="normaltextrun"/>
          <w:rFonts w:ascii="Garamond" w:hAnsi="Garamond"/>
          <w:color w:val="000000"/>
          <w:shd w:val="clear" w:color="auto" w:fill="FFFFFF"/>
          <w:lang w:val="en-US"/>
        </w:rPr>
        <w:t xml:space="preserve"> </w:t>
      </w:r>
      <w:r w:rsidR="00667197" w:rsidRPr="00335B20">
        <w:rPr>
          <w:rStyle w:val="normaltextrun"/>
          <w:rFonts w:ascii="Garamond" w:hAnsi="Garamond"/>
          <w:color w:val="000000"/>
          <w:shd w:val="clear" w:color="auto" w:fill="FFFFFF"/>
          <w:lang w:val="en-US"/>
        </w:rPr>
        <w:t>commitment t</w:t>
      </w:r>
      <w:r w:rsidR="000228CE">
        <w:rPr>
          <w:rStyle w:val="normaltextrun"/>
          <w:rFonts w:ascii="Garamond" w:hAnsi="Garamond"/>
          <w:color w:val="000000"/>
          <w:shd w:val="clear" w:color="auto" w:fill="FFFFFF"/>
          <w:lang w:val="en-US"/>
        </w:rPr>
        <w:t>o</w:t>
      </w:r>
      <w:r w:rsidR="00667197" w:rsidRPr="00335B20">
        <w:rPr>
          <w:rStyle w:val="normaltextrun"/>
          <w:rFonts w:ascii="Garamond" w:hAnsi="Garamond"/>
          <w:color w:val="000000"/>
          <w:shd w:val="clear" w:color="auto" w:fill="FFFFFF"/>
          <w:lang w:val="en-US"/>
        </w:rPr>
        <w:t xml:space="preserve"> religious freedom</w:t>
      </w:r>
      <w:r w:rsidR="00136004">
        <w:rPr>
          <w:rStyle w:val="normaltextrun"/>
          <w:rFonts w:ascii="Garamond" w:hAnsi="Garamond"/>
          <w:color w:val="000000"/>
          <w:shd w:val="clear" w:color="auto" w:fill="FFFFFF"/>
          <w:lang w:val="en-US"/>
        </w:rPr>
        <w:t xml:space="preserve">. It </w:t>
      </w:r>
      <w:r w:rsidR="000228CE">
        <w:rPr>
          <w:rStyle w:val="normaltextrun"/>
          <w:rFonts w:ascii="Garamond" w:hAnsi="Garamond"/>
          <w:color w:val="000000"/>
          <w:shd w:val="clear" w:color="auto" w:fill="FFFFFF"/>
          <w:lang w:val="en-US"/>
        </w:rPr>
        <w:t xml:space="preserve">is won by the fact that the British </w:t>
      </w:r>
      <w:r w:rsidR="008D7FE1">
        <w:rPr>
          <w:rStyle w:val="normaltextrun"/>
          <w:rFonts w:ascii="Garamond" w:hAnsi="Garamond"/>
          <w:color w:val="000000"/>
          <w:shd w:val="clear" w:color="auto" w:fill="FFFFFF"/>
          <w:lang w:val="en-US"/>
        </w:rPr>
        <w:t>m</w:t>
      </w:r>
      <w:r w:rsidR="000228CE">
        <w:rPr>
          <w:rStyle w:val="normaltextrun"/>
          <w:rFonts w:ascii="Garamond" w:hAnsi="Garamond"/>
          <w:color w:val="000000"/>
          <w:shd w:val="clear" w:color="auto" w:fill="FFFFFF"/>
          <w:lang w:val="en-US"/>
        </w:rPr>
        <w:t>onarch</w:t>
      </w:r>
      <w:r w:rsidR="00C947AD">
        <w:rPr>
          <w:rStyle w:val="normaltextrun"/>
          <w:rFonts w:ascii="Garamond" w:hAnsi="Garamond"/>
          <w:color w:val="000000"/>
          <w:shd w:val="clear" w:color="auto" w:fill="FFFFFF"/>
          <w:lang w:val="en-US"/>
        </w:rPr>
        <w:t>’s public influence</w:t>
      </w:r>
      <w:r w:rsidR="000228CE">
        <w:rPr>
          <w:rStyle w:val="normaltextrun"/>
          <w:rFonts w:ascii="Garamond" w:hAnsi="Garamond"/>
          <w:color w:val="000000"/>
          <w:shd w:val="clear" w:color="auto" w:fill="FFFFFF"/>
          <w:lang w:val="en-US"/>
        </w:rPr>
        <w:t xml:space="preserve"> will not </w:t>
      </w:r>
      <w:r w:rsidR="00C947AD">
        <w:rPr>
          <w:rStyle w:val="normaltextrun"/>
          <w:rFonts w:ascii="Garamond" w:hAnsi="Garamond"/>
          <w:color w:val="000000"/>
          <w:shd w:val="clear" w:color="auto" w:fill="FFFFFF"/>
          <w:lang w:val="en-US"/>
        </w:rPr>
        <w:t xml:space="preserve">lead to serious </w:t>
      </w:r>
      <w:r w:rsidR="000228CE">
        <w:rPr>
          <w:rStyle w:val="normaltextrun"/>
          <w:rFonts w:ascii="Garamond" w:hAnsi="Garamond"/>
          <w:color w:val="000000"/>
          <w:shd w:val="clear" w:color="auto" w:fill="FFFFFF"/>
          <w:lang w:val="en-US"/>
        </w:rPr>
        <w:t>deviat</w:t>
      </w:r>
      <w:r w:rsidR="00C947AD">
        <w:rPr>
          <w:rStyle w:val="normaltextrun"/>
          <w:rFonts w:ascii="Garamond" w:hAnsi="Garamond"/>
          <w:color w:val="000000"/>
          <w:shd w:val="clear" w:color="auto" w:fill="FFFFFF"/>
          <w:lang w:val="en-US"/>
        </w:rPr>
        <w:t>ions</w:t>
      </w:r>
      <w:r w:rsidR="000228CE">
        <w:rPr>
          <w:rStyle w:val="normaltextrun"/>
          <w:rFonts w:ascii="Garamond" w:hAnsi="Garamond"/>
          <w:color w:val="000000"/>
          <w:shd w:val="clear" w:color="auto" w:fill="FFFFFF"/>
          <w:lang w:val="en-US"/>
        </w:rPr>
        <w:t xml:space="preserve"> from Christian teaching.</w:t>
      </w:r>
    </w:p>
    <w:p w14:paraId="318B144E" w14:textId="77777777" w:rsidR="000228CE" w:rsidRDefault="000228CE" w:rsidP="00C70AD2">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p>
    <w:p w14:paraId="6840632A" w14:textId="2E3FE84F" w:rsidR="0000136D" w:rsidRPr="00242319" w:rsidRDefault="005A6FE7" w:rsidP="00335B20">
      <w:pPr>
        <w:pStyle w:val="paragraph"/>
        <w:spacing w:before="0" w:beforeAutospacing="0" w:after="0" w:afterAutospacing="0"/>
        <w:jc w:val="both"/>
        <w:textAlignment w:val="baseline"/>
        <w:rPr>
          <w:rStyle w:val="normaltextrun"/>
          <w:rFonts w:ascii="Garamond" w:hAnsi="Garamond"/>
          <w:color w:val="000000"/>
          <w:u w:val="single"/>
          <w:shd w:val="clear" w:color="auto" w:fill="FFFFFF"/>
          <w:lang w:val="en-US"/>
        </w:rPr>
      </w:pPr>
      <w:r w:rsidRPr="00242319">
        <w:rPr>
          <w:rStyle w:val="normaltextrun"/>
          <w:rFonts w:ascii="Garamond" w:hAnsi="Garamond"/>
          <w:color w:val="000000"/>
          <w:u w:val="single"/>
          <w:shd w:val="clear" w:color="auto" w:fill="FFFFFF"/>
          <w:lang w:val="en-US"/>
        </w:rPr>
        <w:t xml:space="preserve">2: Monarchy and </w:t>
      </w:r>
      <w:r w:rsidR="0000136D" w:rsidRPr="00242319">
        <w:rPr>
          <w:rStyle w:val="normaltextrun"/>
          <w:rFonts w:ascii="Garamond" w:hAnsi="Garamond"/>
          <w:color w:val="000000"/>
          <w:u w:val="single"/>
          <w:shd w:val="clear" w:color="auto" w:fill="FFFFFF"/>
          <w:lang w:val="en-US"/>
        </w:rPr>
        <w:t>Epistem</w:t>
      </w:r>
      <w:r w:rsidRPr="00242319">
        <w:rPr>
          <w:rStyle w:val="normaltextrun"/>
          <w:rFonts w:ascii="Garamond" w:hAnsi="Garamond"/>
          <w:color w:val="000000"/>
          <w:u w:val="single"/>
          <w:shd w:val="clear" w:color="auto" w:fill="FFFFFF"/>
          <w:lang w:val="en-US"/>
        </w:rPr>
        <w:t>ology</w:t>
      </w:r>
    </w:p>
    <w:p w14:paraId="0A4A0FB2" w14:textId="77777777" w:rsidR="0000136D" w:rsidRPr="00335B20" w:rsidRDefault="0000136D" w:rsidP="00335B20">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p>
    <w:p w14:paraId="56B4039D" w14:textId="482589B2" w:rsidR="00380808" w:rsidRPr="009277C5" w:rsidRDefault="00404E85" w:rsidP="00D11C0C">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r>
        <w:rPr>
          <w:rStyle w:val="normaltextrun"/>
          <w:rFonts w:ascii="Garamond" w:hAnsi="Garamond"/>
          <w:color w:val="000000"/>
          <w:shd w:val="clear" w:color="auto" w:fill="FFFFFF"/>
          <w:lang w:val="en-US"/>
        </w:rPr>
        <w:t>It might seem from the above section that N</w:t>
      </w:r>
      <w:r w:rsidR="004F7514">
        <w:rPr>
          <w:rStyle w:val="normaltextrun"/>
          <w:rFonts w:ascii="Garamond" w:hAnsi="Garamond"/>
          <w:color w:val="000000"/>
          <w:shd w:val="clear" w:color="auto" w:fill="FFFFFF"/>
          <w:lang w:val="en-US"/>
        </w:rPr>
        <w:t xml:space="preserve">ewman’s writing is less important for approaching the relationship between Rome and the British Monarchy than is often assumed. </w:t>
      </w:r>
      <w:r w:rsidR="006D4FA6">
        <w:rPr>
          <w:rStyle w:val="normaltextrun"/>
          <w:rFonts w:ascii="Garamond" w:hAnsi="Garamond"/>
          <w:color w:val="000000"/>
          <w:shd w:val="clear" w:color="auto" w:fill="FFFFFF"/>
          <w:lang w:val="en-US"/>
        </w:rPr>
        <w:t xml:space="preserve">When it comes to the broader challenges facing this institution, however, Newman </w:t>
      </w:r>
      <w:r w:rsidR="003D2E85">
        <w:rPr>
          <w:rStyle w:val="normaltextrun"/>
          <w:rFonts w:ascii="Garamond" w:hAnsi="Garamond"/>
          <w:color w:val="000000"/>
          <w:shd w:val="clear" w:color="auto" w:fill="FFFFFF"/>
          <w:lang w:val="en-US"/>
        </w:rPr>
        <w:t xml:space="preserve">offers some helpful resources. </w:t>
      </w:r>
      <w:r w:rsidR="00D11C0C">
        <w:rPr>
          <w:rStyle w:val="normaltextrun"/>
          <w:rFonts w:ascii="Garamond" w:hAnsi="Garamond"/>
          <w:color w:val="000000"/>
          <w:shd w:val="clear" w:color="auto" w:fill="FFFFFF"/>
          <w:lang w:val="en-US"/>
        </w:rPr>
        <w:t xml:space="preserve"> This can be seen by </w:t>
      </w:r>
      <w:r w:rsidR="000228CE">
        <w:rPr>
          <w:rStyle w:val="normaltextrun"/>
          <w:rFonts w:ascii="Garamond" w:hAnsi="Garamond"/>
          <w:color w:val="000000"/>
          <w:shd w:val="clear" w:color="auto" w:fill="FFFFFF"/>
          <w:lang w:val="en-US"/>
        </w:rPr>
        <w:t>mak</w:t>
      </w:r>
      <w:r w:rsidR="001C1F69">
        <w:rPr>
          <w:rStyle w:val="normaltextrun"/>
          <w:rFonts w:ascii="Garamond" w:hAnsi="Garamond"/>
          <w:color w:val="000000"/>
          <w:shd w:val="clear" w:color="auto" w:fill="FFFFFF"/>
          <w:lang w:val="en-US"/>
        </w:rPr>
        <w:t>ing</w:t>
      </w:r>
      <w:r w:rsidR="000228CE">
        <w:rPr>
          <w:rStyle w:val="normaltextrun"/>
          <w:rFonts w:ascii="Garamond" w:hAnsi="Garamond"/>
          <w:color w:val="000000"/>
          <w:shd w:val="clear" w:color="auto" w:fill="FFFFFF"/>
          <w:lang w:val="en-US"/>
        </w:rPr>
        <w:t xml:space="preserve"> recourse </w:t>
      </w:r>
      <w:r w:rsidR="00817745" w:rsidRPr="00335B20">
        <w:rPr>
          <w:rStyle w:val="normaltextrun"/>
          <w:rFonts w:ascii="Garamond" w:hAnsi="Garamond"/>
          <w:color w:val="000000"/>
          <w:shd w:val="clear" w:color="auto" w:fill="FFFFFF"/>
          <w:lang w:val="en-US"/>
        </w:rPr>
        <w:t xml:space="preserve">to Newman’s epistemology, as </w:t>
      </w:r>
      <w:r w:rsidR="0056065D" w:rsidRPr="00335B20">
        <w:rPr>
          <w:rStyle w:val="normaltextrun"/>
          <w:rFonts w:ascii="Garamond" w:hAnsi="Garamond"/>
          <w:color w:val="000000"/>
          <w:shd w:val="clear" w:color="auto" w:fill="FFFFFF"/>
          <w:lang w:val="en-US"/>
        </w:rPr>
        <w:t>described</w:t>
      </w:r>
      <w:r w:rsidR="00817745" w:rsidRPr="00335B20">
        <w:rPr>
          <w:rStyle w:val="normaltextrun"/>
          <w:rFonts w:ascii="Garamond" w:hAnsi="Garamond"/>
          <w:color w:val="000000"/>
          <w:shd w:val="clear" w:color="auto" w:fill="FFFFFF"/>
          <w:lang w:val="en-US"/>
        </w:rPr>
        <w:t xml:space="preserve"> in his </w:t>
      </w:r>
      <w:r w:rsidR="00817745" w:rsidRPr="00335B20">
        <w:rPr>
          <w:rStyle w:val="normaltextrun"/>
          <w:rFonts w:ascii="Garamond" w:hAnsi="Garamond"/>
          <w:i/>
          <w:iCs/>
          <w:color w:val="000000"/>
          <w:shd w:val="clear" w:color="auto" w:fill="FFFFFF"/>
          <w:lang w:val="en-US"/>
        </w:rPr>
        <w:t>Essay in Aid of a Grammar of Assent</w:t>
      </w:r>
      <w:r w:rsidR="00817745" w:rsidRPr="00335B20">
        <w:rPr>
          <w:rStyle w:val="normaltextrun"/>
          <w:rFonts w:ascii="Garamond" w:hAnsi="Garamond"/>
          <w:color w:val="000000"/>
          <w:shd w:val="clear" w:color="auto" w:fill="FFFFFF"/>
          <w:lang w:val="en-US"/>
        </w:rPr>
        <w:t xml:space="preserve">. </w:t>
      </w:r>
      <w:r w:rsidR="002100A0">
        <w:rPr>
          <w:rStyle w:val="normaltextrun"/>
          <w:rFonts w:ascii="Garamond" w:hAnsi="Garamond"/>
          <w:color w:val="000000"/>
          <w:shd w:val="clear" w:color="auto" w:fill="FFFFFF"/>
          <w:lang w:val="en-US"/>
        </w:rPr>
        <w:t xml:space="preserve">In order to </w:t>
      </w:r>
      <w:r w:rsidR="00316C22">
        <w:rPr>
          <w:rStyle w:val="normaltextrun"/>
          <w:rFonts w:ascii="Garamond" w:hAnsi="Garamond"/>
          <w:color w:val="000000"/>
          <w:shd w:val="clear" w:color="auto" w:fill="FFFFFF"/>
          <w:lang w:val="en-US"/>
        </w:rPr>
        <w:t xml:space="preserve">show how his epistemics apply to </w:t>
      </w:r>
      <w:r w:rsidR="00455DA5">
        <w:rPr>
          <w:rStyle w:val="normaltextrun"/>
          <w:rFonts w:ascii="Garamond" w:hAnsi="Garamond"/>
          <w:color w:val="000000"/>
          <w:shd w:val="clear" w:color="auto" w:fill="FFFFFF"/>
          <w:lang w:val="en-US"/>
        </w:rPr>
        <w:t xml:space="preserve">justifications of monarchy, </w:t>
      </w:r>
      <w:r w:rsidR="008438B4">
        <w:rPr>
          <w:rStyle w:val="normaltextrun"/>
          <w:rFonts w:ascii="Garamond" w:hAnsi="Garamond"/>
          <w:color w:val="000000"/>
          <w:shd w:val="clear" w:color="auto" w:fill="FFFFFF"/>
          <w:lang w:val="en-US"/>
        </w:rPr>
        <w:t xml:space="preserve">it is necessary to </w:t>
      </w:r>
      <w:r w:rsidR="00455DA5">
        <w:rPr>
          <w:rStyle w:val="normaltextrun"/>
          <w:rFonts w:ascii="Garamond" w:hAnsi="Garamond"/>
          <w:color w:val="000000"/>
          <w:shd w:val="clear" w:color="auto" w:fill="FFFFFF"/>
          <w:lang w:val="en-US"/>
        </w:rPr>
        <w:t xml:space="preserve">consider a recent </w:t>
      </w:r>
      <w:r w:rsidR="008438B4">
        <w:rPr>
          <w:rStyle w:val="normaltextrun"/>
          <w:rFonts w:ascii="Garamond" w:hAnsi="Garamond"/>
          <w:color w:val="000000"/>
          <w:shd w:val="clear" w:color="auto" w:fill="FFFFFF"/>
          <w:lang w:val="en-US"/>
        </w:rPr>
        <w:t xml:space="preserve">attempt to find a rational justification for </w:t>
      </w:r>
      <w:r w:rsidR="00455DA5">
        <w:rPr>
          <w:rStyle w:val="normaltextrun"/>
          <w:rFonts w:ascii="Garamond" w:hAnsi="Garamond"/>
          <w:color w:val="000000"/>
          <w:shd w:val="clear" w:color="auto" w:fill="FFFFFF"/>
          <w:lang w:val="en-US"/>
        </w:rPr>
        <w:t>m</w:t>
      </w:r>
      <w:r w:rsidR="008438B4">
        <w:rPr>
          <w:rStyle w:val="normaltextrun"/>
          <w:rFonts w:ascii="Garamond" w:hAnsi="Garamond"/>
          <w:color w:val="000000"/>
          <w:shd w:val="clear" w:color="auto" w:fill="FFFFFF"/>
          <w:lang w:val="en-US"/>
        </w:rPr>
        <w:t>onarchy</w:t>
      </w:r>
      <w:r w:rsidR="00B500CA">
        <w:rPr>
          <w:rStyle w:val="normaltextrun"/>
          <w:rFonts w:ascii="Garamond" w:hAnsi="Garamond"/>
          <w:color w:val="000000"/>
          <w:shd w:val="clear" w:color="auto" w:fill="FFFFFF"/>
          <w:lang w:val="en-US"/>
        </w:rPr>
        <w:t xml:space="preserve"> from the perspective of </w:t>
      </w:r>
      <w:r w:rsidR="0056065D" w:rsidRPr="00335B20">
        <w:rPr>
          <w:rStyle w:val="normaltextrun"/>
          <w:rFonts w:ascii="Garamond" w:hAnsi="Garamond"/>
          <w:color w:val="000000"/>
          <w:shd w:val="clear" w:color="auto" w:fill="FFFFFF"/>
          <w:lang w:val="en-US"/>
        </w:rPr>
        <w:t>political Liberalism</w:t>
      </w:r>
      <w:r w:rsidR="00455DA5">
        <w:rPr>
          <w:rStyle w:val="normaltextrun"/>
          <w:rFonts w:ascii="Garamond" w:hAnsi="Garamond"/>
          <w:color w:val="000000"/>
          <w:shd w:val="clear" w:color="auto" w:fill="FFFFFF"/>
          <w:lang w:val="en-US"/>
        </w:rPr>
        <w:t xml:space="preserve">, </w:t>
      </w:r>
      <w:r w:rsidR="0056065D" w:rsidRPr="00335B20">
        <w:rPr>
          <w:rStyle w:val="normaltextrun"/>
          <w:rFonts w:ascii="Garamond" w:hAnsi="Garamond"/>
          <w:color w:val="000000"/>
          <w:shd w:val="clear" w:color="auto" w:fill="FFFFFF"/>
          <w:lang w:val="en-US"/>
        </w:rPr>
        <w:t>by Detlef von Daniels</w:t>
      </w:r>
      <w:r w:rsidR="00C947AD">
        <w:rPr>
          <w:rStyle w:val="normaltextrun"/>
          <w:rFonts w:ascii="Garamond" w:hAnsi="Garamond"/>
          <w:color w:val="000000"/>
          <w:shd w:val="clear" w:color="auto" w:fill="FFFFFF"/>
          <w:lang w:val="en-US"/>
        </w:rPr>
        <w:t>.</w:t>
      </w:r>
      <w:r w:rsidR="00DD4BC0" w:rsidRPr="00335B20">
        <w:rPr>
          <w:rStyle w:val="normaltextrun"/>
          <w:rFonts w:ascii="Garamond" w:hAnsi="Garamond"/>
          <w:color w:val="000000"/>
          <w:shd w:val="clear" w:color="auto" w:fill="FFFFFF"/>
          <w:lang w:val="en-US"/>
        </w:rPr>
        <w:t xml:space="preserve"> </w:t>
      </w:r>
      <w:r w:rsidR="00883EB8" w:rsidRPr="00335B20">
        <w:rPr>
          <w:rStyle w:val="normaltextrun"/>
          <w:rFonts w:ascii="Garamond" w:hAnsi="Garamond"/>
          <w:color w:val="000000"/>
          <w:shd w:val="clear" w:color="auto" w:fill="FFFFFF"/>
          <w:lang w:val="en-US"/>
        </w:rPr>
        <w:t xml:space="preserve">What von Daniels work has shown, is that – from the perspective of what we </w:t>
      </w:r>
      <w:r w:rsidR="001C7065">
        <w:rPr>
          <w:rStyle w:val="normaltextrun"/>
          <w:rFonts w:ascii="Garamond" w:hAnsi="Garamond"/>
          <w:color w:val="000000"/>
          <w:shd w:val="clear" w:color="auto" w:fill="FFFFFF"/>
          <w:lang w:val="en-US"/>
        </w:rPr>
        <w:t xml:space="preserve">can </w:t>
      </w:r>
      <w:r w:rsidR="00883EB8" w:rsidRPr="00335B20">
        <w:rPr>
          <w:rStyle w:val="normaltextrun"/>
          <w:rFonts w:ascii="Garamond" w:hAnsi="Garamond"/>
          <w:color w:val="000000"/>
          <w:shd w:val="clear" w:color="auto" w:fill="FFFFFF"/>
          <w:lang w:val="en-US"/>
        </w:rPr>
        <w:t xml:space="preserve">term </w:t>
      </w:r>
      <w:r w:rsidR="00C0055D">
        <w:rPr>
          <w:rStyle w:val="normaltextrun"/>
          <w:rFonts w:ascii="Garamond" w:hAnsi="Garamond"/>
          <w:color w:val="000000"/>
          <w:shd w:val="clear" w:color="auto" w:fill="FFFFFF"/>
          <w:lang w:val="en-US"/>
        </w:rPr>
        <w:t>L</w:t>
      </w:r>
      <w:r w:rsidR="00126F2B" w:rsidRPr="00335B20">
        <w:rPr>
          <w:rStyle w:val="normaltextrun"/>
          <w:rFonts w:ascii="Garamond" w:hAnsi="Garamond"/>
          <w:color w:val="000000"/>
          <w:shd w:val="clear" w:color="auto" w:fill="FFFFFF"/>
          <w:lang w:val="en-US"/>
        </w:rPr>
        <w:t xml:space="preserve">iberal </w:t>
      </w:r>
      <w:r w:rsidR="00C0055D">
        <w:rPr>
          <w:rStyle w:val="normaltextrun"/>
          <w:rFonts w:ascii="Garamond" w:hAnsi="Garamond"/>
          <w:color w:val="000000"/>
          <w:shd w:val="clear" w:color="auto" w:fill="FFFFFF"/>
          <w:lang w:val="en-US"/>
        </w:rPr>
        <w:t xml:space="preserve">principles </w:t>
      </w:r>
      <w:r w:rsidR="00126F2B" w:rsidRPr="00335B20">
        <w:rPr>
          <w:rStyle w:val="normaltextrun"/>
          <w:rFonts w:ascii="Garamond" w:hAnsi="Garamond"/>
          <w:color w:val="000000"/>
          <w:shd w:val="clear" w:color="auto" w:fill="FFFFFF"/>
          <w:lang w:val="en-US"/>
        </w:rPr>
        <w:t xml:space="preserve">– it is more than a little difficult to justify the institution of </w:t>
      </w:r>
      <w:r w:rsidR="001C7065">
        <w:rPr>
          <w:rStyle w:val="normaltextrun"/>
          <w:rFonts w:ascii="Garamond" w:hAnsi="Garamond"/>
          <w:color w:val="000000"/>
          <w:shd w:val="clear" w:color="auto" w:fill="FFFFFF"/>
          <w:lang w:val="en-US"/>
        </w:rPr>
        <w:t>m</w:t>
      </w:r>
      <w:r w:rsidR="00126F2B" w:rsidRPr="00335B20">
        <w:rPr>
          <w:rStyle w:val="normaltextrun"/>
          <w:rFonts w:ascii="Garamond" w:hAnsi="Garamond"/>
          <w:color w:val="000000"/>
          <w:shd w:val="clear" w:color="auto" w:fill="FFFFFF"/>
          <w:lang w:val="en-US"/>
        </w:rPr>
        <w:t>onarchy</w:t>
      </w:r>
      <w:r w:rsidR="001C7065">
        <w:rPr>
          <w:rStyle w:val="normaltextrun"/>
          <w:rFonts w:ascii="Garamond" w:hAnsi="Garamond"/>
          <w:color w:val="000000"/>
          <w:shd w:val="clear" w:color="auto" w:fill="FFFFFF"/>
          <w:lang w:val="en-US"/>
        </w:rPr>
        <w:t xml:space="preserve">. Rather than dismiss monarchy as unacceptably illiberal, however, </w:t>
      </w:r>
      <w:r w:rsidR="003030A7">
        <w:rPr>
          <w:rStyle w:val="normaltextrun"/>
          <w:rFonts w:ascii="Garamond" w:hAnsi="Garamond"/>
          <w:color w:val="000000"/>
          <w:shd w:val="clear" w:color="auto" w:fill="FFFFFF"/>
          <w:lang w:val="en-US"/>
        </w:rPr>
        <w:t xml:space="preserve">von Daniels suggests that </w:t>
      </w:r>
      <w:r w:rsidR="0013253B">
        <w:rPr>
          <w:rStyle w:val="normaltextrun"/>
          <w:rFonts w:ascii="Garamond" w:hAnsi="Garamond"/>
          <w:color w:val="000000"/>
          <w:shd w:val="clear" w:color="auto" w:fill="FFFFFF"/>
          <w:lang w:val="en-US"/>
        </w:rPr>
        <w:t xml:space="preserve">our range of justification needs to be much deeper </w:t>
      </w:r>
      <w:r w:rsidR="003030A7">
        <w:rPr>
          <w:rStyle w:val="normaltextrun"/>
          <w:rFonts w:ascii="Garamond" w:hAnsi="Garamond"/>
          <w:color w:val="000000"/>
          <w:shd w:val="clear" w:color="auto" w:fill="FFFFFF"/>
          <w:lang w:val="en-US"/>
        </w:rPr>
        <w:t xml:space="preserve">and richer </w:t>
      </w:r>
      <w:r w:rsidR="0013253B">
        <w:rPr>
          <w:rStyle w:val="normaltextrun"/>
          <w:rFonts w:ascii="Garamond" w:hAnsi="Garamond"/>
          <w:color w:val="000000"/>
          <w:shd w:val="clear" w:color="auto" w:fill="FFFFFF"/>
          <w:lang w:val="en-US"/>
        </w:rPr>
        <w:t>than mere theory</w:t>
      </w:r>
      <w:r w:rsidR="00126F2B" w:rsidRPr="00335B20">
        <w:rPr>
          <w:rStyle w:val="normaltextrun"/>
          <w:rFonts w:ascii="Garamond" w:hAnsi="Garamond"/>
          <w:color w:val="000000"/>
          <w:shd w:val="clear" w:color="auto" w:fill="FFFFFF"/>
          <w:lang w:val="en-US"/>
        </w:rPr>
        <w:t xml:space="preserve">. </w:t>
      </w:r>
      <w:r w:rsidR="00EF4B2C">
        <w:rPr>
          <w:rStyle w:val="normaltextrun"/>
          <w:rFonts w:ascii="Garamond" w:hAnsi="Garamond"/>
          <w:color w:val="000000"/>
          <w:shd w:val="clear" w:color="auto" w:fill="FFFFFF"/>
          <w:lang w:val="en-US"/>
        </w:rPr>
        <w:t>Interestingly</w:t>
      </w:r>
      <w:r w:rsidR="009277C5">
        <w:rPr>
          <w:rStyle w:val="normaltextrun"/>
          <w:rFonts w:ascii="Garamond" w:hAnsi="Garamond"/>
          <w:color w:val="000000"/>
          <w:shd w:val="clear" w:color="auto" w:fill="FFFFFF"/>
          <w:lang w:val="en-US"/>
        </w:rPr>
        <w:t>, th</w:t>
      </w:r>
      <w:r w:rsidR="00EF4B2C">
        <w:rPr>
          <w:rStyle w:val="normaltextrun"/>
          <w:rFonts w:ascii="Garamond" w:hAnsi="Garamond"/>
          <w:color w:val="000000"/>
          <w:shd w:val="clear" w:color="auto" w:fill="FFFFFF"/>
          <w:lang w:val="en-US"/>
        </w:rPr>
        <w:t>e</w:t>
      </w:r>
      <w:r w:rsidR="009277C5">
        <w:rPr>
          <w:rStyle w:val="normaltextrun"/>
          <w:rFonts w:ascii="Garamond" w:hAnsi="Garamond"/>
          <w:color w:val="000000"/>
          <w:shd w:val="clear" w:color="auto" w:fill="FFFFFF"/>
          <w:lang w:val="en-US"/>
        </w:rPr>
        <w:t xml:space="preserve"> extended range of justification </w:t>
      </w:r>
      <w:r w:rsidR="00EF4B2C">
        <w:rPr>
          <w:rStyle w:val="normaltextrun"/>
          <w:rFonts w:ascii="Garamond" w:hAnsi="Garamond"/>
          <w:color w:val="000000"/>
          <w:shd w:val="clear" w:color="auto" w:fill="FFFFFF"/>
          <w:lang w:val="en-US"/>
        </w:rPr>
        <w:t xml:space="preserve">which von Detlef offers </w:t>
      </w:r>
      <w:r w:rsidR="009277C5">
        <w:rPr>
          <w:rStyle w:val="normaltextrun"/>
          <w:rFonts w:ascii="Garamond" w:hAnsi="Garamond"/>
          <w:color w:val="000000"/>
          <w:shd w:val="clear" w:color="auto" w:fill="FFFFFF"/>
          <w:lang w:val="en-US"/>
        </w:rPr>
        <w:t xml:space="preserve">is markedly similar to the epistemological terrain which Newman not only marked out in the </w:t>
      </w:r>
      <w:r w:rsidR="009277C5" w:rsidRPr="009277C5">
        <w:rPr>
          <w:rStyle w:val="normaltextrun"/>
          <w:rFonts w:ascii="Garamond" w:hAnsi="Garamond"/>
          <w:i/>
          <w:color w:val="000000"/>
          <w:shd w:val="clear" w:color="auto" w:fill="FFFFFF"/>
          <w:lang w:val="en-US"/>
        </w:rPr>
        <w:t>Grammar</w:t>
      </w:r>
      <w:r w:rsidR="009277C5">
        <w:rPr>
          <w:rStyle w:val="normaltextrun"/>
          <w:rFonts w:ascii="Garamond" w:hAnsi="Garamond"/>
          <w:color w:val="000000"/>
          <w:shd w:val="clear" w:color="auto" w:fill="FFFFFF"/>
          <w:lang w:val="en-US"/>
        </w:rPr>
        <w:t xml:space="preserve">, but did so while commenting on how </w:t>
      </w:r>
      <w:r w:rsidR="00C1698D">
        <w:rPr>
          <w:rStyle w:val="normaltextrun"/>
          <w:rFonts w:ascii="Garamond" w:hAnsi="Garamond"/>
          <w:color w:val="000000"/>
          <w:shd w:val="clear" w:color="auto" w:fill="FFFFFF"/>
          <w:lang w:val="en-US"/>
        </w:rPr>
        <w:t xml:space="preserve">deeply English </w:t>
      </w:r>
      <w:r w:rsidR="003030A7">
        <w:rPr>
          <w:rStyle w:val="normaltextrun"/>
          <w:rFonts w:ascii="Garamond" w:hAnsi="Garamond"/>
          <w:color w:val="000000"/>
          <w:shd w:val="clear" w:color="auto" w:fill="FFFFFF"/>
          <w:lang w:val="en-US"/>
        </w:rPr>
        <w:t>such an</w:t>
      </w:r>
      <w:r w:rsidR="00C1698D">
        <w:rPr>
          <w:rStyle w:val="normaltextrun"/>
          <w:rFonts w:ascii="Garamond" w:hAnsi="Garamond"/>
          <w:color w:val="000000"/>
          <w:shd w:val="clear" w:color="auto" w:fill="FFFFFF"/>
          <w:lang w:val="en-US"/>
        </w:rPr>
        <w:t xml:space="preserve"> approach reasoning is. </w:t>
      </w:r>
    </w:p>
    <w:p w14:paraId="1529D2EE" w14:textId="77777777" w:rsidR="00380808" w:rsidRDefault="00380808" w:rsidP="00335B20">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p>
    <w:p w14:paraId="16307A58" w14:textId="3AA52C72" w:rsidR="005D59B7" w:rsidRDefault="00380808" w:rsidP="00335B20">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r>
        <w:rPr>
          <w:rStyle w:val="normaltextrun"/>
          <w:rFonts w:ascii="Garamond" w:hAnsi="Garamond"/>
          <w:color w:val="000000"/>
          <w:shd w:val="clear" w:color="auto" w:fill="FFFFFF"/>
          <w:lang w:val="en-US"/>
        </w:rPr>
        <w:t>von Daniel</w:t>
      </w:r>
      <w:r w:rsidR="001C1F69">
        <w:rPr>
          <w:rStyle w:val="normaltextrun"/>
          <w:rFonts w:ascii="Garamond" w:hAnsi="Garamond"/>
          <w:color w:val="000000"/>
          <w:shd w:val="clear" w:color="auto" w:fill="FFFFFF"/>
          <w:lang w:val="en-US"/>
        </w:rPr>
        <w:t>s</w:t>
      </w:r>
      <w:r>
        <w:rPr>
          <w:rStyle w:val="normaltextrun"/>
          <w:rFonts w:ascii="Garamond" w:hAnsi="Garamond"/>
          <w:color w:val="000000"/>
          <w:shd w:val="clear" w:color="auto" w:fill="FFFFFF"/>
          <w:lang w:val="en-US"/>
        </w:rPr>
        <w:t xml:space="preserve"> claims </w:t>
      </w:r>
      <w:r w:rsidR="00D45CEF" w:rsidRPr="00335B20">
        <w:rPr>
          <w:rStyle w:val="normaltextrun"/>
          <w:rFonts w:ascii="Garamond" w:hAnsi="Garamond"/>
          <w:color w:val="000000"/>
          <w:shd w:val="clear" w:color="auto" w:fill="FFFFFF"/>
          <w:lang w:val="en-US"/>
        </w:rPr>
        <w:t>Liberalism proper operates under three primary slogans</w:t>
      </w:r>
      <w:r>
        <w:rPr>
          <w:rStyle w:val="normaltextrun"/>
          <w:rFonts w:ascii="Garamond" w:hAnsi="Garamond"/>
          <w:color w:val="000000"/>
          <w:shd w:val="clear" w:color="auto" w:fill="FFFFFF"/>
          <w:lang w:val="en-US"/>
        </w:rPr>
        <w:t xml:space="preserve">. </w:t>
      </w:r>
      <w:r w:rsidR="00BC68EF" w:rsidRPr="00335B20">
        <w:rPr>
          <w:rStyle w:val="normaltextrun"/>
          <w:rFonts w:ascii="Garamond" w:hAnsi="Garamond"/>
          <w:color w:val="000000"/>
          <w:shd w:val="clear" w:color="auto" w:fill="FFFFFF"/>
          <w:lang w:val="en-US"/>
        </w:rPr>
        <w:t xml:space="preserve">The first is ‘Reasonable Justification’ – meaning there must be an underlying rationale for political institutions that </w:t>
      </w:r>
      <w:r w:rsidR="00663FD0" w:rsidRPr="00335B20">
        <w:rPr>
          <w:rStyle w:val="normaltextrun"/>
          <w:rFonts w:ascii="Garamond" w:hAnsi="Garamond"/>
          <w:color w:val="000000"/>
          <w:shd w:val="clear" w:color="auto" w:fill="FFFFFF"/>
          <w:lang w:val="en-US"/>
        </w:rPr>
        <w:t xml:space="preserve">is transparent to reason and grounded in reason. He roots this right back in John Locke’s criticism of </w:t>
      </w:r>
      <w:r w:rsidR="006A703D" w:rsidRPr="00335B20">
        <w:rPr>
          <w:rStyle w:val="normaltextrun"/>
          <w:rFonts w:ascii="Garamond" w:hAnsi="Garamond"/>
          <w:color w:val="000000"/>
          <w:shd w:val="clear" w:color="auto" w:fill="FFFFFF"/>
          <w:lang w:val="en-US"/>
        </w:rPr>
        <w:t xml:space="preserve">Robert Filmer, </w:t>
      </w:r>
      <w:r>
        <w:rPr>
          <w:rStyle w:val="normaltextrun"/>
          <w:rFonts w:ascii="Garamond" w:hAnsi="Garamond"/>
          <w:color w:val="000000"/>
          <w:shd w:val="clear" w:color="auto" w:fill="FFFFFF"/>
          <w:lang w:val="en-US"/>
        </w:rPr>
        <w:t xml:space="preserve">but we </w:t>
      </w:r>
      <w:r w:rsidR="00E43047" w:rsidRPr="00335B20">
        <w:rPr>
          <w:rStyle w:val="normaltextrun"/>
          <w:rFonts w:ascii="Garamond" w:hAnsi="Garamond"/>
          <w:color w:val="000000"/>
          <w:shd w:val="clear" w:color="auto" w:fill="FFFFFF"/>
          <w:lang w:val="en-US"/>
        </w:rPr>
        <w:t xml:space="preserve">see it </w:t>
      </w:r>
      <w:r>
        <w:rPr>
          <w:rStyle w:val="normaltextrun"/>
          <w:rFonts w:ascii="Garamond" w:hAnsi="Garamond"/>
          <w:color w:val="000000"/>
          <w:shd w:val="clear" w:color="auto" w:fill="FFFFFF"/>
          <w:lang w:val="en-US"/>
        </w:rPr>
        <w:t xml:space="preserve">more recently </w:t>
      </w:r>
      <w:r w:rsidR="00E43047" w:rsidRPr="00335B20">
        <w:rPr>
          <w:rStyle w:val="normaltextrun"/>
          <w:rFonts w:ascii="Garamond" w:hAnsi="Garamond"/>
          <w:color w:val="000000"/>
          <w:shd w:val="clear" w:color="auto" w:fill="FFFFFF"/>
          <w:lang w:val="en-US"/>
        </w:rPr>
        <w:t xml:space="preserve">in John Rawls </w:t>
      </w:r>
      <w:r w:rsidR="00E43047" w:rsidRPr="00335B20">
        <w:rPr>
          <w:rStyle w:val="normaltextrun"/>
          <w:rFonts w:ascii="Garamond" w:hAnsi="Garamond"/>
          <w:i/>
          <w:iCs/>
          <w:color w:val="000000"/>
          <w:shd w:val="clear" w:color="auto" w:fill="FFFFFF"/>
          <w:lang w:val="en-US"/>
        </w:rPr>
        <w:t>Theory of Justice</w:t>
      </w:r>
      <w:r w:rsidR="00E43047" w:rsidRPr="00335B20">
        <w:rPr>
          <w:rStyle w:val="normaltextrun"/>
          <w:rFonts w:ascii="Garamond" w:hAnsi="Garamond"/>
          <w:color w:val="000000"/>
          <w:shd w:val="clear" w:color="auto" w:fill="FFFFFF"/>
          <w:lang w:val="en-US"/>
        </w:rPr>
        <w:t xml:space="preserve">, </w:t>
      </w:r>
      <w:r w:rsidR="00030C39" w:rsidRPr="00335B20">
        <w:rPr>
          <w:rStyle w:val="normaltextrun"/>
          <w:rFonts w:ascii="Garamond" w:hAnsi="Garamond"/>
          <w:color w:val="000000"/>
          <w:shd w:val="clear" w:color="auto" w:fill="FFFFFF"/>
          <w:lang w:val="en-US"/>
        </w:rPr>
        <w:t xml:space="preserve">which argues that neither divine revelation nor contingent historical facts ‘can be accepted as sufficient justification of political </w:t>
      </w:r>
      <w:r w:rsidR="00C1698D" w:rsidRPr="00335B20">
        <w:rPr>
          <w:rStyle w:val="normaltextrun"/>
          <w:rFonts w:ascii="Garamond" w:hAnsi="Garamond"/>
          <w:color w:val="000000"/>
          <w:shd w:val="clear" w:color="auto" w:fill="FFFFFF"/>
          <w:lang w:val="en-US"/>
        </w:rPr>
        <w:t>institutions</w:t>
      </w:r>
      <w:r w:rsidR="00030C39" w:rsidRPr="00335B20">
        <w:rPr>
          <w:rStyle w:val="normaltextrun"/>
          <w:rFonts w:ascii="Garamond" w:hAnsi="Garamond"/>
          <w:color w:val="000000"/>
          <w:shd w:val="clear" w:color="auto" w:fill="FFFFFF"/>
          <w:lang w:val="en-US"/>
        </w:rPr>
        <w:t>.</w:t>
      </w:r>
      <w:r>
        <w:rPr>
          <w:rStyle w:val="FootnoteReference"/>
          <w:rFonts w:ascii="Garamond" w:hAnsi="Garamond"/>
          <w:color w:val="000000"/>
          <w:shd w:val="clear" w:color="auto" w:fill="FFFFFF"/>
          <w:lang w:val="en-US"/>
        </w:rPr>
        <w:footnoteReference w:id="16"/>
      </w:r>
      <w:r w:rsidR="00030C39" w:rsidRPr="00335B20">
        <w:rPr>
          <w:rStyle w:val="normaltextrun"/>
          <w:rFonts w:ascii="Garamond" w:hAnsi="Garamond"/>
          <w:color w:val="000000"/>
          <w:shd w:val="clear" w:color="auto" w:fill="FFFFFF"/>
          <w:lang w:val="en-US"/>
        </w:rPr>
        <w:t xml:space="preserve"> </w:t>
      </w:r>
      <w:r>
        <w:rPr>
          <w:rStyle w:val="normaltextrun"/>
          <w:rFonts w:ascii="Garamond" w:hAnsi="Garamond"/>
          <w:color w:val="000000"/>
          <w:shd w:val="clear" w:color="auto" w:fill="FFFFFF"/>
          <w:lang w:val="en-US"/>
        </w:rPr>
        <w:t xml:space="preserve">If there is no transparent rational ground for an institution, then, it is not legitimate – and there goes </w:t>
      </w:r>
      <w:r w:rsidR="001506A2" w:rsidRPr="00335B20">
        <w:rPr>
          <w:rStyle w:val="normaltextrun"/>
          <w:rFonts w:ascii="Garamond" w:hAnsi="Garamond"/>
          <w:color w:val="000000"/>
          <w:shd w:val="clear" w:color="auto" w:fill="FFFFFF"/>
          <w:lang w:val="en-US"/>
        </w:rPr>
        <w:t>heredity continuity</w:t>
      </w:r>
      <w:r>
        <w:rPr>
          <w:rStyle w:val="normaltextrun"/>
          <w:rFonts w:ascii="Garamond" w:hAnsi="Garamond"/>
          <w:color w:val="000000"/>
          <w:shd w:val="clear" w:color="auto" w:fill="FFFFFF"/>
          <w:lang w:val="en-US"/>
        </w:rPr>
        <w:t xml:space="preserve">, </w:t>
      </w:r>
      <w:r w:rsidR="001506A2" w:rsidRPr="00335B20">
        <w:rPr>
          <w:rStyle w:val="normaltextrun"/>
          <w:rFonts w:ascii="Garamond" w:hAnsi="Garamond"/>
          <w:color w:val="000000"/>
          <w:shd w:val="clear" w:color="auto" w:fill="FFFFFF"/>
          <w:lang w:val="en-US"/>
        </w:rPr>
        <w:t xml:space="preserve">primogeniture, </w:t>
      </w:r>
      <w:r w:rsidR="00C1698D">
        <w:rPr>
          <w:rStyle w:val="normaltextrun"/>
          <w:rFonts w:ascii="Garamond" w:hAnsi="Garamond"/>
          <w:color w:val="000000"/>
          <w:shd w:val="clear" w:color="auto" w:fill="FFFFFF"/>
          <w:lang w:val="en-US"/>
        </w:rPr>
        <w:t xml:space="preserve">the coronation oath </w:t>
      </w:r>
      <w:r>
        <w:rPr>
          <w:rStyle w:val="normaltextrun"/>
          <w:rFonts w:ascii="Garamond" w:hAnsi="Garamond"/>
          <w:color w:val="000000"/>
          <w:shd w:val="clear" w:color="auto" w:fill="FFFFFF"/>
          <w:lang w:val="en-US"/>
        </w:rPr>
        <w:t xml:space="preserve">and much </w:t>
      </w:r>
      <w:r w:rsidR="00C1698D">
        <w:rPr>
          <w:rStyle w:val="normaltextrun"/>
          <w:rFonts w:ascii="Garamond" w:hAnsi="Garamond"/>
          <w:color w:val="000000"/>
          <w:shd w:val="clear" w:color="auto" w:fill="FFFFFF"/>
          <w:lang w:val="en-US"/>
        </w:rPr>
        <w:t xml:space="preserve">more besides. </w:t>
      </w:r>
      <w:r w:rsidR="001506A2" w:rsidRPr="00335B20">
        <w:rPr>
          <w:rStyle w:val="normaltextrun"/>
          <w:rFonts w:ascii="Garamond" w:hAnsi="Garamond"/>
          <w:color w:val="000000"/>
          <w:shd w:val="clear" w:color="auto" w:fill="FFFFFF"/>
          <w:lang w:val="en-US"/>
        </w:rPr>
        <w:t xml:space="preserve">The second </w:t>
      </w:r>
      <w:r>
        <w:rPr>
          <w:rStyle w:val="normaltextrun"/>
          <w:rFonts w:ascii="Garamond" w:hAnsi="Garamond"/>
          <w:color w:val="000000"/>
          <w:shd w:val="clear" w:color="auto" w:fill="FFFFFF"/>
          <w:lang w:val="en-US"/>
        </w:rPr>
        <w:t xml:space="preserve">slogan </w:t>
      </w:r>
      <w:r w:rsidR="001506A2" w:rsidRPr="00335B20">
        <w:rPr>
          <w:rStyle w:val="normaltextrun"/>
          <w:rFonts w:ascii="Garamond" w:hAnsi="Garamond"/>
          <w:color w:val="000000"/>
          <w:shd w:val="clear" w:color="auto" w:fill="FFFFFF"/>
          <w:lang w:val="en-US"/>
        </w:rPr>
        <w:t xml:space="preserve">is what von Daniels calls </w:t>
      </w:r>
      <w:r w:rsidR="00C251B5" w:rsidRPr="00335B20">
        <w:rPr>
          <w:rStyle w:val="normaltextrun"/>
          <w:rFonts w:ascii="Garamond" w:hAnsi="Garamond"/>
          <w:color w:val="000000"/>
          <w:shd w:val="clear" w:color="auto" w:fill="FFFFFF"/>
          <w:lang w:val="en-US"/>
        </w:rPr>
        <w:t>‘the Idea of Equality’. This is the basic point that</w:t>
      </w:r>
      <w:r w:rsidR="00C1698D">
        <w:rPr>
          <w:rStyle w:val="normaltextrun"/>
          <w:rFonts w:ascii="Garamond" w:hAnsi="Garamond"/>
          <w:color w:val="000000"/>
          <w:shd w:val="clear" w:color="auto" w:fill="FFFFFF"/>
          <w:lang w:val="en-US"/>
        </w:rPr>
        <w:t xml:space="preserve"> </w:t>
      </w:r>
      <w:r w:rsidR="00C251B5" w:rsidRPr="00335B20">
        <w:rPr>
          <w:rStyle w:val="normaltextrun"/>
          <w:rFonts w:ascii="Garamond" w:hAnsi="Garamond"/>
          <w:color w:val="000000"/>
          <w:shd w:val="clear" w:color="auto" w:fill="FFFFFF"/>
          <w:lang w:val="en-US"/>
        </w:rPr>
        <w:t>people ‘have to be</w:t>
      </w:r>
      <w:r w:rsidR="00EB4A26" w:rsidRPr="00335B20">
        <w:rPr>
          <w:rStyle w:val="normaltextrun"/>
          <w:rFonts w:ascii="Garamond" w:hAnsi="Garamond"/>
          <w:color w:val="000000"/>
          <w:shd w:val="clear" w:color="auto" w:fill="FFFFFF"/>
          <w:lang w:val="en-US"/>
        </w:rPr>
        <w:t xml:space="preserve"> treated by public authorities as equals’, and ‘arbitrary differences’ such as ‘birth, s</w:t>
      </w:r>
      <w:r>
        <w:rPr>
          <w:rStyle w:val="normaltextrun"/>
          <w:rFonts w:ascii="Garamond" w:hAnsi="Garamond"/>
          <w:color w:val="000000"/>
          <w:shd w:val="clear" w:color="auto" w:fill="FFFFFF"/>
          <w:lang w:val="en-US"/>
        </w:rPr>
        <w:t>e</w:t>
      </w:r>
      <w:r w:rsidR="00EB4A26" w:rsidRPr="00335B20">
        <w:rPr>
          <w:rStyle w:val="normaltextrun"/>
          <w:rFonts w:ascii="Garamond" w:hAnsi="Garamond"/>
          <w:color w:val="000000"/>
          <w:shd w:val="clear" w:color="auto" w:fill="FFFFFF"/>
          <w:lang w:val="en-US"/>
        </w:rPr>
        <w:t>x, religion or race, must not play a role in the determination of the choices one has in society’.</w:t>
      </w:r>
      <w:r w:rsidR="005958B0" w:rsidRPr="00335B20">
        <w:rPr>
          <w:rStyle w:val="normaltextrun"/>
          <w:rFonts w:ascii="Garamond" w:hAnsi="Garamond"/>
          <w:color w:val="000000"/>
          <w:shd w:val="clear" w:color="auto" w:fill="FFFFFF"/>
          <w:lang w:val="en-US"/>
        </w:rPr>
        <w:t xml:space="preserve"> The third is ‘General Approval’. A Liberal society is one which ‘consist</w:t>
      </w:r>
      <w:r w:rsidR="00C1698D">
        <w:rPr>
          <w:rStyle w:val="normaltextrun"/>
          <w:rFonts w:ascii="Garamond" w:hAnsi="Garamond"/>
          <w:color w:val="000000"/>
          <w:shd w:val="clear" w:color="auto" w:fill="FFFFFF"/>
          <w:lang w:val="en-US"/>
        </w:rPr>
        <w:t>s</w:t>
      </w:r>
      <w:r w:rsidR="005958B0" w:rsidRPr="00335B20">
        <w:rPr>
          <w:rStyle w:val="normaltextrun"/>
          <w:rFonts w:ascii="Garamond" w:hAnsi="Garamond"/>
          <w:color w:val="000000"/>
          <w:shd w:val="clear" w:color="auto" w:fill="FFFFFF"/>
          <w:lang w:val="en-US"/>
        </w:rPr>
        <w:t xml:space="preserve"> for the most part of people holding some kind of liberal convictions or beliefs</w:t>
      </w:r>
      <w:r w:rsidR="00F24227" w:rsidRPr="00335B20">
        <w:rPr>
          <w:rStyle w:val="normaltextrun"/>
          <w:rFonts w:ascii="Garamond" w:hAnsi="Garamond"/>
          <w:color w:val="000000"/>
          <w:shd w:val="clear" w:color="auto" w:fill="FFFFFF"/>
          <w:lang w:val="en-US"/>
        </w:rPr>
        <w:t>’ which are transparent to all – there is no privileged insight</w:t>
      </w:r>
      <w:r>
        <w:rPr>
          <w:rStyle w:val="normaltextrun"/>
          <w:rFonts w:ascii="Garamond" w:hAnsi="Garamond"/>
          <w:color w:val="000000"/>
          <w:shd w:val="clear" w:color="auto" w:fill="FFFFFF"/>
          <w:lang w:val="en-US"/>
        </w:rPr>
        <w:t xml:space="preserve"> for a particular group or individual</w:t>
      </w:r>
      <w:r w:rsidR="00AF6BAC" w:rsidRPr="00335B20">
        <w:rPr>
          <w:rStyle w:val="normaltextrun"/>
          <w:rFonts w:ascii="Garamond" w:hAnsi="Garamond"/>
          <w:color w:val="000000"/>
          <w:shd w:val="clear" w:color="auto" w:fill="FFFFFF"/>
          <w:lang w:val="en-US"/>
        </w:rPr>
        <w:t xml:space="preserve">. This </w:t>
      </w:r>
      <w:r w:rsidR="009F3F37" w:rsidRPr="00335B20">
        <w:rPr>
          <w:rStyle w:val="normaltextrun"/>
          <w:rFonts w:ascii="Garamond" w:hAnsi="Garamond"/>
          <w:color w:val="000000"/>
          <w:shd w:val="clear" w:color="auto" w:fill="FFFFFF"/>
          <w:lang w:val="en-US"/>
        </w:rPr>
        <w:t>can be connected with a lat</w:t>
      </w:r>
      <w:r>
        <w:rPr>
          <w:rStyle w:val="normaltextrun"/>
          <w:rFonts w:ascii="Garamond" w:hAnsi="Garamond"/>
          <w:color w:val="000000"/>
          <w:shd w:val="clear" w:color="auto" w:fill="FFFFFF"/>
          <w:lang w:val="en-US"/>
        </w:rPr>
        <w:t>e</w:t>
      </w:r>
      <w:r w:rsidR="009F3F37" w:rsidRPr="00335B20">
        <w:rPr>
          <w:rStyle w:val="normaltextrun"/>
          <w:rFonts w:ascii="Garamond" w:hAnsi="Garamond"/>
          <w:color w:val="000000"/>
          <w:shd w:val="clear" w:color="auto" w:fill="FFFFFF"/>
          <w:lang w:val="en-US"/>
        </w:rPr>
        <w:t>r variant of similar impulses in Jurgen Hab</w:t>
      </w:r>
      <w:r>
        <w:rPr>
          <w:rStyle w:val="normaltextrun"/>
          <w:rFonts w:ascii="Garamond" w:hAnsi="Garamond"/>
          <w:color w:val="000000"/>
          <w:shd w:val="clear" w:color="auto" w:fill="FFFFFF"/>
          <w:lang w:val="en-US"/>
        </w:rPr>
        <w:t>e</w:t>
      </w:r>
      <w:r w:rsidR="009F3F37" w:rsidRPr="00335B20">
        <w:rPr>
          <w:rStyle w:val="normaltextrun"/>
          <w:rFonts w:ascii="Garamond" w:hAnsi="Garamond"/>
          <w:color w:val="000000"/>
          <w:shd w:val="clear" w:color="auto" w:fill="FFFFFF"/>
          <w:lang w:val="en-US"/>
        </w:rPr>
        <w:t>rmas</w:t>
      </w:r>
      <w:r w:rsidR="00FC29F4" w:rsidRPr="00335B20">
        <w:rPr>
          <w:rStyle w:val="normaltextrun"/>
          <w:rFonts w:ascii="Garamond" w:hAnsi="Garamond"/>
          <w:color w:val="000000"/>
          <w:shd w:val="clear" w:color="auto" w:fill="FFFFFF"/>
          <w:lang w:val="en-US"/>
        </w:rPr>
        <w:t>, whose ‘constitutional patriotism’ ‘postulates that each and everyone can establish a</w:t>
      </w:r>
      <w:r w:rsidR="00C1698D">
        <w:rPr>
          <w:rStyle w:val="normaltextrun"/>
          <w:rFonts w:ascii="Garamond" w:hAnsi="Garamond"/>
          <w:color w:val="000000"/>
          <w:shd w:val="clear" w:color="auto" w:fill="FFFFFF"/>
          <w:lang w:val="en-US"/>
        </w:rPr>
        <w:t xml:space="preserve"> </w:t>
      </w:r>
      <w:r w:rsidR="00FC29F4" w:rsidRPr="00335B20">
        <w:rPr>
          <w:rStyle w:val="normaltextrun"/>
          <w:rFonts w:ascii="Garamond" w:hAnsi="Garamond"/>
          <w:color w:val="000000"/>
          <w:shd w:val="clear" w:color="auto" w:fill="FFFFFF"/>
          <w:lang w:val="en-US"/>
        </w:rPr>
        <w:t>bond</w:t>
      </w:r>
      <w:r w:rsidR="004543D1">
        <w:rPr>
          <w:rStyle w:val="normaltextrun"/>
          <w:rFonts w:ascii="Garamond" w:hAnsi="Garamond"/>
          <w:color w:val="000000"/>
          <w:shd w:val="clear" w:color="auto" w:fill="FFFFFF"/>
          <w:lang w:val="en-US"/>
        </w:rPr>
        <w:t>’</w:t>
      </w:r>
      <w:r w:rsidR="00FC29F4" w:rsidRPr="00335B20">
        <w:rPr>
          <w:rStyle w:val="normaltextrun"/>
          <w:rFonts w:ascii="Garamond" w:hAnsi="Garamond"/>
          <w:color w:val="000000"/>
          <w:shd w:val="clear" w:color="auto" w:fill="FFFFFF"/>
          <w:lang w:val="en-US"/>
        </w:rPr>
        <w:t xml:space="preserve"> to </w:t>
      </w:r>
      <w:r w:rsidR="004543D1">
        <w:rPr>
          <w:rStyle w:val="normaltextrun"/>
          <w:rFonts w:ascii="Garamond" w:hAnsi="Garamond"/>
          <w:color w:val="000000"/>
          <w:shd w:val="clear" w:color="auto" w:fill="FFFFFF"/>
          <w:lang w:val="en-US"/>
        </w:rPr>
        <w:t>‘</w:t>
      </w:r>
      <w:r w:rsidR="00FC29F4" w:rsidRPr="00335B20">
        <w:rPr>
          <w:rStyle w:val="normaltextrun"/>
          <w:rFonts w:ascii="Garamond" w:hAnsi="Garamond"/>
          <w:color w:val="000000"/>
          <w:shd w:val="clear" w:color="auto" w:fill="FFFFFF"/>
          <w:lang w:val="en-US"/>
        </w:rPr>
        <w:t>reasonably justified constitutional features’</w:t>
      </w:r>
      <w:r>
        <w:rPr>
          <w:rStyle w:val="normaltextrun"/>
          <w:rFonts w:ascii="Garamond" w:hAnsi="Garamond"/>
          <w:color w:val="000000"/>
          <w:shd w:val="clear" w:color="auto" w:fill="FFFFFF"/>
          <w:lang w:val="en-US"/>
        </w:rPr>
        <w:t>.</w:t>
      </w:r>
      <w:r w:rsidR="004543D1">
        <w:rPr>
          <w:rStyle w:val="FootnoteReference"/>
          <w:rFonts w:ascii="Garamond" w:hAnsi="Garamond"/>
          <w:color w:val="000000"/>
          <w:shd w:val="clear" w:color="auto" w:fill="FFFFFF"/>
          <w:lang w:val="en-US"/>
        </w:rPr>
        <w:footnoteReference w:id="17"/>
      </w:r>
      <w:r>
        <w:rPr>
          <w:rStyle w:val="normaltextrun"/>
          <w:rFonts w:ascii="Garamond" w:hAnsi="Garamond"/>
          <w:color w:val="000000"/>
          <w:shd w:val="clear" w:color="auto" w:fill="FFFFFF"/>
          <w:lang w:val="en-US"/>
        </w:rPr>
        <w:t xml:space="preserve"> </w:t>
      </w:r>
    </w:p>
    <w:p w14:paraId="0C55FFA4" w14:textId="77777777" w:rsidR="00380808" w:rsidRPr="00335B20" w:rsidRDefault="00380808" w:rsidP="00335B20">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p>
    <w:p w14:paraId="2925D10B" w14:textId="6DE639E3" w:rsidR="00F96C2C" w:rsidRPr="00335B20" w:rsidRDefault="004543D1" w:rsidP="00335B20">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r>
        <w:rPr>
          <w:rStyle w:val="normaltextrun"/>
          <w:rFonts w:ascii="Garamond" w:hAnsi="Garamond"/>
          <w:color w:val="000000"/>
          <w:shd w:val="clear" w:color="auto" w:fill="FFFFFF"/>
          <w:lang w:val="en-US"/>
        </w:rPr>
        <w:t>M</w:t>
      </w:r>
      <w:r w:rsidR="005D59B7" w:rsidRPr="00335B20">
        <w:rPr>
          <w:rStyle w:val="normaltextrun"/>
          <w:rFonts w:ascii="Garamond" w:hAnsi="Garamond"/>
          <w:color w:val="000000"/>
          <w:shd w:val="clear" w:color="auto" w:fill="FFFFFF"/>
          <w:lang w:val="en-US"/>
        </w:rPr>
        <w:t>ost discussions of the British monarchy</w:t>
      </w:r>
      <w:r>
        <w:rPr>
          <w:rStyle w:val="normaltextrun"/>
          <w:rFonts w:ascii="Garamond" w:hAnsi="Garamond"/>
          <w:color w:val="000000"/>
          <w:shd w:val="clear" w:color="auto" w:fill="FFFFFF"/>
          <w:lang w:val="en-US"/>
        </w:rPr>
        <w:t>, at least</w:t>
      </w:r>
      <w:r w:rsidR="005D59B7" w:rsidRPr="00335B20">
        <w:rPr>
          <w:rStyle w:val="normaltextrun"/>
          <w:rFonts w:ascii="Garamond" w:hAnsi="Garamond"/>
          <w:color w:val="000000"/>
          <w:shd w:val="clear" w:color="auto" w:fill="FFFFFF"/>
          <w:lang w:val="en-US"/>
        </w:rPr>
        <w:t xml:space="preserve"> in the </w:t>
      </w:r>
      <w:r w:rsidR="000D6A68" w:rsidRPr="00335B20">
        <w:rPr>
          <w:rStyle w:val="normaltextrun"/>
          <w:rFonts w:ascii="Garamond" w:hAnsi="Garamond"/>
          <w:color w:val="000000"/>
          <w:shd w:val="clear" w:color="auto" w:fill="FFFFFF"/>
          <w:lang w:val="en-US"/>
        </w:rPr>
        <w:t>mainstream of political comment</w:t>
      </w:r>
      <w:r>
        <w:rPr>
          <w:rStyle w:val="normaltextrun"/>
          <w:rFonts w:ascii="Garamond" w:hAnsi="Garamond"/>
          <w:color w:val="000000"/>
          <w:shd w:val="clear" w:color="auto" w:fill="FFFFFF"/>
          <w:lang w:val="en-US"/>
        </w:rPr>
        <w:t xml:space="preserve">, </w:t>
      </w:r>
      <w:r w:rsidR="00380808">
        <w:rPr>
          <w:rStyle w:val="normaltextrun"/>
          <w:rFonts w:ascii="Garamond" w:hAnsi="Garamond"/>
          <w:color w:val="000000"/>
          <w:shd w:val="clear" w:color="auto" w:fill="FFFFFF"/>
          <w:lang w:val="en-US"/>
        </w:rPr>
        <w:t>seek t</w:t>
      </w:r>
      <w:r w:rsidR="004F475C" w:rsidRPr="00335B20">
        <w:rPr>
          <w:rStyle w:val="normaltextrun"/>
          <w:rFonts w:ascii="Garamond" w:hAnsi="Garamond"/>
          <w:color w:val="000000"/>
          <w:shd w:val="clear" w:color="auto" w:fill="FFFFFF"/>
          <w:lang w:val="en-US"/>
        </w:rPr>
        <w:t xml:space="preserve">o </w:t>
      </w:r>
      <w:r w:rsidR="00380808">
        <w:rPr>
          <w:rStyle w:val="normaltextrun"/>
          <w:rFonts w:ascii="Garamond" w:hAnsi="Garamond"/>
          <w:color w:val="000000"/>
          <w:shd w:val="clear" w:color="auto" w:fill="FFFFFF"/>
          <w:lang w:val="en-US"/>
        </w:rPr>
        <w:t xml:space="preserve">ensure </w:t>
      </w:r>
      <w:r w:rsidR="004F475C" w:rsidRPr="00335B20">
        <w:rPr>
          <w:rStyle w:val="normaltextrun"/>
          <w:rFonts w:ascii="Garamond" w:hAnsi="Garamond"/>
          <w:color w:val="000000"/>
          <w:shd w:val="clear" w:color="auto" w:fill="FFFFFF"/>
          <w:lang w:val="en-US"/>
        </w:rPr>
        <w:t xml:space="preserve">the </w:t>
      </w:r>
      <w:r w:rsidR="00380808">
        <w:rPr>
          <w:rStyle w:val="normaltextrun"/>
          <w:rFonts w:ascii="Garamond" w:hAnsi="Garamond"/>
          <w:color w:val="000000"/>
          <w:shd w:val="clear" w:color="auto" w:fill="FFFFFF"/>
          <w:lang w:val="en-US"/>
        </w:rPr>
        <w:t>M</w:t>
      </w:r>
      <w:r w:rsidR="004F475C" w:rsidRPr="00335B20">
        <w:rPr>
          <w:rStyle w:val="normaltextrun"/>
          <w:rFonts w:ascii="Garamond" w:hAnsi="Garamond"/>
          <w:color w:val="000000"/>
          <w:shd w:val="clear" w:color="auto" w:fill="FFFFFF"/>
          <w:lang w:val="en-US"/>
        </w:rPr>
        <w:t>onarchy pass</w:t>
      </w:r>
      <w:r w:rsidR="00380808">
        <w:rPr>
          <w:rStyle w:val="normaltextrun"/>
          <w:rFonts w:ascii="Garamond" w:hAnsi="Garamond"/>
          <w:color w:val="000000"/>
          <w:shd w:val="clear" w:color="auto" w:fill="FFFFFF"/>
          <w:lang w:val="en-US"/>
        </w:rPr>
        <w:t xml:space="preserve">es </w:t>
      </w:r>
      <w:r w:rsidR="004F475C" w:rsidRPr="00335B20">
        <w:rPr>
          <w:rStyle w:val="normaltextrun"/>
          <w:rFonts w:ascii="Garamond" w:hAnsi="Garamond"/>
          <w:color w:val="000000"/>
          <w:shd w:val="clear" w:color="auto" w:fill="FFFFFF"/>
          <w:lang w:val="en-US"/>
        </w:rPr>
        <w:t xml:space="preserve">the bar of </w:t>
      </w:r>
      <w:r w:rsidR="00380808">
        <w:rPr>
          <w:rStyle w:val="normaltextrun"/>
          <w:rFonts w:ascii="Garamond" w:hAnsi="Garamond"/>
          <w:color w:val="000000"/>
          <w:shd w:val="clear" w:color="auto" w:fill="FFFFFF"/>
          <w:lang w:val="en-US"/>
        </w:rPr>
        <w:t xml:space="preserve">such Liberal slogans. </w:t>
      </w:r>
      <w:r w:rsidR="004F475C" w:rsidRPr="00335B20">
        <w:rPr>
          <w:rStyle w:val="normaltextrun"/>
          <w:rFonts w:ascii="Garamond" w:hAnsi="Garamond"/>
          <w:color w:val="000000"/>
          <w:shd w:val="clear" w:color="auto" w:fill="FFFFFF"/>
          <w:lang w:val="en-US"/>
        </w:rPr>
        <w:t xml:space="preserve">Let us take ‘reasonable justification’ </w:t>
      </w:r>
      <w:r w:rsidR="002B1AFA" w:rsidRPr="00335B20">
        <w:rPr>
          <w:rStyle w:val="normaltextrun"/>
          <w:rFonts w:ascii="Garamond" w:hAnsi="Garamond"/>
          <w:color w:val="000000"/>
          <w:shd w:val="clear" w:color="auto" w:fill="FFFFFF"/>
          <w:lang w:val="en-US"/>
        </w:rPr>
        <w:t>–</w:t>
      </w:r>
      <w:r w:rsidR="004F475C" w:rsidRPr="00335B20">
        <w:rPr>
          <w:rStyle w:val="normaltextrun"/>
          <w:rFonts w:ascii="Garamond" w:hAnsi="Garamond"/>
          <w:color w:val="000000"/>
          <w:shd w:val="clear" w:color="auto" w:fill="FFFFFF"/>
          <w:lang w:val="en-US"/>
        </w:rPr>
        <w:t xml:space="preserve"> </w:t>
      </w:r>
      <w:r w:rsidR="002B1AFA" w:rsidRPr="00335B20">
        <w:rPr>
          <w:rStyle w:val="normaltextrun"/>
          <w:rFonts w:ascii="Garamond" w:hAnsi="Garamond"/>
          <w:color w:val="000000"/>
          <w:shd w:val="clear" w:color="auto" w:fill="FFFFFF"/>
          <w:lang w:val="en-US"/>
        </w:rPr>
        <w:t>here, people can and do respond by saying that the monarch has a largely ‘representative’ or ‘symbolic’ function</w:t>
      </w:r>
      <w:r w:rsidR="00696542" w:rsidRPr="00335B20">
        <w:rPr>
          <w:rStyle w:val="normaltextrun"/>
          <w:rFonts w:ascii="Garamond" w:hAnsi="Garamond"/>
          <w:color w:val="000000"/>
          <w:shd w:val="clear" w:color="auto" w:fill="FFFFFF"/>
          <w:lang w:val="en-US"/>
        </w:rPr>
        <w:t xml:space="preserve">, and only ‘real power’ has to be subjected to reasonable justification. </w:t>
      </w:r>
      <w:r w:rsidR="0014738A" w:rsidRPr="00335B20">
        <w:rPr>
          <w:rStyle w:val="normaltextrun"/>
          <w:rFonts w:ascii="Garamond" w:hAnsi="Garamond"/>
          <w:color w:val="000000"/>
          <w:shd w:val="clear" w:color="auto" w:fill="FFFFFF"/>
          <w:lang w:val="en-US"/>
        </w:rPr>
        <w:t xml:space="preserve">Or, and </w:t>
      </w:r>
      <w:r w:rsidR="0014738A" w:rsidRPr="00335B20">
        <w:rPr>
          <w:rStyle w:val="normaltextrun"/>
          <w:rFonts w:ascii="Garamond" w:hAnsi="Garamond"/>
          <w:color w:val="000000"/>
          <w:shd w:val="clear" w:color="auto" w:fill="FFFFFF"/>
          <w:lang w:val="en-US"/>
        </w:rPr>
        <w:lastRenderedPageBreak/>
        <w:t>this was very common after Queen</w:t>
      </w:r>
      <w:r w:rsidR="00BD68A7">
        <w:rPr>
          <w:rStyle w:val="normaltextrun"/>
          <w:rFonts w:ascii="Garamond" w:hAnsi="Garamond"/>
          <w:color w:val="000000"/>
          <w:shd w:val="clear" w:color="auto" w:fill="FFFFFF"/>
          <w:lang w:val="en-US"/>
        </w:rPr>
        <w:t xml:space="preserve"> Elizabeth’s</w:t>
      </w:r>
      <w:r w:rsidR="0014738A" w:rsidRPr="00335B20">
        <w:rPr>
          <w:rStyle w:val="normaltextrun"/>
          <w:rFonts w:ascii="Garamond" w:hAnsi="Garamond"/>
          <w:color w:val="000000"/>
          <w:shd w:val="clear" w:color="auto" w:fill="FFFFFF"/>
          <w:lang w:val="en-US"/>
        </w:rPr>
        <w:t xml:space="preserve"> death, they argue that a</w:t>
      </w:r>
      <w:r w:rsidR="00BD68A7">
        <w:rPr>
          <w:rStyle w:val="normaltextrun"/>
          <w:rFonts w:ascii="Garamond" w:hAnsi="Garamond"/>
          <w:color w:val="000000"/>
          <w:shd w:val="clear" w:color="auto" w:fill="FFFFFF"/>
          <w:lang w:val="en-US"/>
        </w:rPr>
        <w:t>n exceptional</w:t>
      </w:r>
      <w:r w:rsidR="0014738A" w:rsidRPr="00335B20">
        <w:rPr>
          <w:rStyle w:val="normaltextrun"/>
          <w:rFonts w:ascii="Garamond" w:hAnsi="Garamond"/>
          <w:color w:val="000000"/>
          <w:shd w:val="clear" w:color="auto" w:fill="FFFFFF"/>
          <w:lang w:val="en-US"/>
        </w:rPr>
        <w:t xml:space="preserve"> </w:t>
      </w:r>
      <w:r w:rsidR="00380808" w:rsidRPr="00335B20">
        <w:rPr>
          <w:rStyle w:val="normaltextrun"/>
          <w:rFonts w:ascii="Garamond" w:hAnsi="Garamond"/>
          <w:color w:val="000000"/>
          <w:shd w:val="clear" w:color="auto" w:fill="FFFFFF"/>
          <w:lang w:val="en-US"/>
        </w:rPr>
        <w:t>intensification</w:t>
      </w:r>
      <w:r w:rsidR="0014738A" w:rsidRPr="00335B20">
        <w:rPr>
          <w:rStyle w:val="normaltextrun"/>
          <w:rFonts w:ascii="Garamond" w:hAnsi="Garamond"/>
          <w:color w:val="000000"/>
          <w:shd w:val="clear" w:color="auto" w:fill="FFFFFF"/>
          <w:lang w:val="en-US"/>
        </w:rPr>
        <w:t xml:space="preserve"> </w:t>
      </w:r>
      <w:r w:rsidR="001C1F69">
        <w:rPr>
          <w:rStyle w:val="normaltextrun"/>
          <w:rFonts w:ascii="Garamond" w:hAnsi="Garamond"/>
          <w:color w:val="000000"/>
          <w:shd w:val="clear" w:color="auto" w:fill="FFFFFF"/>
          <w:lang w:val="en-US"/>
        </w:rPr>
        <w:t xml:space="preserve">of </w:t>
      </w:r>
      <w:r w:rsidR="0014738A" w:rsidRPr="00380808">
        <w:rPr>
          <w:rStyle w:val="normaltextrun"/>
          <w:rFonts w:ascii="Garamond" w:hAnsi="Garamond"/>
          <w:i/>
          <w:color w:val="000000"/>
          <w:shd w:val="clear" w:color="auto" w:fill="FFFFFF"/>
          <w:lang w:val="en-US"/>
        </w:rPr>
        <w:t>noble</w:t>
      </w:r>
      <w:r w:rsidR="00380808" w:rsidRPr="00380808">
        <w:rPr>
          <w:rStyle w:val="normaltextrun"/>
          <w:rFonts w:ascii="Garamond" w:hAnsi="Garamond"/>
          <w:i/>
          <w:color w:val="000000"/>
          <w:shd w:val="clear" w:color="auto" w:fill="FFFFFF"/>
          <w:lang w:val="en-US"/>
        </w:rPr>
        <w:t>s</w:t>
      </w:r>
      <w:r w:rsidR="0014738A" w:rsidRPr="00380808">
        <w:rPr>
          <w:rStyle w:val="normaltextrun"/>
          <w:rFonts w:ascii="Garamond" w:hAnsi="Garamond"/>
          <w:i/>
          <w:color w:val="000000"/>
          <w:shd w:val="clear" w:color="auto" w:fill="FFFFFF"/>
          <w:lang w:val="en-US"/>
        </w:rPr>
        <w:t>s</w:t>
      </w:r>
      <w:r w:rsidR="00380808" w:rsidRPr="00380808">
        <w:rPr>
          <w:rStyle w:val="normaltextrun"/>
          <w:rFonts w:ascii="Garamond" w:hAnsi="Garamond"/>
          <w:i/>
          <w:color w:val="000000"/>
          <w:shd w:val="clear" w:color="auto" w:fill="FFFFFF"/>
          <w:lang w:val="en-US"/>
        </w:rPr>
        <w:t>e</w:t>
      </w:r>
      <w:r w:rsidR="0014738A" w:rsidRPr="00380808">
        <w:rPr>
          <w:rStyle w:val="normaltextrun"/>
          <w:rFonts w:ascii="Garamond" w:hAnsi="Garamond"/>
          <w:i/>
          <w:color w:val="000000"/>
          <w:shd w:val="clear" w:color="auto" w:fill="FFFFFF"/>
          <w:lang w:val="en-US"/>
        </w:rPr>
        <w:t xml:space="preserve"> oblige</w:t>
      </w:r>
      <w:r w:rsidR="0014738A" w:rsidRPr="00335B20">
        <w:rPr>
          <w:rStyle w:val="normaltextrun"/>
          <w:rFonts w:ascii="Garamond" w:hAnsi="Garamond"/>
          <w:color w:val="000000"/>
          <w:shd w:val="clear" w:color="auto" w:fill="FFFFFF"/>
          <w:lang w:val="en-US"/>
        </w:rPr>
        <w:t xml:space="preserve"> applies to the monarch</w:t>
      </w:r>
      <w:r w:rsidR="00BD68A7">
        <w:rPr>
          <w:rStyle w:val="normaltextrun"/>
          <w:rFonts w:ascii="Garamond" w:hAnsi="Garamond"/>
          <w:color w:val="000000"/>
          <w:shd w:val="clear" w:color="auto" w:fill="FFFFFF"/>
          <w:lang w:val="en-US"/>
        </w:rPr>
        <w:t>. F</w:t>
      </w:r>
      <w:r w:rsidR="002E0ED2" w:rsidRPr="00335B20">
        <w:rPr>
          <w:rStyle w:val="normaltextrun"/>
          <w:rFonts w:ascii="Garamond" w:hAnsi="Garamond"/>
          <w:color w:val="000000"/>
          <w:shd w:val="clear" w:color="auto" w:fill="FFFFFF"/>
          <w:lang w:val="en-US"/>
        </w:rPr>
        <w:t>or, in answer to ‘the idea of equality’</w:t>
      </w:r>
      <w:r w:rsidR="00FB0FD1">
        <w:rPr>
          <w:rStyle w:val="normaltextrun"/>
          <w:rFonts w:ascii="Garamond" w:hAnsi="Garamond"/>
          <w:color w:val="000000"/>
          <w:shd w:val="clear" w:color="auto" w:fill="FFFFFF"/>
          <w:lang w:val="en-US"/>
        </w:rPr>
        <w:t xml:space="preserve">, people claim that </w:t>
      </w:r>
      <w:r w:rsidR="002E0ED2" w:rsidRPr="00335B20">
        <w:rPr>
          <w:rStyle w:val="normaltextrun"/>
          <w:rFonts w:ascii="Garamond" w:hAnsi="Garamond"/>
          <w:color w:val="000000"/>
          <w:shd w:val="clear" w:color="auto" w:fill="FFFFFF"/>
          <w:lang w:val="en-US"/>
        </w:rPr>
        <w:t xml:space="preserve">‘monarchs nowadays…have fewer rights than other people’, </w:t>
      </w:r>
      <w:r w:rsidR="00FB0FD1">
        <w:rPr>
          <w:rStyle w:val="normaltextrun"/>
          <w:rFonts w:ascii="Garamond" w:hAnsi="Garamond"/>
          <w:color w:val="000000"/>
          <w:shd w:val="clear" w:color="auto" w:fill="FFFFFF"/>
          <w:lang w:val="en-US"/>
        </w:rPr>
        <w:t xml:space="preserve">and indeed </w:t>
      </w:r>
      <w:r w:rsidR="002E0ED2" w:rsidRPr="00335B20">
        <w:rPr>
          <w:rStyle w:val="normaltextrun"/>
          <w:rFonts w:ascii="Garamond" w:hAnsi="Garamond"/>
          <w:color w:val="000000"/>
          <w:shd w:val="clear" w:color="auto" w:fill="FFFFFF"/>
          <w:lang w:val="en-US"/>
        </w:rPr>
        <w:t>‘destiny is imposed on them by the public</w:t>
      </w:r>
      <w:r w:rsidR="008962AE" w:rsidRPr="00335B20">
        <w:rPr>
          <w:rStyle w:val="normaltextrun"/>
          <w:rFonts w:ascii="Garamond" w:hAnsi="Garamond"/>
          <w:color w:val="000000"/>
          <w:shd w:val="clear" w:color="auto" w:fill="FFFFFF"/>
          <w:lang w:val="en-US"/>
        </w:rPr>
        <w:t xml:space="preserve"> with little means to reject the public</w:t>
      </w:r>
      <w:r w:rsidR="006B6532">
        <w:rPr>
          <w:rStyle w:val="normaltextrun"/>
          <w:rFonts w:ascii="Garamond" w:hAnsi="Garamond"/>
          <w:color w:val="000000"/>
          <w:shd w:val="clear" w:color="auto" w:fill="FFFFFF"/>
          <w:lang w:val="en-US"/>
        </w:rPr>
        <w:t>’s</w:t>
      </w:r>
      <w:r w:rsidR="008962AE" w:rsidRPr="00335B20">
        <w:rPr>
          <w:rStyle w:val="normaltextrun"/>
          <w:rFonts w:ascii="Garamond" w:hAnsi="Garamond"/>
          <w:color w:val="000000"/>
          <w:shd w:val="clear" w:color="auto" w:fill="FFFFFF"/>
          <w:lang w:val="en-US"/>
        </w:rPr>
        <w:t xml:space="preserve"> demands’</w:t>
      </w:r>
      <w:r w:rsidR="00FB0FD1">
        <w:rPr>
          <w:rStyle w:val="normaltextrun"/>
          <w:rFonts w:ascii="Garamond" w:hAnsi="Garamond"/>
          <w:color w:val="000000"/>
          <w:shd w:val="clear" w:color="auto" w:fill="FFFFFF"/>
          <w:lang w:val="en-US"/>
        </w:rPr>
        <w:t>.</w:t>
      </w:r>
      <w:r w:rsidR="00FB0FD1">
        <w:rPr>
          <w:rStyle w:val="FootnoteReference"/>
          <w:rFonts w:ascii="Garamond" w:hAnsi="Garamond"/>
          <w:color w:val="000000"/>
          <w:shd w:val="clear" w:color="auto" w:fill="FFFFFF"/>
          <w:lang w:val="en-US"/>
        </w:rPr>
        <w:footnoteReference w:id="18"/>
      </w:r>
    </w:p>
    <w:p w14:paraId="3A443939" w14:textId="77777777" w:rsidR="00F96C2C" w:rsidRPr="00335B20" w:rsidRDefault="00F96C2C" w:rsidP="00335B20">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p>
    <w:p w14:paraId="0981ECDA" w14:textId="5E2537B0" w:rsidR="00F06FB5" w:rsidRPr="00335B20" w:rsidRDefault="00F96C2C" w:rsidP="00335B20">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r w:rsidRPr="00335B20">
        <w:rPr>
          <w:rStyle w:val="normaltextrun"/>
          <w:rFonts w:ascii="Garamond" w:hAnsi="Garamond"/>
          <w:color w:val="000000"/>
          <w:shd w:val="clear" w:color="auto" w:fill="FFFFFF"/>
          <w:lang w:val="en-US"/>
        </w:rPr>
        <w:t>However, von D</w:t>
      </w:r>
      <w:r w:rsidR="001C1F69">
        <w:rPr>
          <w:rStyle w:val="normaltextrun"/>
          <w:rFonts w:ascii="Garamond" w:hAnsi="Garamond"/>
          <w:color w:val="000000"/>
          <w:shd w:val="clear" w:color="auto" w:fill="FFFFFF"/>
          <w:lang w:val="en-US"/>
        </w:rPr>
        <w:t>aniels</w:t>
      </w:r>
      <w:r w:rsidRPr="00335B20">
        <w:rPr>
          <w:rStyle w:val="normaltextrun"/>
          <w:rFonts w:ascii="Garamond" w:hAnsi="Garamond"/>
          <w:color w:val="000000"/>
          <w:shd w:val="clear" w:color="auto" w:fill="FFFFFF"/>
          <w:lang w:val="en-US"/>
        </w:rPr>
        <w:t xml:space="preserve"> </w:t>
      </w:r>
      <w:r w:rsidR="0013230B">
        <w:rPr>
          <w:rStyle w:val="normaltextrun"/>
          <w:rFonts w:ascii="Garamond" w:hAnsi="Garamond"/>
          <w:color w:val="000000"/>
          <w:shd w:val="clear" w:color="auto" w:fill="FFFFFF"/>
          <w:lang w:val="en-US"/>
        </w:rPr>
        <w:t xml:space="preserve">maintains </w:t>
      </w:r>
      <w:r w:rsidRPr="00335B20">
        <w:rPr>
          <w:rStyle w:val="normaltextrun"/>
          <w:rFonts w:ascii="Garamond" w:hAnsi="Garamond"/>
          <w:color w:val="000000"/>
          <w:shd w:val="clear" w:color="auto" w:fill="FFFFFF"/>
          <w:lang w:val="en-US"/>
        </w:rPr>
        <w:t xml:space="preserve">that these counter-arguments are not successful in </w:t>
      </w:r>
      <w:r w:rsidR="00AE54D3" w:rsidRPr="00335B20">
        <w:rPr>
          <w:rStyle w:val="normaltextrun"/>
          <w:rFonts w:ascii="Garamond" w:hAnsi="Garamond"/>
          <w:color w:val="000000"/>
          <w:shd w:val="clear" w:color="auto" w:fill="FFFFFF"/>
          <w:lang w:val="en-US"/>
        </w:rPr>
        <w:t>fitting ‘monarchy as a form of state’ into ‘liberalism’s framework’.</w:t>
      </w:r>
      <w:r w:rsidR="00A340DA" w:rsidRPr="00335B20">
        <w:rPr>
          <w:rStyle w:val="normaltextrun"/>
          <w:rFonts w:ascii="Garamond" w:hAnsi="Garamond"/>
          <w:color w:val="000000"/>
          <w:shd w:val="clear" w:color="auto" w:fill="FFFFFF"/>
          <w:lang w:val="en-US"/>
        </w:rPr>
        <w:t xml:space="preserve"> One could say the British monarch does have ‘real power’ – </w:t>
      </w:r>
      <w:r w:rsidR="001C1F69" w:rsidRPr="00335B20">
        <w:rPr>
          <w:rStyle w:val="normaltextrun"/>
          <w:rFonts w:ascii="Garamond" w:hAnsi="Garamond"/>
          <w:color w:val="000000"/>
          <w:shd w:val="clear" w:color="auto" w:fill="FFFFFF"/>
          <w:lang w:val="en-US"/>
        </w:rPr>
        <w:t>insofar</w:t>
      </w:r>
      <w:r w:rsidR="00A340DA" w:rsidRPr="00335B20">
        <w:rPr>
          <w:rStyle w:val="normaltextrun"/>
          <w:rFonts w:ascii="Garamond" w:hAnsi="Garamond"/>
          <w:color w:val="000000"/>
          <w:shd w:val="clear" w:color="auto" w:fill="FFFFFF"/>
          <w:lang w:val="en-US"/>
        </w:rPr>
        <w:t xml:space="preserve"> as he</w:t>
      </w:r>
      <w:r w:rsidR="00A4421D">
        <w:rPr>
          <w:rStyle w:val="normaltextrun"/>
          <w:rFonts w:ascii="Garamond" w:hAnsi="Garamond"/>
          <w:color w:val="000000"/>
          <w:shd w:val="clear" w:color="auto" w:fill="FFFFFF"/>
          <w:lang w:val="en-US"/>
        </w:rPr>
        <w:t xml:space="preserve"> or she</w:t>
      </w:r>
      <w:r w:rsidR="00A340DA" w:rsidRPr="00335B20">
        <w:rPr>
          <w:rStyle w:val="normaltextrun"/>
          <w:rFonts w:ascii="Garamond" w:hAnsi="Garamond"/>
          <w:color w:val="000000"/>
          <w:shd w:val="clear" w:color="auto" w:fill="FFFFFF"/>
          <w:lang w:val="en-US"/>
        </w:rPr>
        <w:t xml:space="preserve"> has a</w:t>
      </w:r>
      <w:r w:rsidR="001C1F69">
        <w:rPr>
          <w:rStyle w:val="normaltextrun"/>
          <w:rFonts w:ascii="Garamond" w:hAnsi="Garamond"/>
          <w:color w:val="000000"/>
          <w:shd w:val="clear" w:color="auto" w:fill="FFFFFF"/>
          <w:lang w:val="en-US"/>
        </w:rPr>
        <w:t xml:space="preserve"> </w:t>
      </w:r>
      <w:r w:rsidR="00A340DA" w:rsidRPr="00335B20">
        <w:rPr>
          <w:rStyle w:val="normaltextrun"/>
          <w:rFonts w:ascii="Garamond" w:hAnsi="Garamond"/>
          <w:color w:val="000000"/>
          <w:shd w:val="clear" w:color="auto" w:fill="FFFFFF"/>
          <w:lang w:val="en-US"/>
        </w:rPr>
        <w:t xml:space="preserve">level of access that none others </w:t>
      </w:r>
      <w:r w:rsidR="00520A54" w:rsidRPr="00335B20">
        <w:rPr>
          <w:rStyle w:val="normaltextrun"/>
          <w:rFonts w:ascii="Garamond" w:hAnsi="Garamond"/>
          <w:color w:val="000000"/>
          <w:shd w:val="clear" w:color="auto" w:fill="FFFFFF"/>
          <w:lang w:val="en-US"/>
        </w:rPr>
        <w:t xml:space="preserve">can </w:t>
      </w:r>
      <w:r w:rsidR="001C1F69">
        <w:rPr>
          <w:rStyle w:val="normaltextrun"/>
          <w:rFonts w:ascii="Garamond" w:hAnsi="Garamond"/>
          <w:color w:val="000000"/>
          <w:shd w:val="clear" w:color="auto" w:fill="FFFFFF"/>
          <w:lang w:val="en-US"/>
        </w:rPr>
        <w:t xml:space="preserve">be constitutionally guaranteed to </w:t>
      </w:r>
      <w:r w:rsidR="00520A54" w:rsidRPr="00335B20">
        <w:rPr>
          <w:rStyle w:val="normaltextrun"/>
          <w:rFonts w:ascii="Garamond" w:hAnsi="Garamond"/>
          <w:color w:val="000000"/>
          <w:shd w:val="clear" w:color="auto" w:fill="FFFFFF"/>
          <w:lang w:val="en-US"/>
        </w:rPr>
        <w:t xml:space="preserve">have. </w:t>
      </w:r>
      <w:r w:rsidR="00301606">
        <w:rPr>
          <w:rStyle w:val="normaltextrun"/>
          <w:rFonts w:ascii="Garamond" w:hAnsi="Garamond"/>
          <w:color w:val="000000"/>
          <w:shd w:val="clear" w:color="auto" w:fill="FFFFFF"/>
          <w:lang w:val="en-US"/>
        </w:rPr>
        <w:t xml:space="preserve">Also, while </w:t>
      </w:r>
      <w:r w:rsidR="00520A54" w:rsidRPr="00335B20">
        <w:rPr>
          <w:rStyle w:val="normaltextrun"/>
          <w:rFonts w:ascii="Garamond" w:hAnsi="Garamond"/>
          <w:color w:val="000000"/>
          <w:shd w:val="clear" w:color="auto" w:fill="FFFFFF"/>
          <w:lang w:val="en-US"/>
        </w:rPr>
        <w:t xml:space="preserve">there are </w:t>
      </w:r>
      <w:r w:rsidR="00301606">
        <w:rPr>
          <w:rStyle w:val="normaltextrun"/>
          <w:rFonts w:ascii="Garamond" w:hAnsi="Garamond"/>
          <w:color w:val="000000"/>
          <w:shd w:val="clear" w:color="auto" w:fill="FFFFFF"/>
          <w:lang w:val="en-US"/>
        </w:rPr>
        <w:t xml:space="preserve">certainly </w:t>
      </w:r>
      <w:r w:rsidR="00520A54" w:rsidRPr="00335B20">
        <w:rPr>
          <w:rStyle w:val="normaltextrun"/>
          <w:rFonts w:ascii="Garamond" w:hAnsi="Garamond"/>
          <w:color w:val="000000"/>
          <w:shd w:val="clear" w:color="auto" w:fill="FFFFFF"/>
          <w:lang w:val="en-US"/>
        </w:rPr>
        <w:t xml:space="preserve">contingent practices which mean monarchical office involves </w:t>
      </w:r>
      <w:r w:rsidR="00B01516">
        <w:rPr>
          <w:rStyle w:val="normaltextrun"/>
          <w:rFonts w:ascii="Garamond" w:hAnsi="Garamond"/>
          <w:color w:val="000000"/>
          <w:shd w:val="clear" w:color="auto" w:fill="FFFFFF"/>
          <w:lang w:val="en-US"/>
        </w:rPr>
        <w:t>huge</w:t>
      </w:r>
      <w:r w:rsidR="00520A54" w:rsidRPr="00335B20">
        <w:rPr>
          <w:rStyle w:val="normaltextrun"/>
          <w:rFonts w:ascii="Garamond" w:hAnsi="Garamond"/>
          <w:color w:val="000000"/>
          <w:shd w:val="clear" w:color="auto" w:fill="FFFFFF"/>
          <w:lang w:val="en-US"/>
        </w:rPr>
        <w:t xml:space="preserve"> sacrifices of personal freedom, </w:t>
      </w:r>
      <w:r w:rsidR="001E0F4D" w:rsidRPr="00335B20">
        <w:rPr>
          <w:rStyle w:val="normaltextrun"/>
          <w:rFonts w:ascii="Garamond" w:hAnsi="Garamond"/>
          <w:color w:val="000000"/>
          <w:shd w:val="clear" w:color="auto" w:fill="FFFFFF"/>
          <w:lang w:val="en-US"/>
        </w:rPr>
        <w:t xml:space="preserve">to pretend it doesn’t also involve </w:t>
      </w:r>
      <w:r w:rsidR="00B01516">
        <w:rPr>
          <w:rStyle w:val="normaltextrun"/>
          <w:rFonts w:ascii="Garamond" w:hAnsi="Garamond"/>
          <w:color w:val="000000"/>
          <w:shd w:val="clear" w:color="auto" w:fill="FFFFFF"/>
          <w:lang w:val="en-US"/>
        </w:rPr>
        <w:t>huge</w:t>
      </w:r>
      <w:r w:rsidR="001C1F69">
        <w:rPr>
          <w:rStyle w:val="normaltextrun"/>
          <w:rFonts w:ascii="Garamond" w:hAnsi="Garamond"/>
          <w:color w:val="000000"/>
          <w:shd w:val="clear" w:color="auto" w:fill="FFFFFF"/>
          <w:lang w:val="en-US"/>
        </w:rPr>
        <w:t xml:space="preserve"> privileges </w:t>
      </w:r>
      <w:r w:rsidR="001E0F4D" w:rsidRPr="00335B20">
        <w:rPr>
          <w:rStyle w:val="normaltextrun"/>
          <w:rFonts w:ascii="Garamond" w:hAnsi="Garamond"/>
          <w:color w:val="000000"/>
          <w:shd w:val="clear" w:color="auto" w:fill="FFFFFF"/>
          <w:lang w:val="en-US"/>
        </w:rPr>
        <w:t xml:space="preserve">not granted to </w:t>
      </w:r>
      <w:r w:rsidR="001C1F69">
        <w:rPr>
          <w:rStyle w:val="normaltextrun"/>
          <w:rFonts w:ascii="Garamond" w:hAnsi="Garamond"/>
          <w:color w:val="000000"/>
          <w:shd w:val="clear" w:color="auto" w:fill="FFFFFF"/>
          <w:lang w:val="en-US"/>
        </w:rPr>
        <w:t xml:space="preserve">normal citizens </w:t>
      </w:r>
      <w:r w:rsidR="001E0F4D" w:rsidRPr="00335B20">
        <w:rPr>
          <w:rStyle w:val="normaltextrun"/>
          <w:rFonts w:ascii="Garamond" w:hAnsi="Garamond"/>
          <w:color w:val="000000"/>
          <w:shd w:val="clear" w:color="auto" w:fill="FFFFFF"/>
          <w:lang w:val="en-US"/>
        </w:rPr>
        <w:t xml:space="preserve">is </w:t>
      </w:r>
      <w:r w:rsidR="00F1243B" w:rsidRPr="00335B20">
        <w:rPr>
          <w:rStyle w:val="normaltextrun"/>
          <w:rFonts w:ascii="Garamond" w:hAnsi="Garamond"/>
          <w:color w:val="000000"/>
          <w:shd w:val="clear" w:color="auto" w:fill="FFFFFF"/>
          <w:lang w:val="en-US"/>
        </w:rPr>
        <w:t xml:space="preserve">hardly convincing. </w:t>
      </w:r>
      <w:r w:rsidR="0093547D">
        <w:rPr>
          <w:rStyle w:val="normaltextrun"/>
          <w:rFonts w:ascii="Garamond" w:hAnsi="Garamond"/>
          <w:color w:val="000000"/>
          <w:shd w:val="clear" w:color="auto" w:fill="FFFFFF"/>
          <w:lang w:val="en-US"/>
        </w:rPr>
        <w:t xml:space="preserve">For reasons such as this, von Daniels concludes that, theoretically, </w:t>
      </w:r>
      <w:r w:rsidR="007D07DB" w:rsidRPr="00335B20">
        <w:rPr>
          <w:rStyle w:val="normaltextrun"/>
          <w:rFonts w:ascii="Garamond" w:hAnsi="Garamond"/>
          <w:color w:val="000000"/>
          <w:shd w:val="clear" w:color="auto" w:fill="FFFFFF"/>
          <w:lang w:val="en-US"/>
        </w:rPr>
        <w:t xml:space="preserve">we cannot square the circle. </w:t>
      </w:r>
      <w:r w:rsidR="0093547D">
        <w:rPr>
          <w:rStyle w:val="normaltextrun"/>
          <w:rFonts w:ascii="Garamond" w:hAnsi="Garamond"/>
          <w:color w:val="000000"/>
          <w:shd w:val="clear" w:color="auto" w:fill="FFFFFF"/>
          <w:lang w:val="en-US"/>
        </w:rPr>
        <w:t xml:space="preserve">Yet, </w:t>
      </w:r>
      <w:r w:rsidR="007D07DB" w:rsidRPr="00335B20">
        <w:rPr>
          <w:rStyle w:val="normaltextrun"/>
          <w:rFonts w:ascii="Garamond" w:hAnsi="Garamond"/>
          <w:color w:val="000000"/>
          <w:shd w:val="clear" w:color="auto" w:fill="FFFFFF"/>
          <w:lang w:val="en-US"/>
        </w:rPr>
        <w:t xml:space="preserve">in terms of concrete history, </w:t>
      </w:r>
      <w:r w:rsidR="00893662">
        <w:rPr>
          <w:rStyle w:val="normaltextrun"/>
          <w:rFonts w:ascii="Garamond" w:hAnsi="Garamond"/>
          <w:color w:val="000000"/>
          <w:shd w:val="clear" w:color="auto" w:fill="FFFFFF"/>
          <w:lang w:val="en-US"/>
        </w:rPr>
        <w:t xml:space="preserve">he maintains that </w:t>
      </w:r>
      <w:r w:rsidR="007D07DB" w:rsidRPr="00335B20">
        <w:rPr>
          <w:rStyle w:val="normaltextrun"/>
          <w:rFonts w:ascii="Garamond" w:hAnsi="Garamond"/>
          <w:color w:val="000000"/>
          <w:shd w:val="clear" w:color="auto" w:fill="FFFFFF"/>
          <w:lang w:val="en-US"/>
        </w:rPr>
        <w:t xml:space="preserve">we don’t need to. </w:t>
      </w:r>
      <w:r w:rsidR="00C766DE" w:rsidRPr="00335B20">
        <w:rPr>
          <w:rStyle w:val="normaltextrun"/>
          <w:rFonts w:ascii="Garamond" w:hAnsi="Garamond"/>
          <w:color w:val="000000"/>
          <w:shd w:val="clear" w:color="auto" w:fill="FFFFFF"/>
          <w:lang w:val="en-US"/>
        </w:rPr>
        <w:t xml:space="preserve">He argues that, by not </w:t>
      </w:r>
      <w:r w:rsidR="00380808" w:rsidRPr="00335B20">
        <w:rPr>
          <w:rStyle w:val="normaltextrun"/>
          <w:rFonts w:ascii="Garamond" w:hAnsi="Garamond"/>
          <w:color w:val="000000"/>
          <w:shd w:val="clear" w:color="auto" w:fill="FFFFFF"/>
          <w:lang w:val="en-US"/>
        </w:rPr>
        <w:t>propounding</w:t>
      </w:r>
      <w:r w:rsidR="00C766DE" w:rsidRPr="00335B20">
        <w:rPr>
          <w:rStyle w:val="normaltextrun"/>
          <w:rFonts w:ascii="Garamond" w:hAnsi="Garamond"/>
          <w:color w:val="000000"/>
          <w:shd w:val="clear" w:color="auto" w:fill="FFFFFF"/>
          <w:lang w:val="en-US"/>
        </w:rPr>
        <w:t xml:space="preserve"> </w:t>
      </w:r>
      <w:r w:rsidR="00380808">
        <w:rPr>
          <w:rStyle w:val="normaltextrun"/>
          <w:rFonts w:ascii="Garamond" w:hAnsi="Garamond"/>
          <w:color w:val="000000"/>
          <w:shd w:val="clear" w:color="auto" w:fill="FFFFFF"/>
          <w:lang w:val="en-US"/>
        </w:rPr>
        <w:t>‘</w:t>
      </w:r>
      <w:r w:rsidR="00C766DE" w:rsidRPr="00335B20">
        <w:rPr>
          <w:rStyle w:val="normaltextrun"/>
          <w:rFonts w:ascii="Garamond" w:hAnsi="Garamond"/>
          <w:color w:val="000000"/>
          <w:shd w:val="clear" w:color="auto" w:fill="FFFFFF"/>
          <w:lang w:val="en-US"/>
        </w:rPr>
        <w:t>theories</w:t>
      </w:r>
      <w:r w:rsidR="00380808">
        <w:rPr>
          <w:rStyle w:val="normaltextrun"/>
          <w:rFonts w:ascii="Garamond" w:hAnsi="Garamond"/>
          <w:color w:val="000000"/>
          <w:shd w:val="clear" w:color="auto" w:fill="FFFFFF"/>
          <w:lang w:val="en-US"/>
        </w:rPr>
        <w:t>’</w:t>
      </w:r>
      <w:r w:rsidR="00C766DE" w:rsidRPr="00335B20">
        <w:rPr>
          <w:rStyle w:val="normaltextrun"/>
          <w:rFonts w:ascii="Garamond" w:hAnsi="Garamond"/>
          <w:color w:val="000000"/>
          <w:shd w:val="clear" w:color="auto" w:fill="FFFFFF"/>
          <w:lang w:val="en-US"/>
        </w:rPr>
        <w:t xml:space="preserve"> but rather observing ‘embedded practices’</w:t>
      </w:r>
      <w:r w:rsidR="008A2DE6" w:rsidRPr="00335B20">
        <w:rPr>
          <w:rStyle w:val="normaltextrun"/>
          <w:rFonts w:ascii="Garamond" w:hAnsi="Garamond"/>
          <w:color w:val="000000"/>
          <w:shd w:val="clear" w:color="auto" w:fill="FFFFFF"/>
          <w:lang w:val="en-US"/>
        </w:rPr>
        <w:t>, it is licit to maintain a belief in Monarchy</w:t>
      </w:r>
      <w:r w:rsidR="004204DB" w:rsidRPr="00335B20">
        <w:rPr>
          <w:rStyle w:val="normaltextrun"/>
          <w:rFonts w:ascii="Garamond" w:hAnsi="Garamond"/>
          <w:color w:val="000000"/>
          <w:shd w:val="clear" w:color="auto" w:fill="FFFFFF"/>
          <w:lang w:val="en-US"/>
        </w:rPr>
        <w:t xml:space="preserve"> </w:t>
      </w:r>
      <w:r w:rsidR="00C1698D">
        <w:rPr>
          <w:rStyle w:val="normaltextrun"/>
          <w:rFonts w:ascii="Garamond" w:hAnsi="Garamond"/>
          <w:color w:val="000000"/>
          <w:shd w:val="clear" w:color="auto" w:fill="FFFFFF"/>
          <w:lang w:val="en-US"/>
        </w:rPr>
        <w:t xml:space="preserve">during a liberal age </w:t>
      </w:r>
      <w:r w:rsidR="004204DB" w:rsidRPr="00335B20">
        <w:rPr>
          <w:rStyle w:val="normaltextrun"/>
          <w:rFonts w:ascii="Garamond" w:hAnsi="Garamond"/>
          <w:color w:val="000000"/>
          <w:shd w:val="clear" w:color="auto" w:fill="FFFFFF"/>
          <w:lang w:val="en-US"/>
        </w:rPr>
        <w:t xml:space="preserve">– because even liberalism itself ‘rests on historical memories’, and the sort of liberal purism that </w:t>
      </w:r>
      <w:r w:rsidR="00EC527D" w:rsidRPr="00335B20">
        <w:rPr>
          <w:rStyle w:val="normaltextrun"/>
          <w:rFonts w:ascii="Garamond" w:hAnsi="Garamond"/>
          <w:color w:val="000000"/>
          <w:shd w:val="clear" w:color="auto" w:fill="FFFFFF"/>
          <w:lang w:val="en-US"/>
        </w:rPr>
        <w:t xml:space="preserve">actually achieves </w:t>
      </w:r>
      <w:r w:rsidR="00C1698D">
        <w:rPr>
          <w:rStyle w:val="normaltextrun"/>
          <w:rFonts w:ascii="Garamond" w:hAnsi="Garamond"/>
          <w:color w:val="000000"/>
          <w:shd w:val="clear" w:color="auto" w:fill="FFFFFF"/>
          <w:lang w:val="en-US"/>
        </w:rPr>
        <w:t xml:space="preserve">functional </w:t>
      </w:r>
      <w:r w:rsidR="00EC527D" w:rsidRPr="00335B20">
        <w:rPr>
          <w:rStyle w:val="normaltextrun"/>
          <w:rFonts w:ascii="Garamond" w:hAnsi="Garamond"/>
          <w:color w:val="000000"/>
          <w:shd w:val="clear" w:color="auto" w:fill="FFFFFF"/>
          <w:lang w:val="en-US"/>
        </w:rPr>
        <w:t>neutral</w:t>
      </w:r>
      <w:r w:rsidR="00C1698D">
        <w:rPr>
          <w:rStyle w:val="normaltextrun"/>
          <w:rFonts w:ascii="Garamond" w:hAnsi="Garamond"/>
          <w:color w:val="000000"/>
          <w:shd w:val="clear" w:color="auto" w:fill="FFFFFF"/>
          <w:lang w:val="en-US"/>
        </w:rPr>
        <w:t xml:space="preserve">ity </w:t>
      </w:r>
      <w:r w:rsidR="00EC527D" w:rsidRPr="00335B20">
        <w:rPr>
          <w:rStyle w:val="normaltextrun"/>
          <w:rFonts w:ascii="Garamond" w:hAnsi="Garamond"/>
          <w:color w:val="000000"/>
          <w:shd w:val="clear" w:color="auto" w:fill="FFFFFF"/>
          <w:lang w:val="en-US"/>
        </w:rPr>
        <w:t xml:space="preserve">is almost impossible to envisage. </w:t>
      </w:r>
      <w:r w:rsidR="00D43C64" w:rsidRPr="00335B20">
        <w:rPr>
          <w:rStyle w:val="normaltextrun"/>
          <w:rFonts w:ascii="Garamond" w:hAnsi="Garamond"/>
          <w:color w:val="000000"/>
          <w:shd w:val="clear" w:color="auto" w:fill="FFFFFF"/>
          <w:lang w:val="en-US"/>
        </w:rPr>
        <w:t xml:space="preserve">Liberal slogans are always heard in </w:t>
      </w:r>
      <w:r w:rsidR="006463A9" w:rsidRPr="00335B20">
        <w:rPr>
          <w:rStyle w:val="normaltextrun"/>
          <w:rFonts w:ascii="Garamond" w:hAnsi="Garamond"/>
          <w:color w:val="000000"/>
          <w:shd w:val="clear" w:color="auto" w:fill="FFFFFF"/>
          <w:lang w:val="en-US"/>
        </w:rPr>
        <w:t xml:space="preserve">‘particular’ </w:t>
      </w:r>
      <w:r w:rsidR="00D43C64" w:rsidRPr="00335B20">
        <w:rPr>
          <w:rStyle w:val="normaltextrun"/>
          <w:rFonts w:ascii="Garamond" w:hAnsi="Garamond"/>
          <w:color w:val="000000"/>
          <w:shd w:val="clear" w:color="auto" w:fill="FFFFFF"/>
          <w:lang w:val="en-US"/>
        </w:rPr>
        <w:t>contexts</w:t>
      </w:r>
      <w:r w:rsidR="006463A9" w:rsidRPr="00335B20">
        <w:rPr>
          <w:rStyle w:val="normaltextrun"/>
          <w:rFonts w:ascii="Garamond" w:hAnsi="Garamond"/>
          <w:color w:val="000000"/>
          <w:shd w:val="clear" w:color="auto" w:fill="FFFFFF"/>
          <w:lang w:val="en-US"/>
        </w:rPr>
        <w:t xml:space="preserve">, </w:t>
      </w:r>
      <w:r w:rsidR="00C1698D">
        <w:rPr>
          <w:rStyle w:val="normaltextrun"/>
          <w:rFonts w:ascii="Garamond" w:hAnsi="Garamond"/>
          <w:color w:val="000000"/>
          <w:shd w:val="clear" w:color="auto" w:fill="FFFFFF"/>
          <w:lang w:val="en-US"/>
        </w:rPr>
        <w:t xml:space="preserve">related to </w:t>
      </w:r>
      <w:r w:rsidR="006463A9" w:rsidRPr="00335B20">
        <w:rPr>
          <w:rStyle w:val="normaltextrun"/>
          <w:rFonts w:ascii="Garamond" w:hAnsi="Garamond"/>
          <w:color w:val="000000"/>
          <w:shd w:val="clear" w:color="auto" w:fill="FFFFFF"/>
          <w:lang w:val="en-US"/>
        </w:rPr>
        <w:t xml:space="preserve">particular </w:t>
      </w:r>
      <w:r w:rsidR="00C1698D">
        <w:rPr>
          <w:rStyle w:val="normaltextrun"/>
          <w:rFonts w:ascii="Garamond" w:hAnsi="Garamond"/>
          <w:color w:val="000000"/>
          <w:shd w:val="clear" w:color="auto" w:fill="FFFFFF"/>
          <w:lang w:val="en-US"/>
        </w:rPr>
        <w:t xml:space="preserve">circumstances and their </w:t>
      </w:r>
      <w:r w:rsidR="006463A9" w:rsidRPr="00335B20">
        <w:rPr>
          <w:rStyle w:val="normaltextrun"/>
          <w:rFonts w:ascii="Garamond" w:hAnsi="Garamond"/>
          <w:color w:val="000000"/>
          <w:shd w:val="clear" w:color="auto" w:fill="FFFFFF"/>
          <w:lang w:val="en-US"/>
        </w:rPr>
        <w:t>traditions</w:t>
      </w:r>
      <w:r w:rsidR="00C1698D">
        <w:rPr>
          <w:rStyle w:val="normaltextrun"/>
          <w:rFonts w:ascii="Garamond" w:hAnsi="Garamond"/>
          <w:color w:val="000000"/>
          <w:shd w:val="clear" w:color="auto" w:fill="FFFFFF"/>
          <w:lang w:val="en-US"/>
        </w:rPr>
        <w:t xml:space="preserve"> </w:t>
      </w:r>
      <w:r w:rsidR="006463A9" w:rsidRPr="00335B20">
        <w:rPr>
          <w:rStyle w:val="normaltextrun"/>
          <w:rFonts w:ascii="Garamond" w:hAnsi="Garamond"/>
          <w:color w:val="000000"/>
          <w:shd w:val="clear" w:color="auto" w:fill="FFFFFF"/>
          <w:lang w:val="en-US"/>
        </w:rPr>
        <w:t xml:space="preserve">and </w:t>
      </w:r>
      <w:r w:rsidR="00C1698D">
        <w:rPr>
          <w:rStyle w:val="normaltextrun"/>
          <w:rFonts w:ascii="Garamond" w:hAnsi="Garamond"/>
          <w:color w:val="000000"/>
          <w:shd w:val="clear" w:color="auto" w:fill="FFFFFF"/>
          <w:lang w:val="en-US"/>
        </w:rPr>
        <w:t xml:space="preserve">their </w:t>
      </w:r>
      <w:r w:rsidR="006463A9" w:rsidRPr="00335B20">
        <w:rPr>
          <w:rStyle w:val="normaltextrun"/>
          <w:rFonts w:ascii="Garamond" w:hAnsi="Garamond"/>
          <w:color w:val="000000"/>
          <w:shd w:val="clear" w:color="auto" w:fill="FFFFFF"/>
          <w:lang w:val="en-US"/>
        </w:rPr>
        <w:t>particular histories</w:t>
      </w:r>
      <w:r w:rsidR="00C1698D">
        <w:rPr>
          <w:rStyle w:val="normaltextrun"/>
          <w:rFonts w:ascii="Garamond" w:hAnsi="Garamond"/>
          <w:color w:val="000000"/>
          <w:shd w:val="clear" w:color="auto" w:fill="FFFFFF"/>
          <w:lang w:val="en-US"/>
        </w:rPr>
        <w:t>. A</w:t>
      </w:r>
      <w:r w:rsidR="006463A9" w:rsidRPr="00335B20">
        <w:rPr>
          <w:rStyle w:val="normaltextrun"/>
          <w:rFonts w:ascii="Garamond" w:hAnsi="Garamond"/>
          <w:color w:val="000000"/>
          <w:shd w:val="clear" w:color="auto" w:fill="FFFFFF"/>
          <w:lang w:val="en-US"/>
        </w:rPr>
        <w:t xml:space="preserve"> comprehensive historical</w:t>
      </w:r>
      <w:r w:rsidR="001C1F69">
        <w:rPr>
          <w:rStyle w:val="normaltextrun"/>
          <w:rFonts w:ascii="Garamond" w:hAnsi="Garamond"/>
          <w:color w:val="000000"/>
          <w:shd w:val="clear" w:color="auto" w:fill="FFFFFF"/>
          <w:lang w:val="en-US"/>
        </w:rPr>
        <w:t xml:space="preserve"> </w:t>
      </w:r>
      <w:r w:rsidR="006463A9" w:rsidRPr="00335B20">
        <w:rPr>
          <w:rStyle w:val="normaltextrun"/>
          <w:rFonts w:ascii="Garamond" w:hAnsi="Garamond"/>
          <w:color w:val="000000"/>
          <w:shd w:val="clear" w:color="auto" w:fill="FFFFFF"/>
          <w:lang w:val="en-US"/>
        </w:rPr>
        <w:t>understanding</w:t>
      </w:r>
      <w:r w:rsidR="001C1F69">
        <w:rPr>
          <w:rStyle w:val="normaltextrun"/>
          <w:rFonts w:ascii="Garamond" w:hAnsi="Garamond"/>
          <w:color w:val="000000"/>
          <w:shd w:val="clear" w:color="auto" w:fill="FFFFFF"/>
          <w:lang w:val="en-US"/>
        </w:rPr>
        <w:t xml:space="preserve"> of the institution </w:t>
      </w:r>
      <w:r w:rsidR="00C1698D">
        <w:rPr>
          <w:rStyle w:val="normaltextrun"/>
          <w:rFonts w:ascii="Garamond" w:hAnsi="Garamond"/>
          <w:color w:val="000000"/>
          <w:shd w:val="clear" w:color="auto" w:fill="FFFFFF"/>
          <w:lang w:val="en-US"/>
        </w:rPr>
        <w:t xml:space="preserve">of the Monarchy requires that we </w:t>
      </w:r>
      <w:r w:rsidR="00E15596" w:rsidRPr="00335B20">
        <w:rPr>
          <w:rStyle w:val="normaltextrun"/>
          <w:rFonts w:ascii="Garamond" w:hAnsi="Garamond"/>
          <w:color w:val="000000"/>
          <w:shd w:val="clear" w:color="auto" w:fill="FFFFFF"/>
          <w:lang w:val="en-US"/>
        </w:rPr>
        <w:t xml:space="preserve">accept a measure of </w:t>
      </w:r>
      <w:r w:rsidR="00F02834">
        <w:rPr>
          <w:rStyle w:val="normaltextrun"/>
          <w:rFonts w:ascii="Garamond" w:hAnsi="Garamond"/>
          <w:color w:val="000000"/>
          <w:shd w:val="clear" w:color="auto" w:fill="FFFFFF"/>
          <w:lang w:val="en-US"/>
        </w:rPr>
        <w:t xml:space="preserve">what von Daniels calls </w:t>
      </w:r>
      <w:r w:rsidR="00E15596" w:rsidRPr="00335B20">
        <w:rPr>
          <w:rStyle w:val="normaltextrun"/>
          <w:rFonts w:ascii="Garamond" w:hAnsi="Garamond"/>
          <w:color w:val="000000"/>
          <w:shd w:val="clear" w:color="auto" w:fill="FFFFFF"/>
          <w:lang w:val="en-US"/>
        </w:rPr>
        <w:t xml:space="preserve">‘narration’ over </w:t>
      </w:r>
      <w:r w:rsidR="00C1698D">
        <w:rPr>
          <w:rStyle w:val="normaltextrun"/>
          <w:rFonts w:ascii="Garamond" w:hAnsi="Garamond"/>
          <w:color w:val="000000"/>
          <w:shd w:val="clear" w:color="auto" w:fill="FFFFFF"/>
          <w:lang w:val="en-US"/>
        </w:rPr>
        <w:t xml:space="preserve">against </w:t>
      </w:r>
      <w:r w:rsidR="00E15596" w:rsidRPr="00335B20">
        <w:rPr>
          <w:rStyle w:val="normaltextrun"/>
          <w:rFonts w:ascii="Garamond" w:hAnsi="Garamond"/>
          <w:color w:val="000000"/>
          <w:shd w:val="clear" w:color="auto" w:fill="FFFFFF"/>
          <w:lang w:val="en-US"/>
        </w:rPr>
        <w:t>‘theoretical justification’.</w:t>
      </w:r>
      <w:r w:rsidR="00E37A02">
        <w:rPr>
          <w:rStyle w:val="FootnoteReference"/>
          <w:rFonts w:ascii="Garamond" w:hAnsi="Garamond"/>
          <w:color w:val="000000"/>
          <w:shd w:val="clear" w:color="auto" w:fill="FFFFFF"/>
          <w:lang w:val="en-US"/>
        </w:rPr>
        <w:footnoteReference w:id="19"/>
      </w:r>
    </w:p>
    <w:p w14:paraId="2D94A17E" w14:textId="77777777" w:rsidR="00F06FB5" w:rsidRPr="00335B20" w:rsidRDefault="00F06FB5" w:rsidP="00335B20">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p>
    <w:p w14:paraId="3961D556" w14:textId="3811E55F" w:rsidR="00C1698D" w:rsidRDefault="00A84B8F" w:rsidP="00477C6F">
      <w:pPr>
        <w:pStyle w:val="paragraph"/>
        <w:spacing w:before="0" w:beforeAutospacing="0" w:after="0" w:afterAutospacing="0"/>
        <w:jc w:val="both"/>
        <w:textAlignment w:val="baseline"/>
        <w:rPr>
          <w:rStyle w:val="normaltextrun"/>
          <w:rFonts w:ascii="Garamond" w:hAnsi="Garamond"/>
          <w:color w:val="000000"/>
          <w:shd w:val="clear" w:color="auto" w:fill="FFFFFF"/>
        </w:rPr>
      </w:pPr>
      <w:r w:rsidRPr="00335B20">
        <w:rPr>
          <w:rStyle w:val="normaltextrun"/>
          <w:rFonts w:ascii="Garamond" w:hAnsi="Garamond"/>
          <w:color w:val="000000"/>
          <w:shd w:val="clear" w:color="auto" w:fill="FFFFFF"/>
          <w:lang w:val="en-US"/>
        </w:rPr>
        <w:t xml:space="preserve">Newman comes back into view </w:t>
      </w:r>
      <w:r w:rsidR="001C1F69">
        <w:rPr>
          <w:rStyle w:val="normaltextrun"/>
          <w:rFonts w:ascii="Garamond" w:hAnsi="Garamond"/>
          <w:color w:val="000000"/>
          <w:shd w:val="clear" w:color="auto" w:fill="FFFFFF"/>
          <w:lang w:val="en-US"/>
        </w:rPr>
        <w:t xml:space="preserve">here </w:t>
      </w:r>
      <w:r w:rsidRPr="00335B20">
        <w:rPr>
          <w:rStyle w:val="normaltextrun"/>
          <w:rFonts w:ascii="Garamond" w:hAnsi="Garamond"/>
          <w:color w:val="000000"/>
          <w:shd w:val="clear" w:color="auto" w:fill="FFFFFF"/>
          <w:lang w:val="en-US"/>
        </w:rPr>
        <w:t>because his own epistem</w:t>
      </w:r>
      <w:r w:rsidR="00E27C6A">
        <w:rPr>
          <w:rStyle w:val="normaltextrun"/>
          <w:rFonts w:ascii="Garamond" w:hAnsi="Garamond"/>
          <w:color w:val="000000"/>
          <w:shd w:val="clear" w:color="auto" w:fill="FFFFFF"/>
          <w:lang w:val="en-US"/>
        </w:rPr>
        <w:t xml:space="preserve">ology </w:t>
      </w:r>
      <w:r w:rsidRPr="00335B20">
        <w:rPr>
          <w:rStyle w:val="normaltextrun"/>
          <w:rFonts w:ascii="Garamond" w:hAnsi="Garamond"/>
          <w:color w:val="000000"/>
          <w:shd w:val="clear" w:color="auto" w:fill="FFFFFF"/>
          <w:lang w:val="en-US"/>
        </w:rPr>
        <w:t>share</w:t>
      </w:r>
      <w:r w:rsidR="00E27C6A">
        <w:rPr>
          <w:rStyle w:val="normaltextrun"/>
          <w:rFonts w:ascii="Garamond" w:hAnsi="Garamond"/>
          <w:color w:val="000000"/>
          <w:shd w:val="clear" w:color="auto" w:fill="FFFFFF"/>
          <w:lang w:val="en-US"/>
        </w:rPr>
        <w:t>s</w:t>
      </w:r>
      <w:r w:rsidRPr="00335B20">
        <w:rPr>
          <w:rStyle w:val="normaltextrun"/>
          <w:rFonts w:ascii="Garamond" w:hAnsi="Garamond"/>
          <w:color w:val="000000"/>
          <w:shd w:val="clear" w:color="auto" w:fill="FFFFFF"/>
          <w:lang w:val="en-US"/>
        </w:rPr>
        <w:t xml:space="preserve"> much common ground with </w:t>
      </w:r>
      <w:r w:rsidR="00E27C6A">
        <w:rPr>
          <w:rStyle w:val="normaltextrun"/>
          <w:rFonts w:ascii="Garamond" w:hAnsi="Garamond"/>
          <w:color w:val="000000"/>
          <w:shd w:val="clear" w:color="auto" w:fill="FFFFFF"/>
          <w:lang w:val="en-US"/>
        </w:rPr>
        <w:t xml:space="preserve">this terrain marked out by </w:t>
      </w:r>
      <w:r w:rsidRPr="00335B20">
        <w:rPr>
          <w:rStyle w:val="normaltextrun"/>
          <w:rFonts w:ascii="Garamond" w:hAnsi="Garamond"/>
          <w:color w:val="000000"/>
          <w:shd w:val="clear" w:color="auto" w:fill="FFFFFF"/>
          <w:lang w:val="en-US"/>
        </w:rPr>
        <w:t>von Daniel</w:t>
      </w:r>
      <w:r w:rsidR="001C1F69">
        <w:rPr>
          <w:rStyle w:val="normaltextrun"/>
          <w:rFonts w:ascii="Garamond" w:hAnsi="Garamond"/>
          <w:color w:val="000000"/>
          <w:shd w:val="clear" w:color="auto" w:fill="FFFFFF"/>
          <w:lang w:val="en-US"/>
        </w:rPr>
        <w:t>s</w:t>
      </w:r>
      <w:r w:rsidR="00380808">
        <w:rPr>
          <w:rStyle w:val="normaltextrun"/>
          <w:rFonts w:ascii="Garamond" w:hAnsi="Garamond"/>
          <w:color w:val="000000"/>
          <w:shd w:val="clear" w:color="auto" w:fill="FFFFFF"/>
          <w:lang w:val="en-US"/>
        </w:rPr>
        <w:t xml:space="preserve">. He emphasizes </w:t>
      </w:r>
      <w:r w:rsidR="0044041C">
        <w:rPr>
          <w:rStyle w:val="normaltextrun"/>
          <w:rFonts w:ascii="Garamond" w:hAnsi="Garamond"/>
          <w:color w:val="000000"/>
          <w:shd w:val="clear" w:color="auto" w:fill="FFFFFF"/>
          <w:lang w:val="en-US"/>
        </w:rPr>
        <w:t>thing</w:t>
      </w:r>
      <w:r w:rsidR="00F02834">
        <w:rPr>
          <w:rStyle w:val="normaltextrun"/>
          <w:rFonts w:ascii="Garamond" w:hAnsi="Garamond"/>
          <w:color w:val="000000"/>
          <w:shd w:val="clear" w:color="auto" w:fill="FFFFFF"/>
          <w:lang w:val="en-US"/>
        </w:rPr>
        <w:t>s</w:t>
      </w:r>
      <w:r w:rsidR="0044041C">
        <w:rPr>
          <w:rStyle w:val="normaltextrun"/>
          <w:rFonts w:ascii="Garamond" w:hAnsi="Garamond"/>
          <w:color w:val="000000"/>
          <w:shd w:val="clear" w:color="auto" w:fill="FFFFFF"/>
          <w:lang w:val="en-US"/>
        </w:rPr>
        <w:t xml:space="preserve"> similar to what von Daniels calls </w:t>
      </w:r>
      <w:r w:rsidRPr="00335B20">
        <w:rPr>
          <w:rStyle w:val="normaltextrun"/>
          <w:rFonts w:ascii="Garamond" w:hAnsi="Garamond"/>
          <w:color w:val="000000"/>
          <w:shd w:val="clear" w:color="auto" w:fill="FFFFFF"/>
          <w:lang w:val="en-US"/>
        </w:rPr>
        <w:t xml:space="preserve">‘embedded practices’, ‘historical narration’, and ‘particular languages’ – over against dogmatic </w:t>
      </w:r>
      <w:r w:rsidR="003E59AB" w:rsidRPr="00335B20">
        <w:rPr>
          <w:rStyle w:val="normaltextrun"/>
          <w:rFonts w:ascii="Garamond" w:hAnsi="Garamond"/>
          <w:color w:val="000000"/>
          <w:shd w:val="clear" w:color="auto" w:fill="FFFFFF"/>
          <w:lang w:val="en-US"/>
        </w:rPr>
        <w:t>ideology and over-</w:t>
      </w:r>
      <w:r w:rsidR="00380808" w:rsidRPr="00335B20">
        <w:rPr>
          <w:rStyle w:val="normaltextrun"/>
          <w:rFonts w:ascii="Garamond" w:hAnsi="Garamond"/>
          <w:color w:val="000000"/>
          <w:shd w:val="clear" w:color="auto" w:fill="FFFFFF"/>
          <w:lang w:val="en-US"/>
        </w:rPr>
        <w:t>weaning</w:t>
      </w:r>
      <w:r w:rsidR="003E59AB" w:rsidRPr="00335B20">
        <w:rPr>
          <w:rStyle w:val="normaltextrun"/>
          <w:rFonts w:ascii="Garamond" w:hAnsi="Garamond"/>
          <w:color w:val="000000"/>
          <w:shd w:val="clear" w:color="auto" w:fill="FFFFFF"/>
          <w:lang w:val="en-US"/>
        </w:rPr>
        <w:t xml:space="preserve"> theory. </w:t>
      </w:r>
      <w:r w:rsidR="00380808">
        <w:rPr>
          <w:rStyle w:val="normaltextrun"/>
          <w:rFonts w:ascii="Garamond" w:hAnsi="Garamond"/>
          <w:color w:val="000000"/>
          <w:shd w:val="clear" w:color="auto" w:fill="FFFFFF"/>
          <w:lang w:val="en-US"/>
        </w:rPr>
        <w:t>I have in mind here, of course, what he terms the ‘illative sense’</w:t>
      </w:r>
      <w:r w:rsidR="00477C6F">
        <w:rPr>
          <w:rStyle w:val="normaltextrun"/>
          <w:rFonts w:ascii="Garamond" w:hAnsi="Garamond"/>
          <w:color w:val="000000"/>
          <w:shd w:val="clear" w:color="auto" w:fill="FFFFFF"/>
          <w:lang w:val="en-US"/>
        </w:rPr>
        <w:t xml:space="preserve">. Newman </w:t>
      </w:r>
      <w:r w:rsidR="001C1F69">
        <w:rPr>
          <w:rStyle w:val="normaltextrun"/>
          <w:rFonts w:ascii="Garamond" w:hAnsi="Garamond"/>
          <w:color w:val="000000"/>
          <w:shd w:val="clear" w:color="auto" w:fill="FFFFFF"/>
          <w:lang w:val="en-US"/>
        </w:rPr>
        <w:t xml:space="preserve">seeks </w:t>
      </w:r>
      <w:r w:rsidR="00477C6F">
        <w:rPr>
          <w:rStyle w:val="normaltextrun"/>
          <w:rFonts w:ascii="Garamond" w:hAnsi="Garamond"/>
          <w:color w:val="000000"/>
          <w:shd w:val="clear" w:color="auto" w:fill="FFFFFF"/>
          <w:lang w:val="en-US"/>
        </w:rPr>
        <w:t>to expound human reasoning a</w:t>
      </w:r>
      <w:r w:rsidR="00A1138B">
        <w:rPr>
          <w:rStyle w:val="normaltextrun"/>
          <w:rFonts w:ascii="Garamond" w:hAnsi="Garamond"/>
          <w:color w:val="000000"/>
          <w:shd w:val="clear" w:color="auto" w:fill="FFFFFF"/>
          <w:lang w:val="en-US"/>
        </w:rPr>
        <w:t>s</w:t>
      </w:r>
      <w:r w:rsidR="00477C6F">
        <w:rPr>
          <w:rStyle w:val="normaltextrun"/>
          <w:rFonts w:ascii="Garamond" w:hAnsi="Garamond"/>
          <w:color w:val="000000"/>
          <w:shd w:val="clear" w:color="auto" w:fill="FFFFFF"/>
          <w:lang w:val="en-US"/>
        </w:rPr>
        <w:t xml:space="preserve"> it actually proceeds </w:t>
      </w:r>
      <w:r w:rsidR="001C1F69">
        <w:rPr>
          <w:rStyle w:val="normaltextrun"/>
          <w:rFonts w:ascii="Garamond" w:hAnsi="Garamond"/>
          <w:color w:val="000000"/>
          <w:shd w:val="clear" w:color="auto" w:fill="FFFFFF"/>
          <w:lang w:val="en-US"/>
        </w:rPr>
        <w:t>in</w:t>
      </w:r>
      <w:r w:rsidR="00477C6F">
        <w:rPr>
          <w:rStyle w:val="normaltextrun"/>
          <w:rFonts w:ascii="Garamond" w:hAnsi="Garamond"/>
          <w:color w:val="000000"/>
          <w:shd w:val="clear" w:color="auto" w:fill="FFFFFF"/>
          <w:lang w:val="en-US"/>
        </w:rPr>
        <w:t xml:space="preserve"> ‘the experience of human life, as it is daily brought before us’.</w:t>
      </w:r>
      <w:r w:rsidR="00133C33">
        <w:rPr>
          <w:rStyle w:val="FootnoteReference"/>
          <w:rFonts w:ascii="Garamond" w:hAnsi="Garamond"/>
          <w:color w:val="000000"/>
          <w:shd w:val="clear" w:color="auto" w:fill="FFFFFF"/>
          <w:lang w:val="en-US"/>
        </w:rPr>
        <w:footnoteReference w:id="20"/>
      </w:r>
      <w:r w:rsidR="00477C6F">
        <w:rPr>
          <w:rStyle w:val="normaltextrun"/>
          <w:rFonts w:ascii="Garamond" w:hAnsi="Garamond"/>
          <w:color w:val="000000"/>
          <w:shd w:val="clear" w:color="auto" w:fill="FFFFFF"/>
          <w:lang w:val="en-US"/>
        </w:rPr>
        <w:t xml:space="preserve"> He considers ‘formal logic’ vastly overrepresented</w:t>
      </w:r>
      <w:r w:rsidR="0044041C">
        <w:rPr>
          <w:rStyle w:val="normaltextrun"/>
          <w:rFonts w:ascii="Garamond" w:hAnsi="Garamond"/>
          <w:color w:val="000000"/>
          <w:shd w:val="clear" w:color="auto" w:fill="FFFFFF"/>
          <w:lang w:val="en-US"/>
        </w:rPr>
        <w:t xml:space="preserve">, leading </w:t>
      </w:r>
      <w:r w:rsidR="00477C6F">
        <w:rPr>
          <w:rStyle w:val="normaltextrun"/>
          <w:rFonts w:ascii="Garamond" w:hAnsi="Garamond"/>
          <w:color w:val="000000"/>
          <w:shd w:val="clear" w:color="auto" w:fill="FFFFFF"/>
          <w:lang w:val="en-US"/>
        </w:rPr>
        <w:t>to a view of human decision making as mere ‘abstraction’ and not effectively ‘carried into the realities of life’.</w:t>
      </w:r>
      <w:r w:rsidR="00133C33">
        <w:rPr>
          <w:rStyle w:val="FootnoteReference"/>
          <w:rFonts w:ascii="Garamond" w:hAnsi="Garamond"/>
          <w:color w:val="000000"/>
          <w:shd w:val="clear" w:color="auto" w:fill="FFFFFF"/>
          <w:lang w:val="en-US"/>
        </w:rPr>
        <w:footnoteReference w:id="21"/>
      </w:r>
      <w:r w:rsidR="00477C6F">
        <w:rPr>
          <w:rStyle w:val="superscript"/>
          <w:rFonts w:ascii="Garamond" w:hAnsi="Garamond"/>
          <w:color w:val="000000"/>
          <w:sz w:val="19"/>
          <w:szCs w:val="19"/>
          <w:shd w:val="clear" w:color="auto" w:fill="FFFFFF"/>
          <w:vertAlign w:val="superscript"/>
          <w:lang w:val="en-US"/>
        </w:rPr>
        <w:t xml:space="preserve"> </w:t>
      </w:r>
      <w:r w:rsidR="00477C6F">
        <w:rPr>
          <w:rStyle w:val="normaltextrun"/>
          <w:rFonts w:ascii="Garamond" w:hAnsi="Garamond"/>
          <w:color w:val="000000"/>
          <w:shd w:val="clear" w:color="auto" w:fill="FFFFFF"/>
        </w:rPr>
        <w:t>The ‘illative sense’ is the sense we have for a matter at hand as we engage in concrete decision making in daily life. ‘Ill</w:t>
      </w:r>
      <w:r w:rsidR="001C1F69">
        <w:rPr>
          <w:rStyle w:val="normaltextrun"/>
          <w:rFonts w:ascii="Garamond" w:hAnsi="Garamond"/>
          <w:color w:val="000000"/>
          <w:shd w:val="clear" w:color="auto" w:fill="FFFFFF"/>
        </w:rPr>
        <w:t>a</w:t>
      </w:r>
      <w:r w:rsidR="00477C6F">
        <w:rPr>
          <w:rStyle w:val="normaltextrun"/>
          <w:rFonts w:ascii="Garamond" w:hAnsi="Garamond"/>
          <w:color w:val="000000"/>
          <w:shd w:val="clear" w:color="auto" w:fill="FFFFFF"/>
        </w:rPr>
        <w:t xml:space="preserve">tive’ is drawn from the noun illation, related to the past-participle of the Latin for ‘to infer’, </w:t>
      </w:r>
      <w:r w:rsidR="00477C6F">
        <w:rPr>
          <w:rStyle w:val="normaltextrun"/>
          <w:rFonts w:ascii="Garamond" w:hAnsi="Garamond"/>
          <w:i/>
          <w:iCs/>
          <w:color w:val="000000"/>
          <w:shd w:val="clear" w:color="auto" w:fill="FFFFFF"/>
        </w:rPr>
        <w:t>inferre</w:t>
      </w:r>
      <w:r w:rsidR="00477C6F">
        <w:rPr>
          <w:rStyle w:val="normaltextrun"/>
          <w:rFonts w:ascii="Garamond" w:hAnsi="Garamond"/>
          <w:color w:val="000000"/>
          <w:shd w:val="clear" w:color="auto" w:fill="FFFFFF"/>
        </w:rPr>
        <w:t xml:space="preserve">, which is </w:t>
      </w:r>
      <w:r w:rsidR="00477C6F">
        <w:rPr>
          <w:rStyle w:val="normaltextrun"/>
          <w:rFonts w:ascii="Garamond" w:hAnsi="Garamond"/>
          <w:i/>
          <w:iCs/>
          <w:color w:val="000000"/>
          <w:shd w:val="clear" w:color="auto" w:fill="FFFFFF"/>
        </w:rPr>
        <w:t>illatus</w:t>
      </w:r>
      <w:r w:rsidR="00477C6F">
        <w:rPr>
          <w:rStyle w:val="normaltextrun"/>
          <w:rFonts w:ascii="Garamond" w:hAnsi="Garamond"/>
          <w:color w:val="000000"/>
          <w:shd w:val="clear" w:color="auto" w:fill="FFFFFF"/>
        </w:rPr>
        <w:t>. Literally, the illative sense is, then, an ‘inferred’ sense - judgements about a matter at hand, about which a multitude of judgements have already occurred as the matter is brought to consciousness</w:t>
      </w:r>
      <w:r w:rsidR="001C1F69">
        <w:rPr>
          <w:rStyle w:val="normaltextrun"/>
          <w:rFonts w:ascii="Garamond" w:hAnsi="Garamond"/>
          <w:color w:val="000000"/>
          <w:shd w:val="clear" w:color="auto" w:fill="FFFFFF"/>
        </w:rPr>
        <w:t>, ‘reasoning after the fact’</w:t>
      </w:r>
      <w:r w:rsidR="00B72F65">
        <w:rPr>
          <w:rStyle w:val="normaltextrun"/>
          <w:rFonts w:ascii="Garamond" w:hAnsi="Garamond"/>
          <w:color w:val="000000"/>
          <w:shd w:val="clear" w:color="auto" w:fill="FFFFFF"/>
        </w:rPr>
        <w:t>,</w:t>
      </w:r>
      <w:r w:rsidR="001C1F69">
        <w:rPr>
          <w:rStyle w:val="normaltextrun"/>
          <w:rFonts w:ascii="Garamond" w:hAnsi="Garamond"/>
          <w:color w:val="000000"/>
          <w:shd w:val="clear" w:color="auto" w:fill="FFFFFF"/>
        </w:rPr>
        <w:t xml:space="preserve"> if you will</w:t>
      </w:r>
      <w:r w:rsidR="00477C6F">
        <w:rPr>
          <w:rStyle w:val="normaltextrun"/>
          <w:rFonts w:ascii="Garamond" w:hAnsi="Garamond"/>
          <w:color w:val="000000"/>
          <w:shd w:val="clear" w:color="auto" w:fill="FFFFFF"/>
        </w:rPr>
        <w:t xml:space="preserve">. </w:t>
      </w:r>
      <w:r w:rsidR="00B72F65">
        <w:rPr>
          <w:rStyle w:val="normaltextrun"/>
          <w:rFonts w:ascii="Garamond" w:hAnsi="Garamond"/>
          <w:color w:val="000000"/>
          <w:shd w:val="clear" w:color="auto" w:fill="FFFFFF"/>
        </w:rPr>
        <w:t>P</w:t>
      </w:r>
      <w:r w:rsidR="00477C6F">
        <w:rPr>
          <w:rStyle w:val="normaltextrun"/>
          <w:rFonts w:ascii="Garamond" w:hAnsi="Garamond"/>
          <w:color w:val="000000"/>
          <w:shd w:val="clear" w:color="auto" w:fill="FFFFFF"/>
        </w:rPr>
        <w:t xml:space="preserve">reliminary judgements are not inferences in the formal sense, </w:t>
      </w:r>
      <w:r w:rsidR="00B72F65">
        <w:rPr>
          <w:rStyle w:val="normaltextrun"/>
          <w:rFonts w:ascii="Garamond" w:hAnsi="Garamond"/>
          <w:color w:val="000000"/>
          <w:shd w:val="clear" w:color="auto" w:fill="FFFFFF"/>
        </w:rPr>
        <w:t xml:space="preserve">they are </w:t>
      </w:r>
      <w:r w:rsidR="00477C6F">
        <w:rPr>
          <w:rStyle w:val="normaltextrun"/>
          <w:rFonts w:ascii="Garamond" w:hAnsi="Garamond"/>
          <w:color w:val="000000"/>
          <w:shd w:val="clear" w:color="auto" w:fill="FFFFFF"/>
        </w:rPr>
        <w:t>not br</w:t>
      </w:r>
      <w:r w:rsidR="001C1F69">
        <w:rPr>
          <w:rStyle w:val="normaltextrun"/>
          <w:rFonts w:ascii="Garamond" w:hAnsi="Garamond"/>
          <w:color w:val="000000"/>
          <w:shd w:val="clear" w:color="auto" w:fill="FFFFFF"/>
        </w:rPr>
        <w:t xml:space="preserve">oken down </w:t>
      </w:r>
      <w:r w:rsidR="00477C6F">
        <w:rPr>
          <w:rStyle w:val="normaltextrun"/>
          <w:rFonts w:ascii="Garamond" w:hAnsi="Garamond"/>
          <w:color w:val="000000"/>
          <w:shd w:val="clear" w:color="auto" w:fill="FFFFFF"/>
        </w:rPr>
        <w:t xml:space="preserve">into components then constructed into premises. They are described by Newman as </w:t>
      </w:r>
      <w:r w:rsidR="00477C6F" w:rsidRPr="0044041C">
        <w:rPr>
          <w:rStyle w:val="normaltextrun"/>
          <w:rFonts w:ascii="Garamond" w:hAnsi="Garamond"/>
          <w:i/>
          <w:color w:val="000000"/>
          <w:shd w:val="clear" w:color="auto" w:fill="FFFFFF"/>
        </w:rPr>
        <w:t>in</w:t>
      </w:r>
      <w:r w:rsidR="0044041C">
        <w:rPr>
          <w:rStyle w:val="normaltextrun"/>
          <w:rFonts w:ascii="Garamond" w:hAnsi="Garamond"/>
          <w:color w:val="000000"/>
          <w:shd w:val="clear" w:color="auto" w:fill="FFFFFF"/>
        </w:rPr>
        <w:t>-</w:t>
      </w:r>
      <w:r w:rsidR="00477C6F">
        <w:rPr>
          <w:rStyle w:val="normaltextrun"/>
          <w:rFonts w:ascii="Garamond" w:hAnsi="Garamond"/>
          <w:color w:val="000000"/>
          <w:shd w:val="clear" w:color="auto" w:fill="FFFFFF"/>
        </w:rPr>
        <w:t xml:space="preserve">formal </w:t>
      </w:r>
      <w:r w:rsidR="0044041C">
        <w:rPr>
          <w:rStyle w:val="normaltextrun"/>
          <w:rFonts w:ascii="Garamond" w:hAnsi="Garamond"/>
          <w:color w:val="000000"/>
          <w:shd w:val="clear" w:color="auto" w:fill="FFFFFF"/>
        </w:rPr>
        <w:t>‘</w:t>
      </w:r>
      <w:r w:rsidR="00477C6F">
        <w:rPr>
          <w:rStyle w:val="normaltextrun"/>
          <w:rFonts w:ascii="Garamond" w:hAnsi="Garamond"/>
          <w:color w:val="000000"/>
          <w:shd w:val="clear" w:color="auto" w:fill="FFFFFF"/>
        </w:rPr>
        <w:t xml:space="preserve">inferences’. </w:t>
      </w:r>
      <w:r w:rsidR="001C1F69">
        <w:rPr>
          <w:rStyle w:val="normaltextrun"/>
          <w:rFonts w:ascii="Garamond" w:hAnsi="Garamond"/>
          <w:color w:val="000000"/>
          <w:shd w:val="clear" w:color="auto" w:fill="FFFFFF"/>
        </w:rPr>
        <w:t>These</w:t>
      </w:r>
      <w:r w:rsidR="00477C6F">
        <w:rPr>
          <w:rStyle w:val="normaltextrun"/>
          <w:rFonts w:ascii="Garamond" w:hAnsi="Garamond"/>
          <w:color w:val="000000"/>
          <w:shd w:val="clear" w:color="auto" w:fill="FFFFFF"/>
        </w:rPr>
        <w:t xml:space="preserve"> are ‘too fine to avail separately, too subtle and circuitous to be convertible into syllogisms, too numerous and various for such conversion, even were they convertible’.</w:t>
      </w:r>
      <w:r w:rsidR="00133C33">
        <w:rPr>
          <w:rStyle w:val="FootnoteReference"/>
          <w:rFonts w:ascii="Garamond" w:hAnsi="Garamond"/>
          <w:color w:val="000000"/>
          <w:shd w:val="clear" w:color="auto" w:fill="FFFFFF"/>
        </w:rPr>
        <w:footnoteReference w:id="22"/>
      </w:r>
    </w:p>
    <w:p w14:paraId="78B56B55" w14:textId="77777777" w:rsidR="00C1698D" w:rsidRDefault="00C1698D" w:rsidP="00477C6F">
      <w:pPr>
        <w:pStyle w:val="paragraph"/>
        <w:spacing w:before="0" w:beforeAutospacing="0" w:after="0" w:afterAutospacing="0"/>
        <w:jc w:val="both"/>
        <w:textAlignment w:val="baseline"/>
        <w:rPr>
          <w:rStyle w:val="eop"/>
          <w:rFonts w:ascii="Garamond" w:hAnsi="Garamond"/>
          <w:color w:val="000000"/>
          <w:shd w:val="clear" w:color="auto" w:fill="FFFFFF"/>
        </w:rPr>
      </w:pPr>
    </w:p>
    <w:p w14:paraId="15CBB6D0" w14:textId="235E8A28" w:rsidR="00477C6F" w:rsidRDefault="00477C6F" w:rsidP="00477C6F">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r>
        <w:rPr>
          <w:rStyle w:val="eop"/>
          <w:rFonts w:ascii="Garamond" w:hAnsi="Garamond"/>
          <w:color w:val="000000"/>
          <w:shd w:val="clear" w:color="auto" w:fill="FFFFFF"/>
        </w:rPr>
        <w:t xml:space="preserve">In short, the positions people take on things in daily life can </w:t>
      </w:r>
      <w:r w:rsidR="009431F3">
        <w:rPr>
          <w:rStyle w:val="eop"/>
          <w:rFonts w:ascii="Garamond" w:hAnsi="Garamond"/>
          <w:color w:val="000000"/>
          <w:shd w:val="clear" w:color="auto" w:fill="FFFFFF"/>
        </w:rPr>
        <w:t xml:space="preserve">only </w:t>
      </w:r>
      <w:r>
        <w:rPr>
          <w:rStyle w:val="eop"/>
          <w:rFonts w:ascii="Garamond" w:hAnsi="Garamond"/>
          <w:color w:val="000000"/>
          <w:shd w:val="clear" w:color="auto" w:fill="FFFFFF"/>
        </w:rPr>
        <w:t xml:space="preserve">rarely be </w:t>
      </w:r>
      <w:r w:rsidR="00C1698D">
        <w:rPr>
          <w:rStyle w:val="eop"/>
          <w:rFonts w:ascii="Garamond" w:hAnsi="Garamond"/>
          <w:color w:val="000000"/>
          <w:shd w:val="clear" w:color="auto" w:fill="FFFFFF"/>
        </w:rPr>
        <w:t>distilled</w:t>
      </w:r>
      <w:r>
        <w:rPr>
          <w:rStyle w:val="eop"/>
          <w:rFonts w:ascii="Garamond" w:hAnsi="Garamond"/>
          <w:color w:val="000000"/>
          <w:shd w:val="clear" w:color="auto" w:fill="FFFFFF"/>
        </w:rPr>
        <w:t xml:space="preserve"> in</w:t>
      </w:r>
      <w:r w:rsidR="00C1698D">
        <w:rPr>
          <w:rStyle w:val="eop"/>
          <w:rFonts w:ascii="Garamond" w:hAnsi="Garamond"/>
          <w:color w:val="000000"/>
          <w:shd w:val="clear" w:color="auto" w:fill="FFFFFF"/>
        </w:rPr>
        <w:t>to</w:t>
      </w:r>
      <w:r>
        <w:rPr>
          <w:rStyle w:val="eop"/>
          <w:rFonts w:ascii="Garamond" w:hAnsi="Garamond"/>
          <w:color w:val="000000"/>
          <w:shd w:val="clear" w:color="auto" w:fill="FFFFFF"/>
        </w:rPr>
        <w:t xml:space="preserve"> abstract, theoretical premises – they arise from a complex multitude of assumptions, embedded contexts, narrative experiences, </w:t>
      </w:r>
      <w:r w:rsidR="00B32101">
        <w:rPr>
          <w:rStyle w:val="eop"/>
          <w:rFonts w:ascii="Garamond" w:hAnsi="Garamond"/>
          <w:color w:val="000000"/>
          <w:shd w:val="clear" w:color="auto" w:fill="FFFFFF"/>
        </w:rPr>
        <w:t xml:space="preserve">local particularities, </w:t>
      </w:r>
      <w:r>
        <w:rPr>
          <w:rStyle w:val="eop"/>
          <w:rFonts w:ascii="Garamond" w:hAnsi="Garamond"/>
          <w:color w:val="000000"/>
          <w:shd w:val="clear" w:color="auto" w:fill="FFFFFF"/>
        </w:rPr>
        <w:t>and so on</w:t>
      </w:r>
      <w:r w:rsidR="00C1698D">
        <w:rPr>
          <w:rStyle w:val="eop"/>
          <w:rFonts w:ascii="Garamond" w:hAnsi="Garamond"/>
          <w:color w:val="000000"/>
          <w:shd w:val="clear" w:color="auto" w:fill="FFFFFF"/>
        </w:rPr>
        <w:t>. T</w:t>
      </w:r>
      <w:r>
        <w:rPr>
          <w:rStyle w:val="eop"/>
          <w:rFonts w:ascii="Garamond" w:hAnsi="Garamond"/>
          <w:color w:val="000000"/>
          <w:shd w:val="clear" w:color="auto" w:fill="FFFFFF"/>
        </w:rPr>
        <w:t>h</w:t>
      </w:r>
      <w:r w:rsidR="001C1F69">
        <w:rPr>
          <w:rStyle w:val="eop"/>
          <w:rFonts w:ascii="Garamond" w:hAnsi="Garamond"/>
          <w:color w:val="000000"/>
          <w:shd w:val="clear" w:color="auto" w:fill="FFFFFF"/>
        </w:rPr>
        <w:t xml:space="preserve">is does not mean the positions </w:t>
      </w:r>
      <w:r w:rsidR="00C1698D">
        <w:rPr>
          <w:rStyle w:val="eop"/>
          <w:rFonts w:ascii="Garamond" w:hAnsi="Garamond"/>
          <w:color w:val="000000"/>
          <w:shd w:val="clear" w:color="auto" w:fill="FFFFFF"/>
        </w:rPr>
        <w:t xml:space="preserve">taken </w:t>
      </w:r>
      <w:r>
        <w:rPr>
          <w:rStyle w:val="eop"/>
          <w:rFonts w:ascii="Garamond" w:hAnsi="Garamond"/>
          <w:color w:val="000000"/>
          <w:shd w:val="clear" w:color="auto" w:fill="FFFFFF"/>
        </w:rPr>
        <w:t xml:space="preserve">are irrational, says Newman, it is just the human ratiocination is much </w:t>
      </w:r>
      <w:r w:rsidR="001C1F69">
        <w:rPr>
          <w:rStyle w:val="eop"/>
          <w:rFonts w:ascii="Garamond" w:hAnsi="Garamond"/>
          <w:color w:val="000000"/>
          <w:shd w:val="clear" w:color="auto" w:fill="FFFFFF"/>
        </w:rPr>
        <w:t>broader</w:t>
      </w:r>
      <w:r>
        <w:rPr>
          <w:rStyle w:val="eop"/>
          <w:rFonts w:ascii="Garamond" w:hAnsi="Garamond"/>
          <w:color w:val="000000"/>
          <w:shd w:val="clear" w:color="auto" w:fill="FFFFFF"/>
        </w:rPr>
        <w:t xml:space="preserve"> and deeper and richer than</w:t>
      </w:r>
      <w:r w:rsidR="009A2EF3">
        <w:rPr>
          <w:rStyle w:val="eop"/>
          <w:rFonts w:ascii="Garamond" w:hAnsi="Garamond"/>
          <w:color w:val="000000"/>
          <w:shd w:val="clear" w:color="auto" w:fill="FFFFFF"/>
        </w:rPr>
        <w:t xml:space="preserve"> 19</w:t>
      </w:r>
      <w:r w:rsidR="009A2EF3" w:rsidRPr="009A2EF3">
        <w:rPr>
          <w:rStyle w:val="eop"/>
          <w:rFonts w:ascii="Garamond" w:hAnsi="Garamond"/>
          <w:color w:val="000000"/>
          <w:shd w:val="clear" w:color="auto" w:fill="FFFFFF"/>
          <w:vertAlign w:val="superscript"/>
        </w:rPr>
        <w:t>th</w:t>
      </w:r>
      <w:r w:rsidR="009A2EF3">
        <w:rPr>
          <w:rStyle w:val="eop"/>
          <w:rFonts w:ascii="Garamond" w:hAnsi="Garamond"/>
          <w:color w:val="000000"/>
          <w:shd w:val="clear" w:color="auto" w:fill="FFFFFF"/>
        </w:rPr>
        <w:t xml:space="preserve"> century</w:t>
      </w:r>
      <w:r>
        <w:rPr>
          <w:rStyle w:val="eop"/>
          <w:rFonts w:ascii="Garamond" w:hAnsi="Garamond"/>
          <w:color w:val="000000"/>
          <w:shd w:val="clear" w:color="auto" w:fill="FFFFFF"/>
        </w:rPr>
        <w:t xml:space="preserve"> rationalist philosophers assume</w:t>
      </w:r>
      <w:r w:rsidR="009A2EF3">
        <w:rPr>
          <w:rStyle w:val="eop"/>
          <w:rFonts w:ascii="Garamond" w:hAnsi="Garamond"/>
          <w:color w:val="000000"/>
          <w:shd w:val="clear" w:color="auto" w:fill="FFFFFF"/>
        </w:rPr>
        <w:t>d</w:t>
      </w:r>
      <w:r>
        <w:rPr>
          <w:rStyle w:val="eop"/>
          <w:rFonts w:ascii="Garamond" w:hAnsi="Garamond"/>
          <w:color w:val="000000"/>
          <w:shd w:val="clear" w:color="auto" w:fill="FFFFFF"/>
        </w:rPr>
        <w:t>.</w:t>
      </w:r>
      <w:r w:rsidR="009A2EF3">
        <w:rPr>
          <w:rStyle w:val="eop"/>
          <w:rFonts w:ascii="Garamond" w:hAnsi="Garamond"/>
          <w:color w:val="000000"/>
          <w:shd w:val="clear" w:color="auto" w:fill="FFFFFF"/>
        </w:rPr>
        <w:t xml:space="preserve"> v</w:t>
      </w:r>
      <w:r>
        <w:rPr>
          <w:rStyle w:val="normaltextrun"/>
          <w:rFonts w:ascii="Garamond" w:hAnsi="Garamond"/>
          <w:color w:val="000000"/>
          <w:shd w:val="clear" w:color="auto" w:fill="FFFFFF"/>
          <w:lang w:val="en-US"/>
        </w:rPr>
        <w:t>on Daniel</w:t>
      </w:r>
      <w:r w:rsidR="00C1698D">
        <w:rPr>
          <w:rStyle w:val="normaltextrun"/>
          <w:rFonts w:ascii="Garamond" w:hAnsi="Garamond"/>
          <w:color w:val="000000"/>
          <w:shd w:val="clear" w:color="auto" w:fill="FFFFFF"/>
          <w:lang w:val="en-US"/>
        </w:rPr>
        <w:t>’</w:t>
      </w:r>
      <w:r>
        <w:rPr>
          <w:rStyle w:val="normaltextrun"/>
          <w:rFonts w:ascii="Garamond" w:hAnsi="Garamond"/>
          <w:color w:val="000000"/>
          <w:shd w:val="clear" w:color="auto" w:fill="FFFFFF"/>
          <w:lang w:val="en-US"/>
        </w:rPr>
        <w:t>s discussion of Monarchy</w:t>
      </w:r>
      <w:r w:rsidR="00C1698D">
        <w:rPr>
          <w:rStyle w:val="normaltextrun"/>
          <w:rFonts w:ascii="Garamond" w:hAnsi="Garamond"/>
          <w:color w:val="000000"/>
          <w:shd w:val="clear" w:color="auto" w:fill="FFFFFF"/>
          <w:lang w:val="en-US"/>
        </w:rPr>
        <w:t xml:space="preserve"> thus</w:t>
      </w:r>
      <w:r>
        <w:rPr>
          <w:rStyle w:val="normaltextrun"/>
          <w:rFonts w:ascii="Garamond" w:hAnsi="Garamond"/>
          <w:color w:val="000000"/>
          <w:shd w:val="clear" w:color="auto" w:fill="FFFFFF"/>
          <w:lang w:val="en-US"/>
        </w:rPr>
        <w:t xml:space="preserve"> lands on exactly the sort of justification that Newman felt underlies most humanly significant things, including religious assents</w:t>
      </w:r>
      <w:r w:rsidR="00C1698D">
        <w:rPr>
          <w:rStyle w:val="normaltextrun"/>
          <w:rFonts w:ascii="Garamond" w:hAnsi="Garamond"/>
          <w:color w:val="000000"/>
          <w:shd w:val="clear" w:color="auto" w:fill="FFFFFF"/>
          <w:lang w:val="en-US"/>
        </w:rPr>
        <w:t>. Justifications f</w:t>
      </w:r>
      <w:r>
        <w:rPr>
          <w:rStyle w:val="normaltextrun"/>
          <w:rFonts w:ascii="Garamond" w:hAnsi="Garamond"/>
          <w:color w:val="000000"/>
          <w:shd w:val="clear" w:color="auto" w:fill="FFFFFF"/>
          <w:lang w:val="en-US"/>
        </w:rPr>
        <w:t xml:space="preserve">or Christianity cannot be solely grounded in </w:t>
      </w:r>
      <w:r>
        <w:rPr>
          <w:rStyle w:val="normaltextrun"/>
          <w:rFonts w:ascii="Garamond" w:hAnsi="Garamond"/>
          <w:color w:val="000000"/>
          <w:shd w:val="clear" w:color="auto" w:fill="FFFFFF"/>
          <w:lang w:val="en-US"/>
        </w:rPr>
        <w:lastRenderedPageBreak/>
        <w:t xml:space="preserve">formal logic insofar as they include assents to divine revelation. Thus, for Newman, our </w:t>
      </w:r>
      <w:r w:rsidR="00A001E4">
        <w:rPr>
          <w:rStyle w:val="normaltextrun"/>
          <w:rFonts w:ascii="Garamond" w:hAnsi="Garamond"/>
          <w:color w:val="000000"/>
          <w:shd w:val="clear" w:color="auto" w:fill="FFFFFF"/>
          <w:lang w:val="en-US"/>
        </w:rPr>
        <w:t xml:space="preserve">judgements about </w:t>
      </w:r>
      <w:r>
        <w:rPr>
          <w:rStyle w:val="normaltextrun"/>
          <w:rFonts w:ascii="Garamond" w:hAnsi="Garamond"/>
          <w:color w:val="000000"/>
          <w:shd w:val="clear" w:color="auto" w:fill="FFFFFF"/>
          <w:lang w:val="en-US"/>
        </w:rPr>
        <w:t xml:space="preserve">historically contingent facts and divine revelation are structurally analogous, in </w:t>
      </w:r>
      <w:r w:rsidR="00C1698D">
        <w:rPr>
          <w:rStyle w:val="normaltextrun"/>
          <w:rFonts w:ascii="Garamond" w:hAnsi="Garamond"/>
          <w:color w:val="000000"/>
          <w:shd w:val="clear" w:color="auto" w:fill="FFFFFF"/>
          <w:lang w:val="en-US"/>
        </w:rPr>
        <w:t xml:space="preserve">epistemological </w:t>
      </w:r>
      <w:r>
        <w:rPr>
          <w:rStyle w:val="normaltextrun"/>
          <w:rFonts w:ascii="Garamond" w:hAnsi="Garamond"/>
          <w:color w:val="000000"/>
          <w:shd w:val="clear" w:color="auto" w:fill="FFFFFF"/>
          <w:lang w:val="en-US"/>
        </w:rPr>
        <w:t>terms at least.</w:t>
      </w:r>
      <w:r w:rsidR="00A001E4">
        <w:rPr>
          <w:rStyle w:val="normaltextrun"/>
          <w:rFonts w:ascii="Garamond" w:hAnsi="Garamond"/>
          <w:color w:val="000000"/>
          <w:shd w:val="clear" w:color="auto" w:fill="FFFFFF"/>
          <w:lang w:val="en-US"/>
        </w:rPr>
        <w:t xml:space="preserve"> Neither are g</w:t>
      </w:r>
      <w:r w:rsidR="00C1698D">
        <w:rPr>
          <w:rStyle w:val="normaltextrun"/>
          <w:rFonts w:ascii="Garamond" w:hAnsi="Garamond"/>
          <w:color w:val="000000"/>
          <w:shd w:val="clear" w:color="auto" w:fill="FFFFFF"/>
          <w:lang w:val="en-US"/>
        </w:rPr>
        <w:t xml:space="preserve">rounded by </w:t>
      </w:r>
      <w:r w:rsidR="00A001E4">
        <w:rPr>
          <w:rStyle w:val="normaltextrun"/>
          <w:rFonts w:ascii="Garamond" w:hAnsi="Garamond"/>
          <w:color w:val="000000"/>
          <w:shd w:val="clear" w:color="auto" w:fill="FFFFFF"/>
          <w:lang w:val="en-US"/>
        </w:rPr>
        <w:t>formal logic</w:t>
      </w:r>
      <w:r w:rsidR="00C1698D">
        <w:rPr>
          <w:rStyle w:val="normaltextrun"/>
          <w:rFonts w:ascii="Garamond" w:hAnsi="Garamond"/>
          <w:color w:val="000000"/>
          <w:shd w:val="clear" w:color="auto" w:fill="FFFFFF"/>
          <w:lang w:val="en-US"/>
        </w:rPr>
        <w:t xml:space="preserve"> – both require a web of prior-judgements</w:t>
      </w:r>
      <w:r w:rsidR="0044041C">
        <w:rPr>
          <w:rStyle w:val="normaltextrun"/>
          <w:rFonts w:ascii="Garamond" w:hAnsi="Garamond"/>
          <w:color w:val="000000"/>
          <w:shd w:val="clear" w:color="auto" w:fill="FFFFFF"/>
          <w:lang w:val="en-US"/>
        </w:rPr>
        <w:t xml:space="preserve">, </w:t>
      </w:r>
      <w:r w:rsidR="00C1698D">
        <w:rPr>
          <w:rStyle w:val="normaltextrun"/>
          <w:rFonts w:ascii="Garamond" w:hAnsi="Garamond"/>
          <w:color w:val="000000"/>
          <w:shd w:val="clear" w:color="auto" w:fill="FFFFFF"/>
        </w:rPr>
        <w:t xml:space="preserve">‘too fine to avail separately, too subtle and circuitous to be convertible into syllogisms, [and] too numerous and various </w:t>
      </w:r>
      <w:r w:rsidR="00C1698D" w:rsidRPr="0044041C">
        <w:rPr>
          <w:rStyle w:val="normaltextrun"/>
          <w:rFonts w:ascii="Garamond" w:hAnsi="Garamond"/>
          <w:i/>
          <w:color w:val="000000"/>
          <w:shd w:val="clear" w:color="auto" w:fill="FFFFFF"/>
        </w:rPr>
        <w:t>for</w:t>
      </w:r>
      <w:r w:rsidR="00C1698D">
        <w:rPr>
          <w:rStyle w:val="normaltextrun"/>
          <w:rFonts w:ascii="Garamond" w:hAnsi="Garamond"/>
          <w:color w:val="000000"/>
          <w:shd w:val="clear" w:color="auto" w:fill="FFFFFF"/>
        </w:rPr>
        <w:t xml:space="preserve"> such conversion’.</w:t>
      </w:r>
      <w:r w:rsidR="00E13640">
        <w:rPr>
          <w:rStyle w:val="FootnoteReference"/>
          <w:rFonts w:ascii="Garamond" w:hAnsi="Garamond"/>
          <w:color w:val="000000"/>
          <w:shd w:val="clear" w:color="auto" w:fill="FFFFFF"/>
        </w:rPr>
        <w:footnoteReference w:id="23"/>
      </w:r>
      <w:r w:rsidR="00A001E4">
        <w:rPr>
          <w:rStyle w:val="normaltextrun"/>
          <w:rFonts w:ascii="Garamond" w:hAnsi="Garamond"/>
          <w:color w:val="000000"/>
          <w:shd w:val="clear" w:color="auto" w:fill="FFFFFF"/>
          <w:lang w:val="en-US"/>
        </w:rPr>
        <w:t xml:space="preserve"> </w:t>
      </w:r>
    </w:p>
    <w:p w14:paraId="4A9BCC77" w14:textId="77777777" w:rsidR="00477C6F" w:rsidRDefault="00477C6F" w:rsidP="00477C6F">
      <w:pPr>
        <w:pStyle w:val="paragraph"/>
        <w:spacing w:before="0" w:beforeAutospacing="0" w:after="0" w:afterAutospacing="0"/>
        <w:jc w:val="both"/>
        <w:textAlignment w:val="baseline"/>
        <w:rPr>
          <w:rStyle w:val="normaltextrun"/>
          <w:rFonts w:ascii="Garamond" w:hAnsi="Garamond"/>
          <w:color w:val="000000"/>
          <w:shd w:val="clear" w:color="auto" w:fill="FFFFFF"/>
          <w:lang w:val="en-US"/>
        </w:rPr>
      </w:pPr>
    </w:p>
    <w:p w14:paraId="06D6776E" w14:textId="7E217FAB" w:rsidR="00A001E4" w:rsidRDefault="00A001E4" w:rsidP="007B2893">
      <w:pPr>
        <w:pStyle w:val="paragraph"/>
        <w:spacing w:before="0" w:beforeAutospacing="0" w:after="0" w:afterAutospacing="0"/>
        <w:jc w:val="both"/>
        <w:textAlignment w:val="baseline"/>
        <w:rPr>
          <w:rStyle w:val="eop"/>
          <w:rFonts w:ascii="Garamond" w:hAnsi="Garamond"/>
          <w:color w:val="000000"/>
          <w:shd w:val="clear" w:color="auto" w:fill="FFFFFF"/>
        </w:rPr>
      </w:pPr>
      <w:r>
        <w:rPr>
          <w:rStyle w:val="normaltextrun"/>
          <w:rFonts w:ascii="Garamond" w:hAnsi="Garamond"/>
          <w:color w:val="000000"/>
          <w:shd w:val="clear" w:color="auto" w:fill="FFFFFF"/>
          <w:lang w:val="en-US"/>
        </w:rPr>
        <w:t>I</w:t>
      </w:r>
      <w:r w:rsidR="0013253B">
        <w:rPr>
          <w:rStyle w:val="normaltextrun"/>
          <w:rFonts w:ascii="Garamond" w:hAnsi="Garamond"/>
          <w:color w:val="000000"/>
          <w:shd w:val="clear" w:color="auto" w:fill="FFFFFF"/>
          <w:lang w:val="en-US"/>
        </w:rPr>
        <w:t>nterestingly</w:t>
      </w:r>
      <w:r>
        <w:rPr>
          <w:rStyle w:val="normaltextrun"/>
          <w:rFonts w:ascii="Garamond" w:hAnsi="Garamond"/>
          <w:color w:val="000000"/>
          <w:shd w:val="clear" w:color="auto" w:fill="FFFFFF"/>
          <w:lang w:val="en-US"/>
        </w:rPr>
        <w:t xml:space="preserve">, then, </w:t>
      </w:r>
      <w:r w:rsidR="0013253B">
        <w:rPr>
          <w:rStyle w:val="normaltextrun"/>
          <w:rFonts w:ascii="Garamond" w:hAnsi="Garamond"/>
          <w:color w:val="000000"/>
          <w:shd w:val="clear" w:color="auto" w:fill="FFFFFF"/>
          <w:lang w:val="en-US"/>
        </w:rPr>
        <w:t xml:space="preserve">Newman’s epistemology </w:t>
      </w:r>
      <w:r w:rsidR="001D5B93">
        <w:rPr>
          <w:rStyle w:val="normaltextrun"/>
          <w:rFonts w:ascii="Garamond" w:hAnsi="Garamond"/>
          <w:color w:val="000000"/>
          <w:shd w:val="clear" w:color="auto" w:fill="FFFFFF"/>
          <w:lang w:val="en-US"/>
        </w:rPr>
        <w:t xml:space="preserve">could, by extension, </w:t>
      </w:r>
      <w:r w:rsidR="008B78AB">
        <w:rPr>
          <w:rStyle w:val="normaltextrun"/>
          <w:rFonts w:ascii="Garamond" w:hAnsi="Garamond"/>
          <w:color w:val="000000"/>
          <w:shd w:val="clear" w:color="auto" w:fill="FFFFFF"/>
          <w:lang w:val="en-US"/>
        </w:rPr>
        <w:t xml:space="preserve">shield the institution of </w:t>
      </w:r>
      <w:r w:rsidR="0013253B">
        <w:rPr>
          <w:rStyle w:val="normaltextrun"/>
          <w:rFonts w:ascii="Garamond" w:hAnsi="Garamond"/>
          <w:color w:val="000000"/>
          <w:shd w:val="clear" w:color="auto" w:fill="FFFFFF"/>
          <w:lang w:val="en-US"/>
        </w:rPr>
        <w:t xml:space="preserve">Monarchy </w:t>
      </w:r>
      <w:r w:rsidR="008B78AB">
        <w:rPr>
          <w:rStyle w:val="normaltextrun"/>
          <w:rFonts w:ascii="Garamond" w:hAnsi="Garamond"/>
          <w:color w:val="000000"/>
          <w:shd w:val="clear" w:color="auto" w:fill="FFFFFF"/>
          <w:lang w:val="en-US"/>
        </w:rPr>
        <w:t xml:space="preserve">from </w:t>
      </w:r>
      <w:r w:rsidR="003E1D54">
        <w:rPr>
          <w:rStyle w:val="normaltextrun"/>
          <w:rFonts w:ascii="Garamond" w:hAnsi="Garamond"/>
          <w:color w:val="000000"/>
          <w:shd w:val="clear" w:color="auto" w:fill="FFFFFF"/>
          <w:lang w:val="en-US"/>
        </w:rPr>
        <w:t xml:space="preserve">demands for a </w:t>
      </w:r>
      <w:r w:rsidR="00502401">
        <w:rPr>
          <w:rStyle w:val="normaltextrun"/>
          <w:rFonts w:ascii="Garamond" w:hAnsi="Garamond"/>
          <w:color w:val="000000"/>
          <w:shd w:val="clear" w:color="auto" w:fill="FFFFFF"/>
          <w:lang w:val="en-US"/>
        </w:rPr>
        <w:t xml:space="preserve">purist </w:t>
      </w:r>
      <w:r w:rsidR="008B78AB">
        <w:rPr>
          <w:rStyle w:val="normaltextrun"/>
          <w:rFonts w:ascii="Garamond" w:hAnsi="Garamond"/>
          <w:color w:val="000000"/>
          <w:shd w:val="clear" w:color="auto" w:fill="FFFFFF"/>
          <w:lang w:val="en-US"/>
        </w:rPr>
        <w:t xml:space="preserve">theoretical grounding, </w:t>
      </w:r>
      <w:r w:rsidR="003E1D54">
        <w:rPr>
          <w:rStyle w:val="normaltextrun"/>
          <w:rFonts w:ascii="Garamond" w:hAnsi="Garamond"/>
          <w:color w:val="000000"/>
          <w:shd w:val="clear" w:color="auto" w:fill="FFFFFF"/>
          <w:lang w:val="en-US"/>
        </w:rPr>
        <w:t>insofar as its endurance i</w:t>
      </w:r>
      <w:r w:rsidR="0013253B">
        <w:rPr>
          <w:rStyle w:val="normaltextrun"/>
          <w:rFonts w:ascii="Garamond" w:hAnsi="Garamond"/>
          <w:color w:val="000000"/>
          <w:shd w:val="clear" w:color="auto" w:fill="FFFFFF"/>
          <w:lang w:val="en-US"/>
        </w:rPr>
        <w:t xml:space="preserve">s </w:t>
      </w:r>
      <w:r w:rsidR="001D5B93">
        <w:rPr>
          <w:rStyle w:val="normaltextrun"/>
          <w:rFonts w:ascii="Garamond" w:hAnsi="Garamond"/>
          <w:color w:val="000000"/>
          <w:shd w:val="clear" w:color="auto" w:fill="FFFFFF"/>
          <w:lang w:val="en-US"/>
        </w:rPr>
        <w:t xml:space="preserve">precisely the sort of </w:t>
      </w:r>
      <w:r w:rsidR="0013253B">
        <w:rPr>
          <w:rStyle w:val="normaltextrun"/>
          <w:rFonts w:ascii="Garamond" w:hAnsi="Garamond"/>
          <w:color w:val="000000"/>
          <w:shd w:val="clear" w:color="auto" w:fill="FFFFFF"/>
          <w:lang w:val="en-US"/>
        </w:rPr>
        <w:t>concrete fact</w:t>
      </w:r>
      <w:r w:rsidR="001D5B93">
        <w:rPr>
          <w:rStyle w:val="normaltextrun"/>
          <w:rFonts w:ascii="Garamond" w:hAnsi="Garamond"/>
          <w:color w:val="000000"/>
          <w:shd w:val="clear" w:color="auto" w:fill="FFFFFF"/>
          <w:lang w:val="en-US"/>
        </w:rPr>
        <w:t xml:space="preserve"> </w:t>
      </w:r>
      <w:r w:rsidR="003E1D54">
        <w:rPr>
          <w:rStyle w:val="normaltextrun"/>
          <w:rFonts w:ascii="Garamond" w:hAnsi="Garamond"/>
          <w:color w:val="000000"/>
          <w:shd w:val="clear" w:color="auto" w:fill="FFFFFF"/>
          <w:lang w:val="en-US"/>
        </w:rPr>
        <w:t xml:space="preserve">Newman considers central to human experience. </w:t>
      </w:r>
      <w:r w:rsidR="00FA68D7">
        <w:rPr>
          <w:rStyle w:val="normaltextrun"/>
          <w:rFonts w:ascii="Garamond" w:hAnsi="Garamond"/>
          <w:color w:val="000000"/>
          <w:shd w:val="clear" w:color="auto" w:fill="FFFFFF"/>
          <w:lang w:val="en-US"/>
        </w:rPr>
        <w:t xml:space="preserve">This </w:t>
      </w:r>
      <w:r w:rsidR="00E3316E">
        <w:rPr>
          <w:rStyle w:val="normaltextrun"/>
          <w:rFonts w:ascii="Garamond" w:hAnsi="Garamond"/>
          <w:color w:val="000000"/>
          <w:shd w:val="clear" w:color="auto" w:fill="FFFFFF"/>
          <w:lang w:val="en-US"/>
        </w:rPr>
        <w:t xml:space="preserve">epistemological resonance between von Daniels and Newman is also </w:t>
      </w:r>
      <w:r w:rsidR="00A3058A">
        <w:rPr>
          <w:rStyle w:val="normaltextrun"/>
          <w:rFonts w:ascii="Garamond" w:hAnsi="Garamond"/>
          <w:color w:val="000000"/>
          <w:shd w:val="clear" w:color="auto" w:fill="FFFFFF"/>
          <w:lang w:val="en-US"/>
        </w:rPr>
        <w:t xml:space="preserve">fruitful </w:t>
      </w:r>
      <w:r w:rsidR="002715DD">
        <w:rPr>
          <w:rStyle w:val="normaltextrun"/>
          <w:rFonts w:ascii="Garamond" w:hAnsi="Garamond"/>
          <w:color w:val="000000"/>
          <w:shd w:val="clear" w:color="auto" w:fill="FFFFFF"/>
          <w:lang w:val="en-US"/>
        </w:rPr>
        <w:t xml:space="preserve">because </w:t>
      </w:r>
      <w:r w:rsidR="00B5597B">
        <w:rPr>
          <w:rStyle w:val="normaltextrun"/>
          <w:rFonts w:ascii="Garamond" w:hAnsi="Garamond"/>
          <w:color w:val="000000"/>
          <w:shd w:val="clear" w:color="auto" w:fill="FFFFFF"/>
          <w:lang w:val="en-US"/>
        </w:rPr>
        <w:t>th</w:t>
      </w:r>
      <w:r w:rsidR="002715DD">
        <w:rPr>
          <w:rStyle w:val="normaltextrun"/>
          <w:rFonts w:ascii="Garamond" w:hAnsi="Garamond"/>
          <w:color w:val="000000"/>
          <w:shd w:val="clear" w:color="auto" w:fill="FFFFFF"/>
          <w:lang w:val="en-US"/>
        </w:rPr>
        <w:t>e</w:t>
      </w:r>
      <w:r w:rsidR="00B5597B">
        <w:rPr>
          <w:rStyle w:val="normaltextrun"/>
          <w:rFonts w:ascii="Garamond" w:hAnsi="Garamond"/>
          <w:color w:val="000000"/>
          <w:shd w:val="clear" w:color="auto" w:fill="FFFFFF"/>
          <w:lang w:val="en-US"/>
        </w:rPr>
        <w:t xml:space="preserve"> same </w:t>
      </w:r>
      <w:r w:rsidR="002715DD">
        <w:rPr>
          <w:rStyle w:val="normaltextrun"/>
          <w:rFonts w:ascii="Garamond" w:hAnsi="Garamond"/>
          <w:color w:val="000000"/>
          <w:shd w:val="clear" w:color="auto" w:fill="FFFFFF"/>
          <w:lang w:val="en-US"/>
        </w:rPr>
        <w:t xml:space="preserve">terrain </w:t>
      </w:r>
      <w:r w:rsidR="00B5597B">
        <w:rPr>
          <w:rStyle w:val="normaltextrun"/>
          <w:rFonts w:ascii="Garamond" w:hAnsi="Garamond"/>
          <w:color w:val="000000"/>
          <w:shd w:val="clear" w:color="auto" w:fill="FFFFFF"/>
          <w:lang w:val="en-US"/>
        </w:rPr>
        <w:t xml:space="preserve">has much lineage in British and English cultural self-understanding. </w:t>
      </w:r>
      <w:r w:rsidR="0013253B">
        <w:rPr>
          <w:rStyle w:val="normaltextrun"/>
          <w:rFonts w:ascii="Garamond" w:hAnsi="Garamond"/>
          <w:color w:val="000000"/>
          <w:shd w:val="clear" w:color="auto" w:fill="FFFFFF"/>
        </w:rPr>
        <w:t>Fuseli commented on the English that their ‘tastes and feelings all go to realities’.</w:t>
      </w:r>
      <w:r w:rsidR="00133C33">
        <w:rPr>
          <w:rStyle w:val="FootnoteReference"/>
          <w:rFonts w:ascii="Garamond" w:hAnsi="Garamond"/>
          <w:color w:val="000000"/>
          <w:shd w:val="clear" w:color="auto" w:fill="FFFFFF"/>
        </w:rPr>
        <w:footnoteReference w:id="24"/>
      </w:r>
      <w:r w:rsidR="0013253B">
        <w:rPr>
          <w:rStyle w:val="normaltextrun"/>
          <w:rFonts w:ascii="Garamond" w:hAnsi="Garamond"/>
          <w:color w:val="000000"/>
          <w:shd w:val="clear" w:color="auto" w:fill="FFFFFF"/>
        </w:rPr>
        <w:t xml:space="preserve"> </w:t>
      </w:r>
      <w:r w:rsidR="00C1698D">
        <w:rPr>
          <w:rStyle w:val="normaltextrun"/>
          <w:rFonts w:ascii="Garamond" w:hAnsi="Garamond"/>
          <w:color w:val="000000"/>
          <w:shd w:val="clear" w:color="auto" w:fill="FFFFFF"/>
        </w:rPr>
        <w:t xml:space="preserve">Stefan </w:t>
      </w:r>
      <w:r w:rsidR="0013253B">
        <w:rPr>
          <w:rStyle w:val="normaltextrun"/>
          <w:rFonts w:ascii="Garamond" w:hAnsi="Garamond"/>
          <w:color w:val="000000"/>
          <w:shd w:val="clear" w:color="auto" w:fill="FFFFFF"/>
        </w:rPr>
        <w:t>Collini speaks of an English ‘disdain for theory’, and E.P. Thompson of the English ‘empirical idiom’ that maintains that ‘[m]inds that thirst for tidy platonism soon become impatient with actual history’.</w:t>
      </w:r>
      <w:r w:rsidR="00133C33">
        <w:rPr>
          <w:rStyle w:val="FootnoteReference"/>
          <w:rFonts w:ascii="Garamond" w:hAnsi="Garamond"/>
          <w:color w:val="000000"/>
          <w:shd w:val="clear" w:color="auto" w:fill="FFFFFF"/>
        </w:rPr>
        <w:footnoteReference w:id="25"/>
      </w:r>
      <w:r w:rsidR="0013253B">
        <w:rPr>
          <w:rStyle w:val="normaltextrun"/>
          <w:rFonts w:ascii="Garamond" w:hAnsi="Garamond"/>
          <w:color w:val="000000"/>
          <w:shd w:val="clear" w:color="auto" w:fill="FFFFFF"/>
        </w:rPr>
        <w:t xml:space="preserve"> We have in this connection also what </w:t>
      </w:r>
      <w:r w:rsidR="00C1698D">
        <w:rPr>
          <w:rStyle w:val="normaltextrun"/>
          <w:rFonts w:ascii="Garamond" w:hAnsi="Garamond"/>
          <w:color w:val="000000"/>
          <w:shd w:val="clear" w:color="auto" w:fill="FFFFFF"/>
        </w:rPr>
        <w:t xml:space="preserve">Matthew </w:t>
      </w:r>
      <w:r w:rsidR="0013253B">
        <w:rPr>
          <w:rStyle w:val="normaltextrun"/>
          <w:rFonts w:ascii="Garamond" w:hAnsi="Garamond"/>
          <w:color w:val="000000"/>
          <w:shd w:val="clear" w:color="auto" w:fill="FFFFFF"/>
        </w:rPr>
        <w:t xml:space="preserve">Arnold </w:t>
      </w:r>
      <w:r w:rsidR="003408E9">
        <w:rPr>
          <w:rStyle w:val="normaltextrun"/>
          <w:rFonts w:ascii="Garamond" w:hAnsi="Garamond"/>
          <w:color w:val="000000"/>
          <w:shd w:val="clear" w:color="auto" w:fill="FFFFFF"/>
        </w:rPr>
        <w:t>contends about an</w:t>
      </w:r>
      <w:r w:rsidR="0013253B">
        <w:rPr>
          <w:rStyle w:val="normaltextrun"/>
          <w:rFonts w:ascii="Garamond" w:hAnsi="Garamond"/>
          <w:color w:val="000000"/>
          <w:shd w:val="clear" w:color="auto" w:fill="FFFFFF"/>
        </w:rPr>
        <w:t xml:space="preserve"> </w:t>
      </w:r>
      <w:r w:rsidR="0044041C">
        <w:rPr>
          <w:rStyle w:val="normaltextrun"/>
          <w:rFonts w:ascii="Garamond" w:hAnsi="Garamond"/>
          <w:color w:val="000000"/>
          <w:shd w:val="clear" w:color="auto" w:fill="FFFFFF"/>
        </w:rPr>
        <w:t xml:space="preserve">English </w:t>
      </w:r>
      <w:r w:rsidR="0013253B">
        <w:rPr>
          <w:rStyle w:val="normaltextrun"/>
          <w:rFonts w:ascii="Garamond" w:hAnsi="Garamond"/>
          <w:color w:val="000000"/>
          <w:shd w:val="clear" w:color="auto" w:fill="FFFFFF"/>
        </w:rPr>
        <w:t>‘empirical genius’, and the tendency of English prose always to avoid ‘abstract learning’ as exemplified in Thomas Browne’s eschewing of any ‘ontology or metaphysic’.</w:t>
      </w:r>
      <w:r w:rsidR="00133C33">
        <w:rPr>
          <w:rStyle w:val="FootnoteReference"/>
          <w:rFonts w:ascii="Garamond" w:hAnsi="Garamond"/>
          <w:color w:val="000000"/>
          <w:shd w:val="clear" w:color="auto" w:fill="FFFFFF"/>
        </w:rPr>
        <w:footnoteReference w:id="26"/>
      </w:r>
      <w:r w:rsidR="0013253B">
        <w:rPr>
          <w:rStyle w:val="normaltextrun"/>
          <w:rFonts w:ascii="Garamond" w:hAnsi="Garamond"/>
          <w:color w:val="000000"/>
          <w:shd w:val="clear" w:color="auto" w:fill="FFFFFF"/>
        </w:rPr>
        <w:t xml:space="preserve"> Indeed, </w:t>
      </w:r>
      <w:r w:rsidR="001F69A5">
        <w:rPr>
          <w:rStyle w:val="normaltextrun"/>
          <w:rFonts w:ascii="Garamond" w:hAnsi="Garamond"/>
          <w:color w:val="000000"/>
          <w:shd w:val="clear" w:color="auto" w:fill="FFFFFF"/>
        </w:rPr>
        <w:t xml:space="preserve">Peter </w:t>
      </w:r>
      <w:r w:rsidR="0013253B">
        <w:rPr>
          <w:rStyle w:val="normaltextrun"/>
          <w:rFonts w:ascii="Garamond" w:hAnsi="Garamond"/>
          <w:color w:val="000000"/>
          <w:shd w:val="clear" w:color="auto" w:fill="FFFFFF"/>
        </w:rPr>
        <w:t xml:space="preserve">Ackroyd connects this with English religion, </w:t>
      </w:r>
      <w:r w:rsidR="00C1698D">
        <w:rPr>
          <w:rStyle w:val="normaltextrun"/>
          <w:rFonts w:ascii="Garamond" w:hAnsi="Garamond"/>
          <w:color w:val="000000"/>
          <w:shd w:val="clear" w:color="auto" w:fill="FFFFFF"/>
        </w:rPr>
        <w:t xml:space="preserve">specifically, </w:t>
      </w:r>
      <w:r w:rsidR="0013253B">
        <w:rPr>
          <w:rStyle w:val="normaltextrun"/>
          <w:rFonts w:ascii="Garamond" w:hAnsi="Garamond"/>
          <w:color w:val="000000"/>
          <w:shd w:val="clear" w:color="auto" w:fill="FFFFFF"/>
        </w:rPr>
        <w:t xml:space="preserve">claiming </w:t>
      </w:r>
      <w:r w:rsidR="00C1698D">
        <w:rPr>
          <w:rStyle w:val="normaltextrun"/>
          <w:rFonts w:ascii="Garamond" w:hAnsi="Garamond"/>
          <w:color w:val="000000"/>
          <w:shd w:val="clear" w:color="auto" w:fill="FFFFFF"/>
        </w:rPr>
        <w:t xml:space="preserve">it </w:t>
      </w:r>
      <w:r w:rsidR="0013253B">
        <w:rPr>
          <w:rStyle w:val="normaltextrun"/>
          <w:rFonts w:ascii="Garamond" w:hAnsi="Garamond"/>
          <w:color w:val="000000"/>
          <w:shd w:val="clear" w:color="auto" w:fill="FFFFFF"/>
        </w:rPr>
        <w:t>explains why there ‘has never been in England a tradition of theological speculation in the manner of an Augustine or an Aquinas’.</w:t>
      </w:r>
      <w:r w:rsidR="00133C33">
        <w:rPr>
          <w:rStyle w:val="FootnoteReference"/>
          <w:rFonts w:ascii="Garamond" w:hAnsi="Garamond"/>
          <w:color w:val="000000"/>
          <w:shd w:val="clear" w:color="auto" w:fill="FFFFFF"/>
        </w:rPr>
        <w:footnoteReference w:id="27"/>
      </w:r>
    </w:p>
    <w:p w14:paraId="49995DB5" w14:textId="77777777" w:rsidR="00A001E4" w:rsidRDefault="00A001E4" w:rsidP="007B2893">
      <w:pPr>
        <w:pStyle w:val="paragraph"/>
        <w:spacing w:before="0" w:beforeAutospacing="0" w:after="0" w:afterAutospacing="0"/>
        <w:jc w:val="both"/>
        <w:textAlignment w:val="baseline"/>
        <w:rPr>
          <w:rStyle w:val="eop"/>
          <w:rFonts w:ascii="Garamond" w:hAnsi="Garamond"/>
          <w:color w:val="000000"/>
          <w:shd w:val="clear" w:color="auto" w:fill="FFFFFF"/>
        </w:rPr>
      </w:pPr>
    </w:p>
    <w:p w14:paraId="0B63F988" w14:textId="5D3507EE" w:rsidR="005D59B7" w:rsidRDefault="00C1698D" w:rsidP="007B2893">
      <w:pPr>
        <w:pStyle w:val="paragraph"/>
        <w:spacing w:before="0" w:beforeAutospacing="0" w:after="0" w:afterAutospacing="0"/>
        <w:jc w:val="both"/>
        <w:textAlignment w:val="baseline"/>
        <w:rPr>
          <w:rStyle w:val="eop"/>
          <w:rFonts w:ascii="Garamond" w:hAnsi="Garamond"/>
          <w:color w:val="000000"/>
          <w:shd w:val="clear" w:color="auto" w:fill="FFFFFF"/>
        </w:rPr>
      </w:pPr>
      <w:r>
        <w:rPr>
          <w:rStyle w:val="eop"/>
          <w:rFonts w:ascii="Garamond" w:hAnsi="Garamond"/>
          <w:color w:val="000000"/>
          <w:shd w:val="clear" w:color="auto" w:fill="FFFFFF"/>
        </w:rPr>
        <w:t xml:space="preserve">All </w:t>
      </w:r>
      <w:r w:rsidR="00A001E4">
        <w:rPr>
          <w:rStyle w:val="eop"/>
          <w:rFonts w:ascii="Garamond" w:hAnsi="Garamond"/>
          <w:color w:val="000000"/>
          <w:shd w:val="clear" w:color="auto" w:fill="FFFFFF"/>
        </w:rPr>
        <w:t>t</w:t>
      </w:r>
      <w:r w:rsidR="0013253B">
        <w:rPr>
          <w:rStyle w:val="eop"/>
          <w:rFonts w:ascii="Garamond" w:hAnsi="Garamond"/>
          <w:color w:val="000000"/>
          <w:shd w:val="clear" w:color="auto" w:fill="FFFFFF"/>
        </w:rPr>
        <w:t xml:space="preserve">his is </w:t>
      </w:r>
      <w:r>
        <w:rPr>
          <w:rStyle w:val="eop"/>
          <w:rFonts w:ascii="Garamond" w:hAnsi="Garamond"/>
          <w:color w:val="000000"/>
          <w:shd w:val="clear" w:color="auto" w:fill="FFFFFF"/>
        </w:rPr>
        <w:t xml:space="preserve">worth </w:t>
      </w:r>
      <w:r w:rsidR="0044041C">
        <w:rPr>
          <w:rStyle w:val="eop"/>
          <w:rFonts w:ascii="Garamond" w:hAnsi="Garamond"/>
          <w:color w:val="000000"/>
          <w:shd w:val="clear" w:color="auto" w:fill="FFFFFF"/>
        </w:rPr>
        <w:t>p</w:t>
      </w:r>
      <w:r>
        <w:rPr>
          <w:rStyle w:val="eop"/>
          <w:rFonts w:ascii="Garamond" w:hAnsi="Garamond"/>
          <w:color w:val="000000"/>
          <w:shd w:val="clear" w:color="auto" w:fill="FFFFFF"/>
        </w:rPr>
        <w:t xml:space="preserve">ondering, I suggest, </w:t>
      </w:r>
      <w:r w:rsidR="0013253B">
        <w:rPr>
          <w:rStyle w:val="eop"/>
          <w:rFonts w:ascii="Garamond" w:hAnsi="Garamond"/>
          <w:color w:val="000000"/>
          <w:shd w:val="clear" w:color="auto" w:fill="FFFFFF"/>
        </w:rPr>
        <w:t xml:space="preserve">not only because it shows how </w:t>
      </w:r>
      <w:r w:rsidR="0095580F">
        <w:rPr>
          <w:rStyle w:val="eop"/>
          <w:rFonts w:ascii="Garamond" w:hAnsi="Garamond"/>
          <w:color w:val="000000"/>
          <w:shd w:val="clear" w:color="auto" w:fill="FFFFFF"/>
        </w:rPr>
        <w:t xml:space="preserve">justifications of the </w:t>
      </w:r>
      <w:r w:rsidR="00133C33">
        <w:rPr>
          <w:rStyle w:val="eop"/>
          <w:rFonts w:ascii="Garamond" w:hAnsi="Garamond"/>
          <w:color w:val="000000"/>
          <w:shd w:val="clear" w:color="auto" w:fill="FFFFFF"/>
        </w:rPr>
        <w:t>m</w:t>
      </w:r>
      <w:r w:rsidR="0013253B">
        <w:rPr>
          <w:rStyle w:val="eop"/>
          <w:rFonts w:ascii="Garamond" w:hAnsi="Garamond"/>
          <w:color w:val="000000"/>
          <w:shd w:val="clear" w:color="auto" w:fill="FFFFFF"/>
        </w:rPr>
        <w:t>onarchy</w:t>
      </w:r>
      <w:r w:rsidR="0095580F">
        <w:rPr>
          <w:rStyle w:val="eop"/>
          <w:rFonts w:ascii="Garamond" w:hAnsi="Garamond"/>
          <w:color w:val="000000"/>
          <w:shd w:val="clear" w:color="auto" w:fill="FFFFFF"/>
        </w:rPr>
        <w:t xml:space="preserve"> closely relate to the cultural self-understanding of Britain</w:t>
      </w:r>
      <w:r w:rsidR="0013253B">
        <w:rPr>
          <w:rStyle w:val="eop"/>
          <w:rFonts w:ascii="Garamond" w:hAnsi="Garamond"/>
          <w:color w:val="000000"/>
          <w:shd w:val="clear" w:color="auto" w:fill="FFFFFF"/>
        </w:rPr>
        <w:t xml:space="preserve">, but also because it </w:t>
      </w:r>
      <w:r w:rsidR="00B54924">
        <w:rPr>
          <w:rStyle w:val="eop"/>
          <w:rFonts w:ascii="Garamond" w:hAnsi="Garamond"/>
          <w:color w:val="000000"/>
          <w:shd w:val="clear" w:color="auto" w:fill="FFFFFF"/>
        </w:rPr>
        <w:t>relates back to Christianity itself</w:t>
      </w:r>
      <w:r w:rsidR="001F69A5">
        <w:rPr>
          <w:rStyle w:val="eop"/>
          <w:rFonts w:ascii="Garamond" w:hAnsi="Garamond"/>
          <w:color w:val="000000"/>
          <w:shd w:val="clear" w:color="auto" w:fill="FFFFFF"/>
        </w:rPr>
        <w:t>, again</w:t>
      </w:r>
      <w:r w:rsidR="00B54924">
        <w:rPr>
          <w:rStyle w:val="eop"/>
          <w:rFonts w:ascii="Garamond" w:hAnsi="Garamond"/>
          <w:color w:val="000000"/>
          <w:shd w:val="clear" w:color="auto" w:fill="FFFFFF"/>
        </w:rPr>
        <w:t xml:space="preserve">. </w:t>
      </w:r>
      <w:r w:rsidR="00435E90">
        <w:rPr>
          <w:rStyle w:val="eop"/>
          <w:rFonts w:ascii="Garamond" w:hAnsi="Garamond"/>
          <w:color w:val="000000"/>
          <w:shd w:val="clear" w:color="auto" w:fill="FFFFFF"/>
        </w:rPr>
        <w:t>O</w:t>
      </w:r>
      <w:r w:rsidR="0013253B">
        <w:rPr>
          <w:rStyle w:val="eop"/>
          <w:rFonts w:ascii="Garamond" w:hAnsi="Garamond"/>
          <w:color w:val="000000"/>
          <w:shd w:val="clear" w:color="auto" w:fill="FFFFFF"/>
        </w:rPr>
        <w:t xml:space="preserve">ne might even </w:t>
      </w:r>
      <w:r w:rsidR="007406CE">
        <w:rPr>
          <w:rStyle w:val="eop"/>
          <w:rFonts w:ascii="Garamond" w:hAnsi="Garamond"/>
          <w:color w:val="000000"/>
          <w:shd w:val="clear" w:color="auto" w:fill="FFFFFF"/>
        </w:rPr>
        <w:t>extend N</w:t>
      </w:r>
      <w:r w:rsidR="0044041C">
        <w:rPr>
          <w:rStyle w:val="eop"/>
          <w:rFonts w:ascii="Garamond" w:hAnsi="Garamond"/>
          <w:color w:val="000000"/>
          <w:shd w:val="clear" w:color="auto" w:fill="FFFFFF"/>
        </w:rPr>
        <w:t>ewman</w:t>
      </w:r>
      <w:r w:rsidR="007406CE">
        <w:rPr>
          <w:rStyle w:val="eop"/>
          <w:rFonts w:ascii="Garamond" w:hAnsi="Garamond"/>
          <w:color w:val="000000"/>
          <w:shd w:val="clear" w:color="auto" w:fill="FFFFFF"/>
        </w:rPr>
        <w:t xml:space="preserve">’s reasoning </w:t>
      </w:r>
      <w:r w:rsidR="0044041C">
        <w:rPr>
          <w:rStyle w:val="eop"/>
          <w:rFonts w:ascii="Garamond" w:hAnsi="Garamond"/>
          <w:color w:val="000000"/>
          <w:shd w:val="clear" w:color="auto" w:fill="FFFFFF"/>
        </w:rPr>
        <w:t xml:space="preserve">to argue that </w:t>
      </w:r>
      <w:r w:rsidR="0013253B">
        <w:rPr>
          <w:rStyle w:val="eop"/>
          <w:rFonts w:ascii="Garamond" w:hAnsi="Garamond"/>
          <w:color w:val="000000"/>
          <w:shd w:val="clear" w:color="auto" w:fill="FFFFFF"/>
        </w:rPr>
        <w:t>this-worldliness of the English idiom offers an ‘antecedent</w:t>
      </w:r>
      <w:r w:rsidR="007B2893">
        <w:rPr>
          <w:rStyle w:val="eop"/>
          <w:rFonts w:ascii="Garamond" w:hAnsi="Garamond"/>
          <w:color w:val="000000"/>
          <w:shd w:val="clear" w:color="auto" w:fill="FFFFFF"/>
        </w:rPr>
        <w:t xml:space="preserve"> </w:t>
      </w:r>
      <w:r w:rsidR="0013253B">
        <w:rPr>
          <w:rStyle w:val="eop"/>
          <w:rFonts w:ascii="Garamond" w:hAnsi="Garamond"/>
          <w:color w:val="000000"/>
          <w:shd w:val="clear" w:color="auto" w:fill="FFFFFF"/>
        </w:rPr>
        <w:t xml:space="preserve">affinity’ </w:t>
      </w:r>
      <w:r w:rsidR="0044041C">
        <w:rPr>
          <w:rStyle w:val="eop"/>
          <w:rFonts w:ascii="Garamond" w:hAnsi="Garamond"/>
          <w:color w:val="000000"/>
          <w:shd w:val="clear" w:color="auto" w:fill="FFFFFF"/>
        </w:rPr>
        <w:t>with</w:t>
      </w:r>
      <w:r w:rsidR="0013253B">
        <w:rPr>
          <w:rStyle w:val="eop"/>
          <w:rFonts w:ascii="Garamond" w:hAnsi="Garamond"/>
          <w:color w:val="000000"/>
          <w:shd w:val="clear" w:color="auto" w:fill="FFFFFF"/>
        </w:rPr>
        <w:t xml:space="preserve"> the this-wor</w:t>
      </w:r>
      <w:r w:rsidR="007B2893">
        <w:rPr>
          <w:rStyle w:val="eop"/>
          <w:rFonts w:ascii="Garamond" w:hAnsi="Garamond"/>
          <w:color w:val="000000"/>
          <w:shd w:val="clear" w:color="auto" w:fill="FFFFFF"/>
        </w:rPr>
        <w:t>l</w:t>
      </w:r>
      <w:r w:rsidR="0013253B">
        <w:rPr>
          <w:rStyle w:val="eop"/>
          <w:rFonts w:ascii="Garamond" w:hAnsi="Garamond"/>
          <w:color w:val="000000"/>
          <w:shd w:val="clear" w:color="auto" w:fill="FFFFFF"/>
        </w:rPr>
        <w:t xml:space="preserve">dliness of </w:t>
      </w:r>
      <w:r w:rsidR="00A001E4">
        <w:rPr>
          <w:rStyle w:val="eop"/>
          <w:rFonts w:ascii="Garamond" w:hAnsi="Garamond"/>
          <w:color w:val="000000"/>
          <w:shd w:val="clear" w:color="auto" w:fill="FFFFFF"/>
        </w:rPr>
        <w:t>C</w:t>
      </w:r>
      <w:r w:rsidR="0013253B">
        <w:rPr>
          <w:rStyle w:val="eop"/>
          <w:rFonts w:ascii="Garamond" w:hAnsi="Garamond"/>
          <w:color w:val="000000"/>
          <w:shd w:val="clear" w:color="auto" w:fill="FFFFFF"/>
        </w:rPr>
        <w:t>hristianity</w:t>
      </w:r>
      <w:r w:rsidR="007B2893">
        <w:rPr>
          <w:rStyle w:val="eop"/>
          <w:rFonts w:ascii="Garamond" w:hAnsi="Garamond"/>
          <w:color w:val="000000"/>
          <w:shd w:val="clear" w:color="auto" w:fill="FFFFFF"/>
        </w:rPr>
        <w:t xml:space="preserve">, </w:t>
      </w:r>
      <w:r w:rsidR="0044041C">
        <w:rPr>
          <w:rStyle w:val="eop"/>
          <w:rFonts w:ascii="Garamond" w:hAnsi="Garamond"/>
          <w:color w:val="000000"/>
          <w:shd w:val="clear" w:color="auto" w:fill="FFFFFF"/>
        </w:rPr>
        <w:t xml:space="preserve">a </w:t>
      </w:r>
      <w:r w:rsidR="00435E90">
        <w:rPr>
          <w:rStyle w:val="eop"/>
          <w:rFonts w:ascii="Garamond" w:hAnsi="Garamond"/>
          <w:color w:val="000000"/>
          <w:shd w:val="clear" w:color="auto" w:fill="FFFFFF"/>
        </w:rPr>
        <w:t>Christianity</w:t>
      </w:r>
      <w:r w:rsidR="0044041C">
        <w:rPr>
          <w:rStyle w:val="eop"/>
          <w:rFonts w:ascii="Garamond" w:hAnsi="Garamond"/>
          <w:color w:val="000000"/>
          <w:shd w:val="clear" w:color="auto" w:fill="FFFFFF"/>
        </w:rPr>
        <w:t xml:space="preserve"> of I</w:t>
      </w:r>
      <w:r w:rsidR="007B2893">
        <w:rPr>
          <w:rStyle w:val="eop"/>
          <w:rFonts w:ascii="Garamond" w:hAnsi="Garamond"/>
          <w:color w:val="000000"/>
          <w:shd w:val="clear" w:color="auto" w:fill="FFFFFF"/>
        </w:rPr>
        <w:t>ncarnation</w:t>
      </w:r>
      <w:r w:rsidR="0044041C">
        <w:rPr>
          <w:rStyle w:val="eop"/>
          <w:rFonts w:ascii="Garamond" w:hAnsi="Garamond"/>
          <w:color w:val="000000"/>
          <w:shd w:val="clear" w:color="auto" w:fill="FFFFFF"/>
        </w:rPr>
        <w:t xml:space="preserve">, of Church, </w:t>
      </w:r>
      <w:r w:rsidR="007B2893">
        <w:rPr>
          <w:rStyle w:val="eop"/>
          <w:rFonts w:ascii="Garamond" w:hAnsi="Garamond"/>
          <w:color w:val="000000"/>
          <w:shd w:val="clear" w:color="auto" w:fill="FFFFFF"/>
        </w:rPr>
        <w:t xml:space="preserve">and </w:t>
      </w:r>
      <w:r w:rsidR="0044041C">
        <w:rPr>
          <w:rStyle w:val="eop"/>
          <w:rFonts w:ascii="Garamond" w:hAnsi="Garamond"/>
          <w:color w:val="000000"/>
          <w:shd w:val="clear" w:color="auto" w:fill="FFFFFF"/>
        </w:rPr>
        <w:t>of S</w:t>
      </w:r>
      <w:r w:rsidR="007B2893">
        <w:rPr>
          <w:rStyle w:val="eop"/>
          <w:rFonts w:ascii="Garamond" w:hAnsi="Garamond"/>
          <w:color w:val="000000"/>
          <w:shd w:val="clear" w:color="auto" w:fill="FFFFFF"/>
        </w:rPr>
        <w:t xml:space="preserve">acrament, particularly. </w:t>
      </w:r>
      <w:r w:rsidR="0016044C">
        <w:rPr>
          <w:rStyle w:val="eop"/>
          <w:rFonts w:ascii="Garamond" w:hAnsi="Garamond"/>
          <w:color w:val="000000"/>
          <w:shd w:val="clear" w:color="auto" w:fill="FFFFFF"/>
        </w:rPr>
        <w:t>I</w:t>
      </w:r>
      <w:r w:rsidR="007B2893">
        <w:rPr>
          <w:rStyle w:val="eop"/>
          <w:rFonts w:ascii="Garamond" w:hAnsi="Garamond"/>
          <w:color w:val="000000"/>
          <w:shd w:val="clear" w:color="auto" w:fill="FFFFFF"/>
        </w:rPr>
        <w:t xml:space="preserve">nsofar as the justification of monarchy </w:t>
      </w:r>
      <w:r w:rsidR="0044041C">
        <w:rPr>
          <w:rStyle w:val="eop"/>
          <w:rFonts w:ascii="Garamond" w:hAnsi="Garamond"/>
          <w:color w:val="000000"/>
          <w:shd w:val="clear" w:color="auto" w:fill="FFFFFF"/>
        </w:rPr>
        <w:t xml:space="preserve">then proceeds </w:t>
      </w:r>
      <w:r w:rsidR="007B2893">
        <w:rPr>
          <w:rStyle w:val="eop"/>
          <w:rFonts w:ascii="Garamond" w:hAnsi="Garamond"/>
          <w:color w:val="000000"/>
          <w:shd w:val="clear" w:color="auto" w:fill="FFFFFF"/>
        </w:rPr>
        <w:t xml:space="preserve">in </w:t>
      </w:r>
      <w:r w:rsidR="001B0D87">
        <w:rPr>
          <w:rStyle w:val="eop"/>
          <w:rFonts w:ascii="Garamond" w:hAnsi="Garamond"/>
          <w:color w:val="000000"/>
          <w:shd w:val="clear" w:color="auto" w:fill="FFFFFF"/>
        </w:rPr>
        <w:t xml:space="preserve">a </w:t>
      </w:r>
      <w:r w:rsidR="007B2893">
        <w:rPr>
          <w:rStyle w:val="eop"/>
          <w:rFonts w:ascii="Garamond" w:hAnsi="Garamond"/>
          <w:color w:val="000000"/>
          <w:shd w:val="clear" w:color="auto" w:fill="FFFFFF"/>
        </w:rPr>
        <w:t xml:space="preserve">this-worldly way, </w:t>
      </w:r>
      <w:r w:rsidR="0044041C">
        <w:rPr>
          <w:rStyle w:val="eop"/>
          <w:rFonts w:ascii="Garamond" w:hAnsi="Garamond"/>
          <w:color w:val="000000"/>
          <w:shd w:val="clear" w:color="auto" w:fill="FFFFFF"/>
        </w:rPr>
        <w:t xml:space="preserve">the </w:t>
      </w:r>
      <w:r w:rsidR="001B0D87">
        <w:rPr>
          <w:rStyle w:val="eop"/>
          <w:rFonts w:ascii="Garamond" w:hAnsi="Garamond"/>
          <w:color w:val="000000"/>
          <w:shd w:val="clear" w:color="auto" w:fill="FFFFFF"/>
        </w:rPr>
        <w:t xml:space="preserve">contemporary </w:t>
      </w:r>
      <w:r w:rsidR="0044041C">
        <w:rPr>
          <w:rStyle w:val="eop"/>
          <w:rFonts w:ascii="Garamond" w:hAnsi="Garamond"/>
          <w:color w:val="000000"/>
          <w:shd w:val="clear" w:color="auto" w:fill="FFFFFF"/>
        </w:rPr>
        <w:t xml:space="preserve">Catholic appreciation of the monarchy </w:t>
      </w:r>
      <w:r w:rsidR="001B0D87">
        <w:rPr>
          <w:rStyle w:val="eop"/>
          <w:rFonts w:ascii="Garamond" w:hAnsi="Garamond"/>
          <w:color w:val="000000"/>
          <w:shd w:val="clear" w:color="auto" w:fill="FFFFFF"/>
        </w:rPr>
        <w:t xml:space="preserve">need not look to </w:t>
      </w:r>
      <w:r w:rsidR="007B2893">
        <w:rPr>
          <w:rStyle w:val="eop"/>
          <w:rFonts w:ascii="Garamond" w:hAnsi="Garamond"/>
          <w:color w:val="000000"/>
          <w:shd w:val="clear" w:color="auto" w:fill="FFFFFF"/>
        </w:rPr>
        <w:t>a restrained view of monarchical governance like th</w:t>
      </w:r>
      <w:r w:rsidR="00731F4E">
        <w:rPr>
          <w:rStyle w:val="eop"/>
          <w:rFonts w:ascii="Garamond" w:hAnsi="Garamond"/>
          <w:color w:val="000000"/>
          <w:shd w:val="clear" w:color="auto" w:fill="FFFFFF"/>
        </w:rPr>
        <w:t>ose</w:t>
      </w:r>
      <w:r w:rsidR="007B2893">
        <w:rPr>
          <w:rStyle w:val="eop"/>
          <w:rFonts w:ascii="Garamond" w:hAnsi="Garamond"/>
          <w:color w:val="000000"/>
          <w:shd w:val="clear" w:color="auto" w:fill="FFFFFF"/>
        </w:rPr>
        <w:t xml:space="preserve"> liberal justifications that von Daniel</w:t>
      </w:r>
      <w:r w:rsidR="00A001E4">
        <w:rPr>
          <w:rStyle w:val="eop"/>
          <w:rFonts w:ascii="Garamond" w:hAnsi="Garamond"/>
          <w:color w:val="000000"/>
          <w:shd w:val="clear" w:color="auto" w:fill="FFFFFF"/>
        </w:rPr>
        <w:t>s</w:t>
      </w:r>
      <w:r w:rsidR="007B2893">
        <w:rPr>
          <w:rStyle w:val="eop"/>
          <w:rFonts w:ascii="Garamond" w:hAnsi="Garamond"/>
          <w:color w:val="000000"/>
          <w:shd w:val="clear" w:color="auto" w:fill="FFFFFF"/>
        </w:rPr>
        <w:t xml:space="preserve"> </w:t>
      </w:r>
      <w:r w:rsidR="00A001E4">
        <w:rPr>
          <w:rStyle w:val="eop"/>
          <w:rFonts w:ascii="Garamond" w:hAnsi="Garamond"/>
          <w:color w:val="000000"/>
          <w:shd w:val="clear" w:color="auto" w:fill="FFFFFF"/>
        </w:rPr>
        <w:t>shows are ultimately unsuccessful</w:t>
      </w:r>
      <w:r w:rsidR="0016044C">
        <w:rPr>
          <w:rStyle w:val="eop"/>
          <w:rFonts w:ascii="Garamond" w:hAnsi="Garamond"/>
          <w:color w:val="000000"/>
          <w:shd w:val="clear" w:color="auto" w:fill="FFFFFF"/>
        </w:rPr>
        <w:t>, but toward a Monarchy that is explicit</w:t>
      </w:r>
      <w:r w:rsidR="00242319">
        <w:rPr>
          <w:rStyle w:val="eop"/>
          <w:rFonts w:ascii="Garamond" w:hAnsi="Garamond"/>
          <w:color w:val="000000"/>
          <w:shd w:val="clear" w:color="auto" w:fill="FFFFFF"/>
        </w:rPr>
        <w:t xml:space="preserve"> on the question of its Christian faith. </w:t>
      </w:r>
      <w:r w:rsidR="00A001E4">
        <w:rPr>
          <w:rStyle w:val="eop"/>
          <w:rFonts w:ascii="Garamond" w:hAnsi="Garamond"/>
          <w:color w:val="000000"/>
          <w:shd w:val="clear" w:color="auto" w:fill="FFFFFF"/>
        </w:rPr>
        <w:t xml:space="preserve"> </w:t>
      </w:r>
    </w:p>
    <w:p w14:paraId="20288FDA" w14:textId="77777777" w:rsidR="00840A20" w:rsidRDefault="00840A20" w:rsidP="007B2893">
      <w:pPr>
        <w:pStyle w:val="paragraph"/>
        <w:spacing w:before="0" w:beforeAutospacing="0" w:after="0" w:afterAutospacing="0"/>
        <w:jc w:val="both"/>
        <w:textAlignment w:val="baseline"/>
        <w:rPr>
          <w:rStyle w:val="eop"/>
          <w:rFonts w:ascii="Garamond" w:hAnsi="Garamond"/>
          <w:color w:val="000000"/>
          <w:shd w:val="clear" w:color="auto" w:fill="FFFFFF"/>
        </w:rPr>
      </w:pPr>
    </w:p>
    <w:p w14:paraId="18B088C8" w14:textId="77777777" w:rsidR="00840A20" w:rsidRDefault="00840A20" w:rsidP="007B2893">
      <w:pPr>
        <w:pStyle w:val="paragraph"/>
        <w:spacing w:before="0" w:beforeAutospacing="0" w:after="0" w:afterAutospacing="0"/>
        <w:jc w:val="both"/>
        <w:textAlignment w:val="baseline"/>
        <w:rPr>
          <w:rStyle w:val="eop"/>
          <w:rFonts w:ascii="Garamond" w:hAnsi="Garamond"/>
          <w:color w:val="000000"/>
          <w:shd w:val="clear" w:color="auto" w:fill="FFFFFF"/>
        </w:rPr>
      </w:pPr>
    </w:p>
    <w:p w14:paraId="7E176E47" w14:textId="63EEA1C9" w:rsidR="00840A20" w:rsidRDefault="00840A20">
      <w:pPr>
        <w:rPr>
          <w:rStyle w:val="eop"/>
          <w:rFonts w:ascii="Garamond" w:eastAsia="Times New Roman" w:hAnsi="Garamond" w:cs="Times New Roman"/>
          <w:color w:val="000000"/>
          <w:sz w:val="24"/>
          <w:szCs w:val="24"/>
          <w:shd w:val="clear" w:color="auto" w:fill="FFFFFF"/>
          <w:lang w:eastAsia="en-GB"/>
        </w:rPr>
      </w:pPr>
      <w:r>
        <w:rPr>
          <w:rStyle w:val="eop"/>
          <w:rFonts w:ascii="Garamond" w:hAnsi="Garamond"/>
          <w:color w:val="000000"/>
          <w:shd w:val="clear" w:color="auto" w:fill="FFFFFF"/>
        </w:rPr>
        <w:br w:type="page"/>
      </w:r>
    </w:p>
    <w:p w14:paraId="2368CE62" w14:textId="07713C7B" w:rsidR="003130B5" w:rsidRPr="00945E9B" w:rsidRDefault="00945E9B" w:rsidP="007B2893">
      <w:pPr>
        <w:pStyle w:val="paragraph"/>
        <w:spacing w:before="0" w:beforeAutospacing="0" w:after="0" w:afterAutospacing="0"/>
        <w:jc w:val="both"/>
        <w:textAlignment w:val="baseline"/>
        <w:rPr>
          <w:rStyle w:val="eop"/>
          <w:rFonts w:ascii="Garamond" w:hAnsi="Garamond"/>
          <w:color w:val="000000"/>
          <w:u w:val="single"/>
          <w:shd w:val="clear" w:color="auto" w:fill="FFFFFF"/>
        </w:rPr>
      </w:pPr>
      <w:r w:rsidRPr="00945E9B">
        <w:rPr>
          <w:rStyle w:val="eop"/>
          <w:rFonts w:ascii="Garamond" w:hAnsi="Garamond"/>
          <w:color w:val="000000"/>
          <w:u w:val="single"/>
          <w:shd w:val="clear" w:color="auto" w:fill="FFFFFF"/>
        </w:rPr>
        <w:lastRenderedPageBreak/>
        <w:t>Bibliography</w:t>
      </w:r>
    </w:p>
    <w:p w14:paraId="65B27350" w14:textId="77777777" w:rsidR="003130B5" w:rsidRDefault="003130B5" w:rsidP="007B2893">
      <w:pPr>
        <w:pStyle w:val="paragraph"/>
        <w:spacing w:before="0" w:beforeAutospacing="0" w:after="0" w:afterAutospacing="0"/>
        <w:jc w:val="both"/>
        <w:textAlignment w:val="baseline"/>
        <w:rPr>
          <w:rStyle w:val="eop"/>
          <w:rFonts w:ascii="Garamond" w:hAnsi="Garamond"/>
          <w:color w:val="000000"/>
          <w:shd w:val="clear" w:color="auto" w:fill="FFFFFF"/>
        </w:rPr>
      </w:pPr>
    </w:p>
    <w:p w14:paraId="7E4AACCA" w14:textId="6E41DA2A" w:rsidR="00AB051D" w:rsidRDefault="00AB051D" w:rsidP="007B2893">
      <w:pPr>
        <w:pStyle w:val="paragraph"/>
        <w:spacing w:before="0" w:beforeAutospacing="0" w:after="0" w:afterAutospacing="0"/>
        <w:jc w:val="both"/>
        <w:textAlignment w:val="baseline"/>
        <w:rPr>
          <w:sz w:val="22"/>
          <w:szCs w:val="22"/>
        </w:rPr>
      </w:pPr>
      <w:r w:rsidRPr="00867AE9">
        <w:rPr>
          <w:sz w:val="22"/>
          <w:szCs w:val="22"/>
        </w:rPr>
        <w:t xml:space="preserve">Ackroyd, </w:t>
      </w:r>
      <w:r>
        <w:rPr>
          <w:sz w:val="22"/>
          <w:szCs w:val="22"/>
        </w:rPr>
        <w:t xml:space="preserve">Peter, </w:t>
      </w:r>
      <w:r w:rsidRPr="00867AE9">
        <w:rPr>
          <w:i/>
          <w:sz w:val="22"/>
          <w:szCs w:val="22"/>
        </w:rPr>
        <w:t>Albion: The Origins of the English Imagination</w:t>
      </w:r>
      <w:r w:rsidRPr="00867AE9">
        <w:rPr>
          <w:sz w:val="22"/>
          <w:szCs w:val="22"/>
        </w:rPr>
        <w:t>, (London: Vintage Press, 2004)</w:t>
      </w:r>
    </w:p>
    <w:p w14:paraId="03EFE6A8" w14:textId="77777777" w:rsidR="00AB051D" w:rsidRDefault="00AB051D" w:rsidP="007B2893">
      <w:pPr>
        <w:pStyle w:val="paragraph"/>
        <w:spacing w:before="0" w:beforeAutospacing="0" w:after="0" w:afterAutospacing="0"/>
        <w:jc w:val="both"/>
        <w:textAlignment w:val="baseline"/>
        <w:rPr>
          <w:sz w:val="22"/>
          <w:szCs w:val="22"/>
        </w:rPr>
      </w:pPr>
    </w:p>
    <w:p w14:paraId="48469C37" w14:textId="15DDEFF1" w:rsidR="00945E9B" w:rsidRDefault="00E2049D" w:rsidP="007B2893">
      <w:pPr>
        <w:pStyle w:val="paragraph"/>
        <w:spacing w:before="0" w:beforeAutospacing="0" w:after="0" w:afterAutospacing="0"/>
        <w:jc w:val="both"/>
        <w:textAlignment w:val="baseline"/>
        <w:rPr>
          <w:sz w:val="22"/>
          <w:szCs w:val="22"/>
        </w:rPr>
      </w:pPr>
      <w:r w:rsidRPr="00867AE9">
        <w:rPr>
          <w:sz w:val="22"/>
          <w:szCs w:val="22"/>
        </w:rPr>
        <w:t>Bourdin</w:t>
      </w:r>
      <w:r>
        <w:rPr>
          <w:sz w:val="22"/>
          <w:szCs w:val="22"/>
        </w:rPr>
        <w:t xml:space="preserve">, Bernard, </w:t>
      </w:r>
      <w:r w:rsidRPr="00867AE9">
        <w:rPr>
          <w:i/>
          <w:iCs/>
          <w:sz w:val="22"/>
          <w:szCs w:val="22"/>
        </w:rPr>
        <w:t>The Theological-Political Origins of the Modern State: The Controversy between James I of England and Cardinal Bellarmine</w:t>
      </w:r>
      <w:r w:rsidRPr="00867AE9">
        <w:rPr>
          <w:sz w:val="22"/>
          <w:szCs w:val="22"/>
        </w:rPr>
        <w:t>, translated by Susan Pickford (Washington, DC: The Catholic University of America Press, 2010</w:t>
      </w:r>
      <w:r>
        <w:rPr>
          <w:sz w:val="22"/>
          <w:szCs w:val="22"/>
        </w:rPr>
        <w:t>)</w:t>
      </w:r>
    </w:p>
    <w:p w14:paraId="4087FD6D" w14:textId="77777777" w:rsidR="00E2049D" w:rsidRDefault="00E2049D" w:rsidP="007B2893">
      <w:pPr>
        <w:pStyle w:val="paragraph"/>
        <w:spacing w:before="0" w:beforeAutospacing="0" w:after="0" w:afterAutospacing="0"/>
        <w:jc w:val="both"/>
        <w:textAlignment w:val="baseline"/>
        <w:rPr>
          <w:sz w:val="22"/>
          <w:szCs w:val="22"/>
        </w:rPr>
      </w:pPr>
    </w:p>
    <w:p w14:paraId="1A635357" w14:textId="74216838" w:rsidR="00E2049D" w:rsidRDefault="00E2049D" w:rsidP="007B2893">
      <w:pPr>
        <w:pStyle w:val="paragraph"/>
        <w:spacing w:before="0" w:beforeAutospacing="0" w:after="0" w:afterAutospacing="0"/>
        <w:jc w:val="both"/>
        <w:textAlignment w:val="baseline"/>
        <w:rPr>
          <w:sz w:val="22"/>
          <w:szCs w:val="22"/>
        </w:rPr>
      </w:pPr>
      <w:r w:rsidRPr="00867AE9">
        <w:rPr>
          <w:sz w:val="22"/>
          <w:szCs w:val="22"/>
        </w:rPr>
        <w:t xml:space="preserve">von Daniels, </w:t>
      </w:r>
      <w:r>
        <w:rPr>
          <w:sz w:val="22"/>
          <w:szCs w:val="22"/>
        </w:rPr>
        <w:t xml:space="preserve">Detlef, </w:t>
      </w:r>
      <w:r w:rsidRPr="00867AE9">
        <w:rPr>
          <w:sz w:val="22"/>
          <w:szCs w:val="22"/>
        </w:rPr>
        <w:t xml:space="preserve">‘On Monarchy’, in </w:t>
      </w:r>
      <w:r w:rsidRPr="00867AE9">
        <w:rPr>
          <w:i/>
          <w:iCs/>
          <w:sz w:val="22"/>
          <w:szCs w:val="22"/>
        </w:rPr>
        <w:t>Critical Review of International Social and Political Philosophy</w:t>
      </w:r>
      <w:r w:rsidRPr="00867AE9">
        <w:rPr>
          <w:sz w:val="22"/>
          <w:szCs w:val="22"/>
        </w:rPr>
        <w:t>, vol. 21, Issue 4, pp. 456-477</w:t>
      </w:r>
    </w:p>
    <w:p w14:paraId="0A631A3C" w14:textId="77777777" w:rsidR="00E2049D" w:rsidRDefault="00E2049D" w:rsidP="007B2893">
      <w:pPr>
        <w:pStyle w:val="paragraph"/>
        <w:spacing w:before="0" w:beforeAutospacing="0" w:after="0" w:afterAutospacing="0"/>
        <w:jc w:val="both"/>
        <w:textAlignment w:val="baseline"/>
        <w:rPr>
          <w:sz w:val="22"/>
          <w:szCs w:val="22"/>
        </w:rPr>
      </w:pPr>
    </w:p>
    <w:p w14:paraId="606E5B0D" w14:textId="7C0DE690" w:rsidR="00E2049D" w:rsidRDefault="00E2049D" w:rsidP="007B2893">
      <w:pPr>
        <w:pStyle w:val="paragraph"/>
        <w:spacing w:before="0" w:beforeAutospacing="0" w:after="0" w:afterAutospacing="0"/>
        <w:jc w:val="both"/>
        <w:textAlignment w:val="baseline"/>
        <w:rPr>
          <w:sz w:val="22"/>
          <w:szCs w:val="22"/>
        </w:rPr>
      </w:pPr>
      <w:r w:rsidRPr="00867AE9">
        <w:rPr>
          <w:sz w:val="22"/>
          <w:szCs w:val="22"/>
        </w:rPr>
        <w:t xml:space="preserve">Lamb, </w:t>
      </w:r>
      <w:r>
        <w:rPr>
          <w:sz w:val="22"/>
          <w:szCs w:val="22"/>
        </w:rPr>
        <w:t xml:space="preserve">Matthew L., Levering, </w:t>
      </w:r>
      <w:r w:rsidRPr="00867AE9">
        <w:rPr>
          <w:sz w:val="22"/>
          <w:szCs w:val="22"/>
        </w:rPr>
        <w:t>Matthew</w:t>
      </w:r>
      <w:r>
        <w:rPr>
          <w:sz w:val="22"/>
          <w:szCs w:val="22"/>
        </w:rPr>
        <w:t xml:space="preserve">, </w:t>
      </w:r>
      <w:r w:rsidRPr="00867AE9">
        <w:rPr>
          <w:i/>
          <w:iCs/>
          <w:sz w:val="22"/>
          <w:szCs w:val="22"/>
        </w:rPr>
        <w:t>Vatican II: Renewal Within Tradition</w:t>
      </w:r>
      <w:r w:rsidRPr="00867AE9">
        <w:rPr>
          <w:sz w:val="22"/>
          <w:szCs w:val="22"/>
        </w:rPr>
        <w:t>, (Oxford: Oxford University Press, 2008)</w:t>
      </w:r>
    </w:p>
    <w:p w14:paraId="3E0C4847" w14:textId="77777777" w:rsidR="00D83F97" w:rsidRDefault="00D83F97" w:rsidP="007B2893">
      <w:pPr>
        <w:pStyle w:val="paragraph"/>
        <w:spacing w:before="0" w:beforeAutospacing="0" w:after="0" w:afterAutospacing="0"/>
        <w:jc w:val="both"/>
        <w:textAlignment w:val="baseline"/>
        <w:rPr>
          <w:sz w:val="22"/>
          <w:szCs w:val="22"/>
        </w:rPr>
      </w:pPr>
    </w:p>
    <w:p w14:paraId="700DC943" w14:textId="0A64163F" w:rsidR="00D83F97" w:rsidRDefault="00D83F97" w:rsidP="007B2893">
      <w:pPr>
        <w:pStyle w:val="paragraph"/>
        <w:spacing w:before="0" w:beforeAutospacing="0" w:after="0" w:afterAutospacing="0"/>
        <w:jc w:val="both"/>
        <w:textAlignment w:val="baseline"/>
        <w:rPr>
          <w:rStyle w:val="eop"/>
          <w:rFonts w:ascii="Garamond" w:hAnsi="Garamond"/>
          <w:color w:val="000000"/>
          <w:shd w:val="clear" w:color="auto" w:fill="FFFFFF"/>
        </w:rPr>
      </w:pPr>
      <w:r w:rsidRPr="00867AE9">
        <w:rPr>
          <w:sz w:val="22"/>
          <w:szCs w:val="22"/>
        </w:rPr>
        <w:t xml:space="preserve">Langford, </w:t>
      </w:r>
      <w:r>
        <w:rPr>
          <w:sz w:val="22"/>
          <w:szCs w:val="22"/>
        </w:rPr>
        <w:t xml:space="preserve">Paul, </w:t>
      </w:r>
      <w:r w:rsidRPr="00867AE9">
        <w:rPr>
          <w:i/>
          <w:sz w:val="22"/>
          <w:szCs w:val="22"/>
        </w:rPr>
        <w:t>Englishness Identified Manners and Character 1650-1850</w:t>
      </w:r>
      <w:r w:rsidRPr="00867AE9">
        <w:rPr>
          <w:sz w:val="22"/>
          <w:szCs w:val="22"/>
        </w:rPr>
        <w:t>, (Oxford: Oxford University Press, 2001)</w:t>
      </w:r>
    </w:p>
    <w:p w14:paraId="26548DCE" w14:textId="77777777" w:rsidR="00E2049D" w:rsidRDefault="00E2049D" w:rsidP="00867AE9">
      <w:pPr>
        <w:pStyle w:val="FootnoteText"/>
        <w:rPr>
          <w:rFonts w:ascii="Times New Roman" w:hAnsi="Times New Roman" w:cs="Times New Roman"/>
          <w:sz w:val="22"/>
          <w:szCs w:val="22"/>
          <w:lang w:val="en-GB"/>
        </w:rPr>
      </w:pPr>
    </w:p>
    <w:p w14:paraId="3FF3729B" w14:textId="47C687CD" w:rsidR="00867AE9" w:rsidRDefault="00867AE9" w:rsidP="00867AE9">
      <w:pPr>
        <w:pStyle w:val="FootnoteText"/>
        <w:rPr>
          <w:rFonts w:ascii="Times New Roman" w:hAnsi="Times New Roman" w:cs="Times New Roman"/>
          <w:iCs/>
          <w:sz w:val="22"/>
          <w:szCs w:val="22"/>
          <w:lang w:val="en-GB"/>
        </w:rPr>
      </w:pPr>
      <w:r w:rsidRPr="00867AE9">
        <w:rPr>
          <w:rFonts w:ascii="Times New Roman" w:hAnsi="Times New Roman" w:cs="Times New Roman"/>
          <w:sz w:val="22"/>
          <w:szCs w:val="22"/>
          <w:lang w:val="en-GB"/>
        </w:rPr>
        <w:t>Newman</w:t>
      </w:r>
      <w:r>
        <w:rPr>
          <w:rFonts w:ascii="Times New Roman" w:hAnsi="Times New Roman" w:cs="Times New Roman"/>
          <w:sz w:val="22"/>
          <w:szCs w:val="22"/>
          <w:lang w:val="en-GB"/>
        </w:rPr>
        <w:t>, John Henry</w:t>
      </w:r>
      <w:r w:rsidRPr="00867AE9">
        <w:rPr>
          <w:rFonts w:ascii="Times New Roman" w:hAnsi="Times New Roman" w:cs="Times New Roman"/>
          <w:sz w:val="22"/>
          <w:szCs w:val="22"/>
          <w:lang w:val="en-GB"/>
        </w:rPr>
        <w:t xml:space="preserve"> </w:t>
      </w:r>
      <w:r w:rsidRPr="00867AE9">
        <w:rPr>
          <w:rFonts w:ascii="Times New Roman" w:hAnsi="Times New Roman" w:cs="Times New Roman"/>
          <w:i/>
          <w:sz w:val="22"/>
          <w:szCs w:val="22"/>
        </w:rPr>
        <w:t xml:space="preserve">Certain </w:t>
      </w:r>
      <w:r w:rsidRPr="00867AE9">
        <w:rPr>
          <w:rFonts w:ascii="Times New Roman" w:hAnsi="Times New Roman" w:cs="Times New Roman"/>
          <w:i/>
          <w:iCs/>
          <w:sz w:val="22"/>
          <w:szCs w:val="22"/>
          <w:lang w:val="en-GB"/>
        </w:rPr>
        <w:t xml:space="preserve">Difficulties Felt by of Anglicans in Catholic Teaching Volume 1, </w:t>
      </w:r>
      <w:r w:rsidRPr="00867AE9">
        <w:rPr>
          <w:rFonts w:ascii="Times New Roman" w:hAnsi="Times New Roman" w:cs="Times New Roman"/>
          <w:iCs/>
          <w:sz w:val="22"/>
          <w:szCs w:val="22"/>
          <w:lang w:val="en-GB"/>
        </w:rPr>
        <w:t>(New York and Bombay: Longmans, Green, &amp; Co, 1901)</w:t>
      </w:r>
    </w:p>
    <w:p w14:paraId="6E65901E" w14:textId="77777777" w:rsidR="00011B9C" w:rsidRDefault="00011B9C" w:rsidP="00867AE9">
      <w:pPr>
        <w:pStyle w:val="FootnoteText"/>
        <w:rPr>
          <w:rFonts w:ascii="Times New Roman" w:hAnsi="Times New Roman" w:cs="Times New Roman"/>
          <w:iCs/>
          <w:sz w:val="22"/>
          <w:szCs w:val="22"/>
          <w:lang w:val="en-GB"/>
        </w:rPr>
      </w:pPr>
    </w:p>
    <w:p w14:paraId="1F5D0C56" w14:textId="7DD64AAE" w:rsidR="00011B9C" w:rsidRDefault="00011B9C" w:rsidP="00867AE9">
      <w:pPr>
        <w:pStyle w:val="FootnoteText"/>
        <w:rPr>
          <w:rFonts w:ascii="Times New Roman" w:hAnsi="Times New Roman" w:cs="Times New Roman"/>
          <w:iCs/>
          <w:sz w:val="22"/>
          <w:szCs w:val="22"/>
          <w:lang w:val="en-GB"/>
        </w:rPr>
      </w:pPr>
      <w:r w:rsidRPr="00867AE9">
        <w:rPr>
          <w:rFonts w:ascii="Times New Roman" w:hAnsi="Times New Roman" w:cs="Times New Roman"/>
          <w:sz w:val="22"/>
          <w:szCs w:val="22"/>
        </w:rPr>
        <w:t xml:space="preserve">Newman, </w:t>
      </w:r>
      <w:r>
        <w:rPr>
          <w:rFonts w:ascii="Times New Roman" w:hAnsi="Times New Roman" w:cs="Times New Roman"/>
          <w:sz w:val="22"/>
          <w:szCs w:val="22"/>
        </w:rPr>
        <w:t xml:space="preserve">John Henry, </w:t>
      </w:r>
      <w:r w:rsidRPr="00867AE9">
        <w:rPr>
          <w:rFonts w:ascii="Times New Roman" w:hAnsi="Times New Roman" w:cs="Times New Roman"/>
          <w:i/>
          <w:iCs/>
          <w:sz w:val="22"/>
          <w:szCs w:val="22"/>
        </w:rPr>
        <w:t>A Letter Addressed to the Duke of Norfolk on Occasion of Mr. Gladstone's Recent Expostulation: Certain Difficulties Felt by Anglicans in Catholic Teaching Volume 2</w:t>
      </w:r>
      <w:r w:rsidRPr="00867AE9">
        <w:rPr>
          <w:rFonts w:ascii="Times New Roman" w:hAnsi="Times New Roman" w:cs="Times New Roman"/>
          <w:sz w:val="22"/>
          <w:szCs w:val="22"/>
        </w:rPr>
        <w:t>, (New York and Bombay: Longmans, Green, &amp; Co, 1900)</w:t>
      </w:r>
    </w:p>
    <w:p w14:paraId="2CA8B231" w14:textId="77777777" w:rsidR="00A93C02" w:rsidRDefault="00A93C02" w:rsidP="00867AE9">
      <w:pPr>
        <w:pStyle w:val="FootnoteText"/>
        <w:rPr>
          <w:rFonts w:ascii="Times New Roman" w:hAnsi="Times New Roman" w:cs="Times New Roman"/>
          <w:iCs/>
          <w:sz w:val="22"/>
          <w:szCs w:val="22"/>
          <w:lang w:val="en-GB"/>
        </w:rPr>
      </w:pPr>
    </w:p>
    <w:p w14:paraId="6BAC236D" w14:textId="4272C7F6" w:rsidR="00A93C02" w:rsidRDefault="00A93C02" w:rsidP="00867AE9">
      <w:pPr>
        <w:pStyle w:val="FootnoteText"/>
        <w:rPr>
          <w:rFonts w:ascii="Times New Roman" w:hAnsi="Times New Roman" w:cs="Times New Roman"/>
          <w:sz w:val="22"/>
          <w:szCs w:val="22"/>
        </w:rPr>
      </w:pPr>
      <w:r w:rsidRPr="00867AE9">
        <w:rPr>
          <w:rFonts w:ascii="Times New Roman" w:hAnsi="Times New Roman" w:cs="Times New Roman"/>
          <w:sz w:val="22"/>
          <w:szCs w:val="22"/>
        </w:rPr>
        <w:t xml:space="preserve">Newman, </w:t>
      </w:r>
      <w:r>
        <w:rPr>
          <w:rFonts w:ascii="Times New Roman" w:hAnsi="Times New Roman" w:cs="Times New Roman"/>
          <w:sz w:val="22"/>
          <w:szCs w:val="22"/>
        </w:rPr>
        <w:t xml:space="preserve">John Henry, </w:t>
      </w:r>
      <w:r w:rsidRPr="00867AE9">
        <w:rPr>
          <w:rFonts w:ascii="Times New Roman" w:hAnsi="Times New Roman" w:cs="Times New Roman"/>
          <w:i/>
          <w:sz w:val="22"/>
          <w:szCs w:val="22"/>
        </w:rPr>
        <w:t>An Essay on the Development of Christian Doctrine</w:t>
      </w:r>
      <w:r w:rsidRPr="00867AE9">
        <w:rPr>
          <w:rFonts w:ascii="Times New Roman" w:hAnsi="Times New Roman" w:cs="Times New Roman"/>
          <w:sz w:val="22"/>
          <w:szCs w:val="22"/>
        </w:rPr>
        <w:t>, (ed. James Cameron; Middlesex, England: Pelican Books, 1974)</w:t>
      </w:r>
    </w:p>
    <w:p w14:paraId="31BEBED8" w14:textId="77777777" w:rsidR="00CF0D33" w:rsidRDefault="00CF0D33" w:rsidP="00867AE9">
      <w:pPr>
        <w:pStyle w:val="FootnoteText"/>
        <w:rPr>
          <w:rFonts w:ascii="Times New Roman" w:hAnsi="Times New Roman" w:cs="Times New Roman"/>
          <w:sz w:val="22"/>
          <w:szCs w:val="22"/>
        </w:rPr>
      </w:pPr>
    </w:p>
    <w:p w14:paraId="54242B44" w14:textId="03F2BCF5" w:rsidR="00CF0D33" w:rsidRDefault="00CF0D33" w:rsidP="00867AE9">
      <w:pPr>
        <w:pStyle w:val="FootnoteText"/>
        <w:rPr>
          <w:rFonts w:ascii="Times New Roman" w:hAnsi="Times New Roman" w:cs="Times New Roman"/>
          <w:sz w:val="22"/>
          <w:szCs w:val="22"/>
        </w:rPr>
      </w:pPr>
      <w:r w:rsidRPr="00867AE9">
        <w:rPr>
          <w:rFonts w:ascii="Times New Roman" w:hAnsi="Times New Roman" w:cs="Times New Roman"/>
          <w:sz w:val="22"/>
          <w:szCs w:val="22"/>
        </w:rPr>
        <w:t xml:space="preserve">Newman, </w:t>
      </w:r>
      <w:r>
        <w:rPr>
          <w:rFonts w:ascii="Times New Roman" w:hAnsi="Times New Roman" w:cs="Times New Roman"/>
          <w:sz w:val="22"/>
          <w:szCs w:val="22"/>
        </w:rPr>
        <w:t xml:space="preserve">John Henry, </w:t>
      </w:r>
      <w:r w:rsidRPr="00867AE9">
        <w:rPr>
          <w:rFonts w:ascii="Times New Roman" w:hAnsi="Times New Roman" w:cs="Times New Roman"/>
          <w:i/>
          <w:sz w:val="22"/>
          <w:szCs w:val="22"/>
        </w:rPr>
        <w:t>Apologia pro vita sua</w:t>
      </w:r>
      <w:r w:rsidRPr="00867AE9">
        <w:rPr>
          <w:rFonts w:ascii="Times New Roman" w:hAnsi="Times New Roman" w:cs="Times New Roman"/>
          <w:sz w:val="22"/>
          <w:szCs w:val="22"/>
        </w:rPr>
        <w:t>, (London: J. M. Dent, 1993)</w:t>
      </w:r>
    </w:p>
    <w:p w14:paraId="2C1BC74E" w14:textId="77777777" w:rsidR="00D83F97" w:rsidRDefault="00D83F97" w:rsidP="00867AE9">
      <w:pPr>
        <w:pStyle w:val="FootnoteText"/>
        <w:rPr>
          <w:rFonts w:ascii="Times New Roman" w:hAnsi="Times New Roman" w:cs="Times New Roman"/>
          <w:sz w:val="22"/>
          <w:szCs w:val="22"/>
        </w:rPr>
      </w:pPr>
    </w:p>
    <w:p w14:paraId="31C70CF4" w14:textId="3C48CDD3" w:rsidR="00D83F97" w:rsidRDefault="00D83F97" w:rsidP="00867AE9">
      <w:pPr>
        <w:pStyle w:val="FootnoteText"/>
        <w:rPr>
          <w:rFonts w:ascii="Times New Roman" w:hAnsi="Times New Roman" w:cs="Times New Roman"/>
          <w:sz w:val="22"/>
          <w:szCs w:val="22"/>
          <w:lang w:val="en-GB"/>
        </w:rPr>
      </w:pPr>
      <w:r w:rsidRPr="00867AE9">
        <w:rPr>
          <w:rFonts w:ascii="Times New Roman" w:hAnsi="Times New Roman" w:cs="Times New Roman"/>
          <w:sz w:val="22"/>
          <w:szCs w:val="22"/>
        </w:rPr>
        <w:t xml:space="preserve">Newman, </w:t>
      </w:r>
      <w:r w:rsidRPr="00867AE9">
        <w:rPr>
          <w:rFonts w:ascii="Times New Roman" w:hAnsi="Times New Roman" w:cs="Times New Roman"/>
          <w:i/>
          <w:iCs/>
          <w:sz w:val="22"/>
          <w:szCs w:val="22"/>
        </w:rPr>
        <w:t>An Essay in Aid of a Grammar of Assent</w:t>
      </w:r>
      <w:r w:rsidRPr="00867AE9">
        <w:rPr>
          <w:rFonts w:ascii="Times New Roman" w:hAnsi="Times New Roman" w:cs="Times New Roman"/>
          <w:sz w:val="22"/>
          <w:szCs w:val="22"/>
        </w:rPr>
        <w:t>, (London: Burns, Oates, &amp; Co., 1870)</w:t>
      </w:r>
    </w:p>
    <w:p w14:paraId="5388118D" w14:textId="77777777" w:rsidR="00867AE9" w:rsidRDefault="00867AE9" w:rsidP="00867AE9">
      <w:pPr>
        <w:pStyle w:val="FootnoteText"/>
        <w:rPr>
          <w:rFonts w:ascii="Times New Roman" w:hAnsi="Times New Roman" w:cs="Times New Roman"/>
          <w:sz w:val="22"/>
          <w:szCs w:val="22"/>
          <w:lang w:val="en-GB"/>
        </w:rPr>
      </w:pPr>
    </w:p>
    <w:p w14:paraId="5AF63B14" w14:textId="15001A08" w:rsidR="00867AE9" w:rsidRDefault="00867AE9" w:rsidP="00867AE9">
      <w:pPr>
        <w:pStyle w:val="FootnoteText"/>
        <w:rPr>
          <w:rFonts w:ascii="Times New Roman" w:hAnsi="Times New Roman" w:cs="Times New Roman"/>
          <w:sz w:val="22"/>
          <w:szCs w:val="22"/>
          <w:lang w:val="en-GB"/>
        </w:rPr>
      </w:pPr>
      <w:r w:rsidRPr="00867AE9">
        <w:rPr>
          <w:rFonts w:ascii="Times New Roman" w:hAnsi="Times New Roman" w:cs="Times New Roman"/>
          <w:sz w:val="22"/>
          <w:szCs w:val="22"/>
          <w:lang w:val="en-GB"/>
        </w:rPr>
        <w:t xml:space="preserve">Pepinster, </w:t>
      </w:r>
      <w:r>
        <w:rPr>
          <w:rFonts w:ascii="Times New Roman" w:hAnsi="Times New Roman" w:cs="Times New Roman"/>
          <w:sz w:val="22"/>
          <w:szCs w:val="22"/>
          <w:lang w:val="en-GB"/>
        </w:rPr>
        <w:t xml:space="preserve">Catherine, </w:t>
      </w:r>
      <w:r w:rsidRPr="00867AE9">
        <w:rPr>
          <w:rFonts w:ascii="Times New Roman" w:hAnsi="Times New Roman" w:cs="Times New Roman"/>
          <w:i/>
          <w:iCs/>
          <w:sz w:val="22"/>
          <w:szCs w:val="22"/>
          <w:lang w:val="en-GB"/>
        </w:rPr>
        <w:t>Defenders of the Faith: the British Monarchy, Religion and the Next Coronation</w:t>
      </w:r>
      <w:r w:rsidRPr="00867AE9">
        <w:rPr>
          <w:rFonts w:ascii="Times New Roman" w:hAnsi="Times New Roman" w:cs="Times New Roman"/>
          <w:sz w:val="22"/>
          <w:szCs w:val="22"/>
          <w:lang w:val="en-GB"/>
        </w:rPr>
        <w:t>, (London: Hodder &amp; Stoughton), 2022</w:t>
      </w:r>
    </w:p>
    <w:p w14:paraId="256EC959" w14:textId="77777777" w:rsidR="00A93C02" w:rsidRDefault="00A93C02" w:rsidP="00867AE9">
      <w:pPr>
        <w:pStyle w:val="FootnoteText"/>
        <w:rPr>
          <w:rFonts w:ascii="Times New Roman" w:hAnsi="Times New Roman" w:cs="Times New Roman"/>
          <w:sz w:val="22"/>
          <w:szCs w:val="22"/>
          <w:lang w:val="en-GB"/>
        </w:rPr>
      </w:pPr>
    </w:p>
    <w:p w14:paraId="77E77AE4" w14:textId="79EB2054" w:rsidR="00A93C02" w:rsidRDefault="00A93C02" w:rsidP="00867AE9">
      <w:pPr>
        <w:pStyle w:val="FootnoteText"/>
        <w:rPr>
          <w:rFonts w:ascii="Times New Roman" w:hAnsi="Times New Roman" w:cs="Times New Roman"/>
          <w:sz w:val="22"/>
          <w:szCs w:val="22"/>
        </w:rPr>
      </w:pPr>
      <w:r w:rsidRPr="00867AE9">
        <w:rPr>
          <w:rFonts w:ascii="Times New Roman" w:hAnsi="Times New Roman" w:cs="Times New Roman"/>
          <w:sz w:val="22"/>
          <w:szCs w:val="22"/>
        </w:rPr>
        <w:t xml:space="preserve">Turner, </w:t>
      </w:r>
      <w:r>
        <w:rPr>
          <w:rFonts w:ascii="Times New Roman" w:hAnsi="Times New Roman" w:cs="Times New Roman"/>
          <w:sz w:val="22"/>
          <w:szCs w:val="22"/>
        </w:rPr>
        <w:t xml:space="preserve">Frank M., </w:t>
      </w:r>
      <w:r w:rsidRPr="00867AE9">
        <w:rPr>
          <w:rFonts w:ascii="Times New Roman" w:hAnsi="Times New Roman" w:cs="Times New Roman"/>
          <w:i/>
          <w:sz w:val="22"/>
          <w:szCs w:val="22"/>
        </w:rPr>
        <w:t>John Henry Newman: the challenge to evangelical religion</w:t>
      </w:r>
      <w:r w:rsidRPr="00867AE9">
        <w:rPr>
          <w:rFonts w:ascii="Times New Roman" w:hAnsi="Times New Roman" w:cs="Times New Roman"/>
          <w:sz w:val="22"/>
          <w:szCs w:val="22"/>
        </w:rPr>
        <w:t>, (Yale: Yale University Press, 2002)</w:t>
      </w:r>
    </w:p>
    <w:p w14:paraId="4C54A8D5" w14:textId="77777777" w:rsidR="00312B25" w:rsidRDefault="00312B25" w:rsidP="00867AE9">
      <w:pPr>
        <w:pStyle w:val="FootnoteText"/>
        <w:rPr>
          <w:rFonts w:ascii="Times New Roman" w:hAnsi="Times New Roman" w:cs="Times New Roman"/>
          <w:sz w:val="22"/>
          <w:szCs w:val="22"/>
        </w:rPr>
      </w:pPr>
    </w:p>
    <w:p w14:paraId="67082426" w14:textId="77777777" w:rsidR="00312B25" w:rsidRPr="00867AE9" w:rsidRDefault="00312B25" w:rsidP="00867AE9">
      <w:pPr>
        <w:pStyle w:val="FootnoteText"/>
        <w:rPr>
          <w:rFonts w:ascii="Times New Roman" w:hAnsi="Times New Roman" w:cs="Times New Roman"/>
          <w:sz w:val="22"/>
          <w:szCs w:val="22"/>
          <w:lang w:val="en-GB"/>
        </w:rPr>
      </w:pPr>
    </w:p>
    <w:p w14:paraId="5A331F0C" w14:textId="77777777" w:rsidR="003130B5" w:rsidRDefault="003130B5" w:rsidP="007B2893">
      <w:pPr>
        <w:pStyle w:val="paragraph"/>
        <w:spacing w:before="0" w:beforeAutospacing="0" w:after="0" w:afterAutospacing="0"/>
        <w:jc w:val="both"/>
        <w:textAlignment w:val="baseline"/>
        <w:rPr>
          <w:rStyle w:val="eop"/>
          <w:rFonts w:ascii="Garamond" w:hAnsi="Garamond"/>
          <w:color w:val="000000"/>
          <w:shd w:val="clear" w:color="auto" w:fill="FFFFFF"/>
        </w:rPr>
      </w:pPr>
    </w:p>
    <w:p w14:paraId="4E4D4CF9" w14:textId="77777777" w:rsidR="003130B5" w:rsidRDefault="003130B5" w:rsidP="007B2893">
      <w:pPr>
        <w:pStyle w:val="paragraph"/>
        <w:spacing w:before="0" w:beforeAutospacing="0" w:after="0" w:afterAutospacing="0"/>
        <w:jc w:val="both"/>
        <w:textAlignment w:val="baseline"/>
        <w:rPr>
          <w:rStyle w:val="eop"/>
          <w:rFonts w:ascii="Garamond" w:hAnsi="Garamond"/>
          <w:color w:val="000000"/>
          <w:shd w:val="clear" w:color="auto" w:fill="FFFFFF"/>
        </w:rPr>
      </w:pPr>
    </w:p>
    <w:p w14:paraId="2F5717E7" w14:textId="77777777" w:rsidR="003130B5" w:rsidRDefault="003130B5" w:rsidP="007B2893">
      <w:pPr>
        <w:pStyle w:val="paragraph"/>
        <w:spacing w:before="0" w:beforeAutospacing="0" w:after="0" w:afterAutospacing="0"/>
        <w:jc w:val="both"/>
        <w:textAlignment w:val="baseline"/>
        <w:rPr>
          <w:rFonts w:ascii="Garamond" w:hAnsi="Garamond"/>
        </w:rPr>
      </w:pPr>
    </w:p>
    <w:p w14:paraId="20A8563D" w14:textId="77777777" w:rsidR="000E42CA" w:rsidRDefault="000E42CA" w:rsidP="007B2893">
      <w:pPr>
        <w:pStyle w:val="paragraph"/>
        <w:spacing w:before="0" w:beforeAutospacing="0" w:after="0" w:afterAutospacing="0"/>
        <w:jc w:val="both"/>
        <w:textAlignment w:val="baseline"/>
        <w:rPr>
          <w:rFonts w:ascii="Garamond" w:hAnsi="Garamond"/>
        </w:rPr>
      </w:pPr>
    </w:p>
    <w:p w14:paraId="0BEFE919" w14:textId="77777777" w:rsidR="003D21B2" w:rsidRPr="00335B20" w:rsidRDefault="003D21B2" w:rsidP="003D21B2">
      <w:pPr>
        <w:spacing w:after="0" w:line="240" w:lineRule="auto"/>
        <w:jc w:val="both"/>
        <w:rPr>
          <w:rFonts w:ascii="Garamond" w:hAnsi="Garamond"/>
          <w:sz w:val="24"/>
          <w:szCs w:val="24"/>
        </w:rPr>
      </w:pPr>
    </w:p>
    <w:p w14:paraId="7D19942A" w14:textId="77777777" w:rsidR="003D21B2" w:rsidRPr="00335B20" w:rsidRDefault="003D21B2" w:rsidP="007B2893">
      <w:pPr>
        <w:pStyle w:val="paragraph"/>
        <w:spacing w:before="0" w:beforeAutospacing="0" w:after="0" w:afterAutospacing="0"/>
        <w:jc w:val="both"/>
        <w:textAlignment w:val="baseline"/>
        <w:rPr>
          <w:rFonts w:ascii="Garamond" w:hAnsi="Garamond"/>
        </w:rPr>
      </w:pPr>
    </w:p>
    <w:sectPr w:rsidR="003D21B2" w:rsidRPr="00335B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60645" w14:textId="77777777" w:rsidR="00607032" w:rsidRDefault="00607032" w:rsidP="006A1370">
      <w:pPr>
        <w:spacing w:after="0" w:line="240" w:lineRule="auto"/>
      </w:pPr>
      <w:r>
        <w:separator/>
      </w:r>
    </w:p>
  </w:endnote>
  <w:endnote w:type="continuationSeparator" w:id="0">
    <w:p w14:paraId="73D4249D" w14:textId="77777777" w:rsidR="00607032" w:rsidRDefault="00607032" w:rsidP="006A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127B8" w14:textId="77777777" w:rsidR="00607032" w:rsidRDefault="00607032" w:rsidP="006A1370">
      <w:pPr>
        <w:spacing w:after="0" w:line="240" w:lineRule="auto"/>
      </w:pPr>
      <w:r>
        <w:separator/>
      </w:r>
    </w:p>
  </w:footnote>
  <w:footnote w:type="continuationSeparator" w:id="0">
    <w:p w14:paraId="07761D63" w14:textId="77777777" w:rsidR="00607032" w:rsidRDefault="00607032" w:rsidP="006A1370">
      <w:pPr>
        <w:spacing w:after="0" w:line="240" w:lineRule="auto"/>
      </w:pPr>
      <w:r>
        <w:continuationSeparator/>
      </w:r>
    </w:p>
  </w:footnote>
  <w:footnote w:id="1">
    <w:p w14:paraId="0B1F748E" w14:textId="48071EF4" w:rsidR="00A64FE9" w:rsidRPr="00867AE9" w:rsidRDefault="00A64FE9"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435FA6" w:rsidRPr="00867AE9">
        <w:rPr>
          <w:rFonts w:ascii="Times New Roman" w:hAnsi="Times New Roman" w:cs="Times New Roman"/>
          <w:sz w:val="22"/>
          <w:szCs w:val="22"/>
        </w:rPr>
        <w:t xml:space="preserve">His Royal Highness the </w:t>
      </w:r>
      <w:r w:rsidR="00666BFB" w:rsidRPr="00867AE9">
        <w:rPr>
          <w:rFonts w:ascii="Times New Roman" w:hAnsi="Times New Roman" w:cs="Times New Roman"/>
          <w:sz w:val="22"/>
          <w:szCs w:val="22"/>
        </w:rPr>
        <w:t xml:space="preserve">Prince </w:t>
      </w:r>
      <w:r w:rsidR="00435FA6" w:rsidRPr="00867AE9">
        <w:rPr>
          <w:rFonts w:ascii="Times New Roman" w:hAnsi="Times New Roman" w:cs="Times New Roman"/>
          <w:sz w:val="22"/>
          <w:szCs w:val="22"/>
        </w:rPr>
        <w:t xml:space="preserve">of Wales, ‘John Henry Newman: The harmony of difference’ </w:t>
      </w:r>
      <w:r w:rsidR="00570BBA" w:rsidRPr="00867AE9">
        <w:rPr>
          <w:rFonts w:ascii="Times New Roman" w:hAnsi="Times New Roman" w:cs="Times New Roman"/>
          <w:sz w:val="22"/>
          <w:szCs w:val="22"/>
        </w:rPr>
        <w:t xml:space="preserve">republished in </w:t>
      </w:r>
      <w:hyperlink r:id="rId1" w:history="1">
        <w:r w:rsidR="00570BBA" w:rsidRPr="00867AE9">
          <w:rPr>
            <w:rStyle w:val="Hyperlink"/>
            <w:rFonts w:ascii="Times New Roman" w:hAnsi="Times New Roman" w:cs="Times New Roman"/>
            <w:i/>
            <w:iCs/>
            <w:sz w:val="22"/>
            <w:szCs w:val="22"/>
          </w:rPr>
          <w:t>Vatican News</w:t>
        </w:r>
      </w:hyperlink>
      <w:r w:rsidR="00570BBA" w:rsidRPr="00867AE9">
        <w:rPr>
          <w:rFonts w:ascii="Times New Roman" w:hAnsi="Times New Roman" w:cs="Times New Roman"/>
          <w:sz w:val="22"/>
          <w:szCs w:val="22"/>
        </w:rPr>
        <w:t xml:space="preserve">, </w:t>
      </w:r>
      <w:r w:rsidR="008A202D" w:rsidRPr="00867AE9">
        <w:rPr>
          <w:rFonts w:ascii="Times New Roman" w:hAnsi="Times New Roman" w:cs="Times New Roman"/>
          <w:sz w:val="22"/>
          <w:szCs w:val="22"/>
        </w:rPr>
        <w:t>12 October 2019</w:t>
      </w:r>
      <w:r w:rsidR="00435FA6" w:rsidRPr="00867AE9">
        <w:rPr>
          <w:rFonts w:ascii="Times New Roman" w:hAnsi="Times New Roman" w:cs="Times New Roman"/>
          <w:sz w:val="22"/>
          <w:szCs w:val="22"/>
        </w:rPr>
        <w:t xml:space="preserve"> </w:t>
      </w:r>
    </w:p>
  </w:footnote>
  <w:footnote w:id="2">
    <w:p w14:paraId="0A88B0C8" w14:textId="0692F633" w:rsidR="00B54605" w:rsidRPr="00867AE9" w:rsidRDefault="00B54605"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Pr="00867AE9">
        <w:rPr>
          <w:rFonts w:ascii="Times New Roman" w:hAnsi="Times New Roman" w:cs="Times New Roman"/>
          <w:sz w:val="22"/>
          <w:szCs w:val="22"/>
          <w:lang w:val="en-GB"/>
        </w:rPr>
        <w:t xml:space="preserve">Pope John XXIII, </w:t>
      </w:r>
      <w:r w:rsidRPr="00867AE9">
        <w:rPr>
          <w:rFonts w:ascii="Times New Roman" w:hAnsi="Times New Roman" w:cs="Times New Roman"/>
          <w:i/>
          <w:iCs/>
          <w:sz w:val="22"/>
          <w:szCs w:val="22"/>
          <w:lang w:val="en-GB"/>
        </w:rPr>
        <w:t>Pacem in Terris</w:t>
      </w:r>
      <w:r w:rsidRPr="00867AE9">
        <w:rPr>
          <w:rFonts w:ascii="Times New Roman" w:hAnsi="Times New Roman" w:cs="Times New Roman"/>
          <w:sz w:val="22"/>
          <w:szCs w:val="22"/>
          <w:lang w:val="en-GB"/>
        </w:rPr>
        <w:t xml:space="preserve">, </w:t>
      </w:r>
      <w:r w:rsidR="005D054C" w:rsidRPr="00867AE9">
        <w:rPr>
          <w:rFonts w:ascii="Times New Roman" w:hAnsi="Times New Roman" w:cs="Times New Roman"/>
          <w:sz w:val="22"/>
          <w:szCs w:val="22"/>
          <w:lang w:val="en-GB"/>
        </w:rPr>
        <w:t>1963</w:t>
      </w:r>
      <w:r w:rsidR="00D05AA8" w:rsidRPr="00867AE9">
        <w:rPr>
          <w:rFonts w:ascii="Times New Roman" w:hAnsi="Times New Roman" w:cs="Times New Roman"/>
          <w:sz w:val="22"/>
          <w:szCs w:val="22"/>
          <w:lang w:val="en-GB"/>
        </w:rPr>
        <w:t xml:space="preserve"> </w:t>
      </w:r>
      <w:hyperlink r:id="rId2" w:history="1">
        <w:r w:rsidR="00D3019E" w:rsidRPr="00867AE9">
          <w:rPr>
            <w:rStyle w:val="Hyperlink"/>
            <w:rFonts w:ascii="Times New Roman" w:hAnsi="Times New Roman" w:cs="Times New Roman"/>
            <w:sz w:val="22"/>
            <w:szCs w:val="22"/>
            <w:lang w:val="en-GB"/>
          </w:rPr>
          <w:t>https://www.vatican.va/content/john-xxiii/en/encyclicals/documents/hf_j-xxiii_enc_11041963_pacem.html</w:t>
        </w:r>
      </w:hyperlink>
      <w:r w:rsidR="00D3019E" w:rsidRPr="00867AE9">
        <w:rPr>
          <w:rFonts w:ascii="Times New Roman" w:hAnsi="Times New Roman" w:cs="Times New Roman"/>
          <w:sz w:val="22"/>
          <w:szCs w:val="22"/>
          <w:lang w:val="en-GB"/>
        </w:rPr>
        <w:t xml:space="preserve"> </w:t>
      </w:r>
    </w:p>
  </w:footnote>
  <w:footnote w:id="3">
    <w:p w14:paraId="74B04FFC" w14:textId="5876756D" w:rsidR="008430EF" w:rsidRPr="00867AE9" w:rsidRDefault="008430EF"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304287" w:rsidRPr="00867AE9">
        <w:rPr>
          <w:rFonts w:ascii="Times New Roman" w:hAnsi="Times New Roman" w:cs="Times New Roman"/>
          <w:sz w:val="22"/>
          <w:szCs w:val="22"/>
        </w:rPr>
        <w:t>‘</w:t>
      </w:r>
      <w:r w:rsidR="00304287" w:rsidRPr="00867AE9">
        <w:rPr>
          <w:rFonts w:ascii="Times New Roman" w:hAnsi="Times New Roman" w:cs="Times New Roman"/>
          <w:sz w:val="22"/>
          <w:szCs w:val="22"/>
        </w:rPr>
        <w:t>Freedom of religion or belief: understanding this human right</w:t>
      </w:r>
      <w:r w:rsidR="00304287" w:rsidRPr="00867AE9">
        <w:rPr>
          <w:rFonts w:ascii="Times New Roman" w:hAnsi="Times New Roman" w:cs="Times New Roman"/>
          <w:sz w:val="22"/>
          <w:szCs w:val="22"/>
        </w:rPr>
        <w:t xml:space="preserve">’, </w:t>
      </w:r>
      <w:r w:rsidR="001D3B98" w:rsidRPr="00867AE9">
        <w:rPr>
          <w:rFonts w:ascii="Times New Roman" w:hAnsi="Times New Roman" w:cs="Times New Roman"/>
          <w:sz w:val="22"/>
          <w:szCs w:val="22"/>
        </w:rPr>
        <w:t>https://www.gov.uk/guidance/freedom-of-religion-or-belief-understanding-this-human-right</w:t>
      </w:r>
    </w:p>
  </w:footnote>
  <w:footnote w:id="4">
    <w:p w14:paraId="2F345039" w14:textId="7E1A4A19" w:rsidR="005D054C" w:rsidRPr="00867AE9" w:rsidRDefault="005D054C"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Pr="00867AE9">
        <w:rPr>
          <w:rFonts w:ascii="Times New Roman" w:hAnsi="Times New Roman" w:cs="Times New Roman"/>
          <w:sz w:val="22"/>
          <w:szCs w:val="22"/>
          <w:lang w:val="en-GB"/>
        </w:rPr>
        <w:t xml:space="preserve">Catherine Pepinster, </w:t>
      </w:r>
      <w:r w:rsidR="00DF66BC" w:rsidRPr="00867AE9">
        <w:rPr>
          <w:rFonts w:ascii="Times New Roman" w:hAnsi="Times New Roman" w:cs="Times New Roman"/>
          <w:i/>
          <w:iCs/>
          <w:sz w:val="22"/>
          <w:szCs w:val="22"/>
          <w:lang w:val="en-GB"/>
        </w:rPr>
        <w:t>Defenders of the Faith: the British Monarchy, Religion and the Next Coronation</w:t>
      </w:r>
      <w:r w:rsidR="00DF66BC" w:rsidRPr="00867AE9">
        <w:rPr>
          <w:rFonts w:ascii="Times New Roman" w:hAnsi="Times New Roman" w:cs="Times New Roman"/>
          <w:sz w:val="22"/>
          <w:szCs w:val="22"/>
          <w:lang w:val="en-GB"/>
        </w:rPr>
        <w:t xml:space="preserve">, </w:t>
      </w:r>
      <w:r w:rsidR="006E3692" w:rsidRPr="00867AE9">
        <w:rPr>
          <w:rFonts w:ascii="Times New Roman" w:hAnsi="Times New Roman" w:cs="Times New Roman"/>
          <w:sz w:val="22"/>
          <w:szCs w:val="22"/>
          <w:lang w:val="en-GB"/>
        </w:rPr>
        <w:t>(</w:t>
      </w:r>
      <w:r w:rsidR="009233D6" w:rsidRPr="00867AE9">
        <w:rPr>
          <w:rFonts w:ascii="Times New Roman" w:hAnsi="Times New Roman" w:cs="Times New Roman"/>
          <w:sz w:val="22"/>
          <w:szCs w:val="22"/>
          <w:lang w:val="en-GB"/>
        </w:rPr>
        <w:t>London: Hodder &amp; St</w:t>
      </w:r>
      <w:r w:rsidR="008932AA" w:rsidRPr="00867AE9">
        <w:rPr>
          <w:rFonts w:ascii="Times New Roman" w:hAnsi="Times New Roman" w:cs="Times New Roman"/>
          <w:sz w:val="22"/>
          <w:szCs w:val="22"/>
          <w:lang w:val="en-GB"/>
        </w:rPr>
        <w:t>ou</w:t>
      </w:r>
      <w:r w:rsidR="009233D6" w:rsidRPr="00867AE9">
        <w:rPr>
          <w:rFonts w:ascii="Times New Roman" w:hAnsi="Times New Roman" w:cs="Times New Roman"/>
          <w:sz w:val="22"/>
          <w:szCs w:val="22"/>
          <w:lang w:val="en-GB"/>
        </w:rPr>
        <w:t>ghton</w:t>
      </w:r>
      <w:r w:rsidR="006E3692" w:rsidRPr="00867AE9">
        <w:rPr>
          <w:rFonts w:ascii="Times New Roman" w:hAnsi="Times New Roman" w:cs="Times New Roman"/>
          <w:sz w:val="22"/>
          <w:szCs w:val="22"/>
          <w:lang w:val="en-GB"/>
        </w:rPr>
        <w:t>)</w:t>
      </w:r>
      <w:r w:rsidR="009233D6" w:rsidRPr="00867AE9">
        <w:rPr>
          <w:rFonts w:ascii="Times New Roman" w:hAnsi="Times New Roman" w:cs="Times New Roman"/>
          <w:sz w:val="22"/>
          <w:szCs w:val="22"/>
          <w:lang w:val="en-GB"/>
        </w:rPr>
        <w:t>, 2022</w:t>
      </w:r>
    </w:p>
  </w:footnote>
  <w:footnote w:id="5">
    <w:p w14:paraId="0443B306" w14:textId="288B7F7F" w:rsidR="002815C4" w:rsidRPr="00867AE9" w:rsidRDefault="002815C4"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B60E9B" w:rsidRPr="00867AE9">
        <w:rPr>
          <w:rFonts w:ascii="Times New Roman" w:hAnsi="Times New Roman" w:cs="Times New Roman"/>
          <w:sz w:val="22"/>
          <w:szCs w:val="22"/>
          <w:lang w:val="en-GB"/>
        </w:rPr>
        <w:t xml:space="preserve">Quoted by John Henry Newman in </w:t>
      </w:r>
      <w:r w:rsidR="002B1299" w:rsidRPr="00867AE9">
        <w:rPr>
          <w:rFonts w:ascii="Times New Roman" w:hAnsi="Times New Roman" w:cs="Times New Roman"/>
          <w:i/>
          <w:sz w:val="22"/>
          <w:szCs w:val="22"/>
        </w:rPr>
        <w:t xml:space="preserve">Certain </w:t>
      </w:r>
      <w:r w:rsidR="002B1299" w:rsidRPr="00867AE9">
        <w:rPr>
          <w:rFonts w:ascii="Times New Roman" w:hAnsi="Times New Roman" w:cs="Times New Roman"/>
          <w:i/>
          <w:iCs/>
          <w:sz w:val="22"/>
          <w:szCs w:val="22"/>
          <w:lang w:val="en-GB"/>
        </w:rPr>
        <w:t xml:space="preserve">Difficulties Felt by of Anglicans in Catholic Teaching Volume 1, </w:t>
      </w:r>
      <w:r w:rsidR="002B1299" w:rsidRPr="00867AE9">
        <w:rPr>
          <w:rFonts w:ascii="Times New Roman" w:hAnsi="Times New Roman" w:cs="Times New Roman"/>
          <w:iCs/>
          <w:sz w:val="22"/>
          <w:szCs w:val="22"/>
          <w:lang w:val="en-GB"/>
        </w:rPr>
        <w:t>(New York and Bombay: Longmans, Green, &amp; Co, 1901)</w:t>
      </w:r>
      <w:r w:rsidR="002B1299" w:rsidRPr="00867AE9">
        <w:rPr>
          <w:rFonts w:ascii="Times New Roman" w:hAnsi="Times New Roman" w:cs="Times New Roman"/>
          <w:i/>
          <w:iCs/>
          <w:sz w:val="22"/>
          <w:szCs w:val="22"/>
          <w:lang w:val="en-GB"/>
        </w:rPr>
        <w:t>,</w:t>
      </w:r>
      <w:r w:rsidR="002B1299" w:rsidRPr="00867AE9">
        <w:rPr>
          <w:rFonts w:ascii="Times New Roman" w:hAnsi="Times New Roman" w:cs="Times New Roman"/>
          <w:sz w:val="22"/>
          <w:szCs w:val="22"/>
          <w:lang w:val="en-GB"/>
        </w:rPr>
        <w:t xml:space="preserve"> </w:t>
      </w:r>
      <w:r w:rsidR="00B60E9B" w:rsidRPr="00867AE9">
        <w:rPr>
          <w:rStyle w:val="normaltextrun"/>
          <w:rFonts w:ascii="Times New Roman" w:hAnsi="Times New Roman" w:cs="Times New Roman"/>
          <w:color w:val="000000"/>
          <w:sz w:val="22"/>
          <w:szCs w:val="22"/>
          <w:shd w:val="clear" w:color="auto" w:fill="FFFFFF"/>
        </w:rPr>
        <w:t>p. 54</w:t>
      </w:r>
    </w:p>
  </w:footnote>
  <w:footnote w:id="6">
    <w:p w14:paraId="60E2A874" w14:textId="7FA002E9" w:rsidR="00F42255" w:rsidRPr="00867AE9" w:rsidRDefault="00F42255"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CE167A" w:rsidRPr="00867AE9">
        <w:rPr>
          <w:rFonts w:ascii="Times New Roman" w:hAnsi="Times New Roman" w:cs="Times New Roman"/>
          <w:sz w:val="22"/>
          <w:szCs w:val="22"/>
        </w:rPr>
        <w:t xml:space="preserve">John Henry Newman, </w:t>
      </w:r>
      <w:r w:rsidR="00CE167A" w:rsidRPr="00867AE9">
        <w:rPr>
          <w:rFonts w:ascii="Times New Roman" w:hAnsi="Times New Roman" w:cs="Times New Roman"/>
          <w:i/>
          <w:sz w:val="22"/>
          <w:szCs w:val="22"/>
        </w:rPr>
        <w:t>An Essay on the Development of Christian Doctrine</w:t>
      </w:r>
      <w:r w:rsidR="00CE167A" w:rsidRPr="00867AE9">
        <w:rPr>
          <w:rFonts w:ascii="Times New Roman" w:hAnsi="Times New Roman" w:cs="Times New Roman"/>
          <w:sz w:val="22"/>
          <w:szCs w:val="22"/>
        </w:rPr>
        <w:t>, (ed. James Cameron; Middlesex, England: Pelican Books, 1974), p</w:t>
      </w:r>
      <w:r w:rsidR="00CE167A" w:rsidRPr="00867AE9">
        <w:rPr>
          <w:rFonts w:ascii="Times New Roman" w:hAnsi="Times New Roman" w:cs="Times New Roman"/>
          <w:sz w:val="22"/>
          <w:szCs w:val="22"/>
          <w:lang w:val="en-GB"/>
        </w:rPr>
        <w:t>p. 130-131</w:t>
      </w:r>
    </w:p>
  </w:footnote>
  <w:footnote w:id="7">
    <w:p w14:paraId="7DD2D91F" w14:textId="77777777" w:rsidR="0013253B" w:rsidRPr="00867AE9" w:rsidRDefault="0013253B"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bookmarkStart w:id="1" w:name="_Hlk104211936"/>
      <w:r w:rsidRPr="00867AE9">
        <w:rPr>
          <w:rFonts w:ascii="Times New Roman" w:hAnsi="Times New Roman" w:cs="Times New Roman"/>
          <w:sz w:val="22"/>
          <w:szCs w:val="22"/>
        </w:rPr>
        <w:t xml:space="preserve">Frank M. Turner, </w:t>
      </w:r>
      <w:r w:rsidRPr="00867AE9">
        <w:rPr>
          <w:rFonts w:ascii="Times New Roman" w:hAnsi="Times New Roman" w:cs="Times New Roman"/>
          <w:i/>
          <w:sz w:val="22"/>
          <w:szCs w:val="22"/>
        </w:rPr>
        <w:t>John Henry Newman: the challenge to evangelical religion</w:t>
      </w:r>
      <w:r w:rsidRPr="00867AE9">
        <w:rPr>
          <w:rFonts w:ascii="Times New Roman" w:hAnsi="Times New Roman" w:cs="Times New Roman"/>
          <w:sz w:val="22"/>
          <w:szCs w:val="22"/>
        </w:rPr>
        <w:t>, (Yale: Yale University Press, 2002)</w:t>
      </w:r>
      <w:bookmarkEnd w:id="1"/>
      <w:r w:rsidRPr="00867AE9">
        <w:rPr>
          <w:rFonts w:ascii="Times New Roman" w:hAnsi="Times New Roman" w:cs="Times New Roman"/>
          <w:sz w:val="22"/>
          <w:szCs w:val="22"/>
        </w:rPr>
        <w:t xml:space="preserve">, p. </w:t>
      </w:r>
      <w:r w:rsidRPr="00867AE9">
        <w:rPr>
          <w:rFonts w:ascii="Times New Roman" w:hAnsi="Times New Roman" w:cs="Times New Roman"/>
          <w:sz w:val="22"/>
          <w:szCs w:val="22"/>
          <w:lang w:val="en-GB"/>
        </w:rPr>
        <w:t>294</w:t>
      </w:r>
    </w:p>
  </w:footnote>
  <w:footnote w:id="8">
    <w:p w14:paraId="00AED231" w14:textId="1A42B47D" w:rsidR="008C6675" w:rsidRPr="00867AE9" w:rsidRDefault="008C6675" w:rsidP="0050436A">
      <w:pPr>
        <w:pStyle w:val="FootnoteText"/>
        <w:jc w:val="both"/>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832B53" w:rsidRPr="00867AE9">
        <w:rPr>
          <w:rFonts w:ascii="Times New Roman" w:hAnsi="Times New Roman" w:cs="Times New Roman"/>
          <w:sz w:val="22"/>
          <w:szCs w:val="22"/>
        </w:rPr>
        <w:t xml:space="preserve">Charles Kingsley in </w:t>
      </w:r>
      <w:r w:rsidR="00200C9F" w:rsidRPr="00867AE9">
        <w:rPr>
          <w:rFonts w:ascii="Times New Roman" w:hAnsi="Times New Roman" w:cs="Times New Roman"/>
          <w:sz w:val="22"/>
          <w:szCs w:val="22"/>
        </w:rPr>
        <w:t xml:space="preserve">John Henry </w:t>
      </w:r>
      <w:bookmarkStart w:id="2" w:name="_Hlk104211710"/>
      <w:r w:rsidR="00200C9F" w:rsidRPr="00867AE9">
        <w:rPr>
          <w:rFonts w:ascii="Times New Roman" w:hAnsi="Times New Roman" w:cs="Times New Roman"/>
          <w:sz w:val="22"/>
          <w:szCs w:val="22"/>
        </w:rPr>
        <w:t xml:space="preserve">Newman, </w:t>
      </w:r>
      <w:r w:rsidR="00200C9F" w:rsidRPr="00867AE9">
        <w:rPr>
          <w:rFonts w:ascii="Times New Roman" w:hAnsi="Times New Roman" w:cs="Times New Roman"/>
          <w:i/>
          <w:sz w:val="22"/>
          <w:szCs w:val="22"/>
        </w:rPr>
        <w:t>Apologia pro vita sua</w:t>
      </w:r>
      <w:r w:rsidR="00200C9F" w:rsidRPr="00867AE9">
        <w:rPr>
          <w:rFonts w:ascii="Times New Roman" w:hAnsi="Times New Roman" w:cs="Times New Roman"/>
          <w:sz w:val="22"/>
          <w:szCs w:val="22"/>
        </w:rPr>
        <w:t>, (London: J. M. Dent, 1993)</w:t>
      </w:r>
      <w:bookmarkEnd w:id="2"/>
      <w:r w:rsidR="00832B53" w:rsidRPr="00867AE9">
        <w:rPr>
          <w:rFonts w:ascii="Times New Roman" w:hAnsi="Times New Roman" w:cs="Times New Roman"/>
          <w:sz w:val="22"/>
          <w:szCs w:val="22"/>
        </w:rPr>
        <w:t xml:space="preserve">, </w:t>
      </w:r>
      <w:r w:rsidR="00C659D4" w:rsidRPr="00867AE9">
        <w:rPr>
          <w:rFonts w:ascii="Times New Roman" w:hAnsi="Times New Roman" w:cs="Times New Roman"/>
          <w:sz w:val="22"/>
          <w:szCs w:val="22"/>
        </w:rPr>
        <w:t>p.</w:t>
      </w:r>
      <w:r w:rsidR="00C108F3" w:rsidRPr="00867AE9">
        <w:rPr>
          <w:rFonts w:ascii="Times New Roman" w:hAnsi="Times New Roman" w:cs="Times New Roman"/>
          <w:sz w:val="22"/>
          <w:szCs w:val="22"/>
        </w:rPr>
        <w:t xml:space="preserve"> </w:t>
      </w:r>
      <w:r w:rsidR="00832B53" w:rsidRPr="00867AE9">
        <w:rPr>
          <w:rFonts w:ascii="Times New Roman" w:hAnsi="Times New Roman" w:cs="Times New Roman"/>
          <w:sz w:val="22"/>
          <w:szCs w:val="22"/>
        </w:rPr>
        <w:t>14</w:t>
      </w:r>
      <w:r w:rsidR="00C108F3" w:rsidRPr="00867AE9">
        <w:rPr>
          <w:rFonts w:ascii="Times New Roman" w:hAnsi="Times New Roman" w:cs="Times New Roman"/>
          <w:sz w:val="22"/>
          <w:szCs w:val="22"/>
        </w:rPr>
        <w:t xml:space="preserve"> </w:t>
      </w:r>
      <w:r w:rsidR="00C659D4" w:rsidRPr="00867AE9">
        <w:rPr>
          <w:rFonts w:ascii="Times New Roman" w:hAnsi="Times New Roman" w:cs="Times New Roman"/>
          <w:sz w:val="22"/>
          <w:szCs w:val="22"/>
        </w:rPr>
        <w:t>&amp; p. 3</w:t>
      </w:r>
      <w:r w:rsidR="00832B53" w:rsidRPr="00867AE9">
        <w:rPr>
          <w:rFonts w:ascii="Times New Roman" w:hAnsi="Times New Roman" w:cs="Times New Roman"/>
          <w:sz w:val="22"/>
          <w:szCs w:val="22"/>
        </w:rPr>
        <w:t>2</w:t>
      </w:r>
    </w:p>
  </w:footnote>
  <w:footnote w:id="9">
    <w:p w14:paraId="71AB5185" w14:textId="3BF15E4C" w:rsidR="003D3DE1" w:rsidRPr="00867AE9" w:rsidRDefault="003D3DE1"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3A4C85" w:rsidRPr="00867AE9">
        <w:rPr>
          <w:rFonts w:ascii="Times New Roman" w:hAnsi="Times New Roman" w:cs="Times New Roman"/>
          <w:sz w:val="22"/>
          <w:szCs w:val="22"/>
        </w:rPr>
        <w:t xml:space="preserve">John Henry Newman, </w:t>
      </w:r>
      <w:r w:rsidR="003A4C85" w:rsidRPr="00867AE9">
        <w:rPr>
          <w:rFonts w:ascii="Times New Roman" w:hAnsi="Times New Roman" w:cs="Times New Roman"/>
          <w:i/>
          <w:iCs/>
          <w:sz w:val="22"/>
          <w:szCs w:val="22"/>
        </w:rPr>
        <w:t>A Letter Addressed to the Duke of Norfolk on Occasion of Mr. Gladstone's Recent Expostulation: Certain Difficulties Felt by Anglicans in Catholic Teaching Volume 2</w:t>
      </w:r>
      <w:r w:rsidR="003A4C85" w:rsidRPr="00867AE9">
        <w:rPr>
          <w:rFonts w:ascii="Times New Roman" w:hAnsi="Times New Roman" w:cs="Times New Roman"/>
          <w:sz w:val="22"/>
          <w:szCs w:val="22"/>
        </w:rPr>
        <w:t>, (New York and Bombay: Longmans, Green, &amp; Co, 1900), p. 175</w:t>
      </w:r>
    </w:p>
  </w:footnote>
  <w:footnote w:id="10">
    <w:p w14:paraId="3FFA6E58" w14:textId="7D0EB44E" w:rsidR="00056B71" w:rsidRPr="00867AE9" w:rsidRDefault="00056B71" w:rsidP="0050436A">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A91428" w:rsidRPr="00867AE9">
        <w:rPr>
          <w:rFonts w:ascii="Times New Roman" w:hAnsi="Times New Roman" w:cs="Times New Roman"/>
          <w:i/>
          <w:iCs/>
          <w:sz w:val="22"/>
          <w:szCs w:val="22"/>
          <w:lang w:val="en-GB"/>
        </w:rPr>
        <w:t>First Dogmatic Constitution on the Church of Christ:</w:t>
      </w:r>
      <w:r w:rsidR="00A91428" w:rsidRPr="00867AE9">
        <w:rPr>
          <w:rFonts w:ascii="Times New Roman" w:hAnsi="Times New Roman" w:cs="Times New Roman"/>
          <w:b/>
          <w:bCs/>
          <w:i/>
          <w:iCs/>
          <w:sz w:val="22"/>
          <w:szCs w:val="22"/>
          <w:lang w:val="en-GB"/>
        </w:rPr>
        <w:t xml:space="preserve"> </w:t>
      </w:r>
      <w:r w:rsidR="00A91428" w:rsidRPr="00867AE9">
        <w:rPr>
          <w:rFonts w:ascii="Times New Roman" w:hAnsi="Times New Roman" w:cs="Times New Roman"/>
          <w:i/>
          <w:iCs/>
          <w:sz w:val="22"/>
          <w:szCs w:val="22"/>
          <w:lang w:val="en-GB"/>
        </w:rPr>
        <w:t xml:space="preserve">Pastor aeternus, </w:t>
      </w:r>
      <w:r w:rsidR="00A91428" w:rsidRPr="00867AE9">
        <w:rPr>
          <w:rFonts w:ascii="Times New Roman" w:hAnsi="Times New Roman" w:cs="Times New Roman"/>
          <w:sz w:val="22"/>
          <w:szCs w:val="22"/>
          <w:lang w:val="en-GB"/>
        </w:rPr>
        <w:t>1870</w:t>
      </w:r>
    </w:p>
  </w:footnote>
  <w:footnote w:id="11">
    <w:p w14:paraId="53325C4C" w14:textId="562F72B3" w:rsidR="0013253B" w:rsidRPr="00867AE9" w:rsidRDefault="0013253B" w:rsidP="0050436A">
      <w:pPr>
        <w:pStyle w:val="FootnoteText"/>
        <w:jc w:val="both"/>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John Henry Newman, </w:t>
      </w:r>
      <w:bookmarkStart w:id="3" w:name="_Hlk104214076"/>
      <w:r w:rsidRPr="00867AE9">
        <w:rPr>
          <w:rFonts w:ascii="Times New Roman" w:hAnsi="Times New Roman" w:cs="Times New Roman"/>
          <w:i/>
          <w:iCs/>
          <w:sz w:val="22"/>
          <w:szCs w:val="22"/>
        </w:rPr>
        <w:t>A Letter Addressed to the Duke of Norfolk on Occasion of Mr. Gladstone's Recent Expostulation: Certain Difficulties Felt by Anglicans in Catholic Teaching Volume 2</w:t>
      </w:r>
      <w:r w:rsidRPr="00867AE9">
        <w:rPr>
          <w:rFonts w:ascii="Times New Roman" w:hAnsi="Times New Roman" w:cs="Times New Roman"/>
          <w:sz w:val="22"/>
          <w:szCs w:val="22"/>
        </w:rPr>
        <w:t xml:space="preserve">, (New York and Bombay: Longmans, Green, &amp; Co, 1900), </w:t>
      </w:r>
      <w:bookmarkEnd w:id="3"/>
      <w:r w:rsidRPr="00867AE9">
        <w:rPr>
          <w:rFonts w:ascii="Times New Roman" w:hAnsi="Times New Roman" w:cs="Times New Roman"/>
          <w:sz w:val="22"/>
          <w:szCs w:val="22"/>
        </w:rPr>
        <w:t>185</w:t>
      </w:r>
      <w:r w:rsidR="00C947AD" w:rsidRPr="00867AE9">
        <w:rPr>
          <w:rFonts w:ascii="Times New Roman" w:hAnsi="Times New Roman" w:cs="Times New Roman"/>
          <w:sz w:val="22"/>
          <w:szCs w:val="22"/>
        </w:rPr>
        <w:t xml:space="preserve"> [original text is] </w:t>
      </w:r>
      <w:r w:rsidR="00C947AD" w:rsidRPr="00867AE9">
        <w:rPr>
          <w:rStyle w:val="normaltextrun"/>
          <w:rFonts w:ascii="Times New Roman" w:hAnsi="Times New Roman" w:cs="Times New Roman"/>
          <w:color w:val="000000"/>
          <w:sz w:val="22"/>
          <w:szCs w:val="22"/>
          <w:bdr w:val="none" w:sz="0" w:space="0" w:color="auto" w:frame="1"/>
        </w:rPr>
        <w:t>‘uppermost’</w:t>
      </w:r>
    </w:p>
  </w:footnote>
  <w:footnote w:id="12">
    <w:p w14:paraId="5A09DF61" w14:textId="4A089EF2" w:rsidR="0013253B" w:rsidRPr="00867AE9" w:rsidRDefault="0013253B" w:rsidP="0050436A">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A91428" w:rsidRPr="00867AE9">
        <w:rPr>
          <w:rFonts w:ascii="Times New Roman" w:hAnsi="Times New Roman" w:cs="Times New Roman"/>
          <w:sz w:val="22"/>
          <w:szCs w:val="22"/>
        </w:rPr>
        <w:t xml:space="preserve">St Robert Bellarmine, quoted by Bernard </w:t>
      </w:r>
      <w:r w:rsidRPr="00867AE9">
        <w:rPr>
          <w:rFonts w:ascii="Times New Roman" w:hAnsi="Times New Roman" w:cs="Times New Roman"/>
          <w:sz w:val="22"/>
          <w:szCs w:val="22"/>
        </w:rPr>
        <w:t>Bourdin</w:t>
      </w:r>
      <w:r w:rsidR="00A91428" w:rsidRPr="00867AE9">
        <w:rPr>
          <w:rFonts w:ascii="Times New Roman" w:hAnsi="Times New Roman" w:cs="Times New Roman"/>
          <w:sz w:val="22"/>
          <w:szCs w:val="22"/>
        </w:rPr>
        <w:t xml:space="preserve"> in </w:t>
      </w:r>
      <w:r w:rsidR="00A91428" w:rsidRPr="00867AE9">
        <w:rPr>
          <w:rFonts w:ascii="Times New Roman" w:hAnsi="Times New Roman" w:cs="Times New Roman"/>
          <w:i/>
          <w:iCs/>
          <w:sz w:val="22"/>
          <w:szCs w:val="22"/>
          <w:lang w:val="en-GB"/>
        </w:rPr>
        <w:t>The Theological-Political Origins of the Modern State: The Controversy between James I of England and Cardinal Bellarmine</w:t>
      </w:r>
      <w:r w:rsidR="00A91428" w:rsidRPr="00867AE9">
        <w:rPr>
          <w:rFonts w:ascii="Times New Roman" w:hAnsi="Times New Roman" w:cs="Times New Roman"/>
          <w:sz w:val="22"/>
          <w:szCs w:val="22"/>
          <w:lang w:val="en-GB"/>
        </w:rPr>
        <w:t>, translated by Susan Pickford (Washington, DC: The Catholic University of America Press, 2010</w:t>
      </w:r>
      <w:r w:rsidR="00E2049D">
        <w:rPr>
          <w:rFonts w:ascii="Times New Roman" w:hAnsi="Times New Roman" w:cs="Times New Roman"/>
          <w:sz w:val="22"/>
          <w:szCs w:val="22"/>
          <w:lang w:val="en-GB"/>
        </w:rPr>
        <w:t>)</w:t>
      </w:r>
      <w:r w:rsidR="00A91428" w:rsidRPr="00867AE9">
        <w:rPr>
          <w:rFonts w:ascii="Times New Roman" w:hAnsi="Times New Roman" w:cs="Times New Roman"/>
          <w:sz w:val="22"/>
          <w:szCs w:val="22"/>
          <w:lang w:val="en-GB"/>
        </w:rPr>
        <w:t xml:space="preserve">, </w:t>
      </w:r>
      <w:r w:rsidRPr="00867AE9">
        <w:rPr>
          <w:rFonts w:ascii="Times New Roman" w:hAnsi="Times New Roman" w:cs="Times New Roman"/>
          <w:sz w:val="22"/>
          <w:szCs w:val="22"/>
        </w:rPr>
        <w:t>p. 7</w:t>
      </w:r>
    </w:p>
  </w:footnote>
  <w:footnote w:id="13">
    <w:p w14:paraId="5BB7F1BF" w14:textId="6C41BE35" w:rsidR="0013253B" w:rsidRPr="00867AE9" w:rsidRDefault="0013253B" w:rsidP="0050436A">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4D0531" w:rsidRPr="00867AE9">
        <w:rPr>
          <w:rFonts w:ascii="Times New Roman" w:hAnsi="Times New Roman" w:cs="Times New Roman"/>
          <w:sz w:val="22"/>
          <w:szCs w:val="22"/>
        </w:rPr>
        <w:t xml:space="preserve">Bernard </w:t>
      </w:r>
      <w:r w:rsidRPr="00867AE9">
        <w:rPr>
          <w:rFonts w:ascii="Times New Roman" w:hAnsi="Times New Roman" w:cs="Times New Roman"/>
          <w:sz w:val="22"/>
          <w:szCs w:val="22"/>
        </w:rPr>
        <w:t>Bourdin</w:t>
      </w:r>
      <w:r w:rsidR="004D0531" w:rsidRPr="00867AE9">
        <w:rPr>
          <w:rFonts w:ascii="Times New Roman" w:hAnsi="Times New Roman" w:cs="Times New Roman"/>
          <w:sz w:val="22"/>
          <w:szCs w:val="22"/>
        </w:rPr>
        <w:t xml:space="preserve">, </w:t>
      </w:r>
      <w:r w:rsidR="00956A37" w:rsidRPr="00867AE9">
        <w:rPr>
          <w:rFonts w:ascii="Times New Roman" w:hAnsi="Times New Roman" w:cs="Times New Roman"/>
          <w:i/>
          <w:iCs/>
          <w:sz w:val="22"/>
          <w:szCs w:val="22"/>
        </w:rPr>
        <w:t>The Theological-Political Origins of the Modern State: The Controversy Between James I of England &amp; Cardinal Bellarmine</w:t>
      </w:r>
      <w:r w:rsidR="00956A37" w:rsidRPr="00867AE9">
        <w:rPr>
          <w:rFonts w:ascii="Times New Roman" w:hAnsi="Times New Roman" w:cs="Times New Roman"/>
          <w:sz w:val="22"/>
          <w:szCs w:val="22"/>
        </w:rPr>
        <w:t xml:space="preserve">, translated by Susan Pickford, </w:t>
      </w:r>
      <w:r w:rsidR="00956A37" w:rsidRPr="00867AE9">
        <w:rPr>
          <w:rFonts w:ascii="Times New Roman" w:hAnsi="Times New Roman" w:cs="Times New Roman"/>
          <w:sz w:val="22"/>
          <w:szCs w:val="22"/>
        </w:rPr>
        <w:t xml:space="preserve">(Washington, DC: </w:t>
      </w:r>
      <w:r w:rsidR="00956A37" w:rsidRPr="00867AE9">
        <w:rPr>
          <w:rFonts w:ascii="Times New Roman" w:hAnsi="Times New Roman" w:cs="Times New Roman"/>
          <w:sz w:val="22"/>
          <w:szCs w:val="22"/>
        </w:rPr>
        <w:t>The Catholic University of America Press, 2010</w:t>
      </w:r>
      <w:r w:rsidR="00956A37" w:rsidRPr="00867AE9">
        <w:rPr>
          <w:rFonts w:ascii="Times New Roman" w:hAnsi="Times New Roman" w:cs="Times New Roman"/>
          <w:sz w:val="22"/>
          <w:szCs w:val="22"/>
        </w:rPr>
        <w:t xml:space="preserve">), </w:t>
      </w:r>
      <w:r w:rsidRPr="00867AE9">
        <w:rPr>
          <w:rFonts w:ascii="Times New Roman" w:hAnsi="Times New Roman" w:cs="Times New Roman"/>
          <w:sz w:val="22"/>
          <w:szCs w:val="22"/>
        </w:rPr>
        <w:t>p. 8</w:t>
      </w:r>
    </w:p>
  </w:footnote>
  <w:footnote w:id="14">
    <w:p w14:paraId="1BBA2E6A" w14:textId="06BB1B38" w:rsidR="001E69DC" w:rsidRPr="00867AE9" w:rsidRDefault="0013253B" w:rsidP="0050436A">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Bourdin</w:t>
      </w:r>
      <w:r w:rsidR="004C02FE" w:rsidRPr="00867AE9">
        <w:rPr>
          <w:rFonts w:ascii="Times New Roman" w:hAnsi="Times New Roman" w:cs="Times New Roman"/>
          <w:sz w:val="22"/>
          <w:szCs w:val="22"/>
        </w:rPr>
        <w:t xml:space="preserve">, </w:t>
      </w:r>
      <w:r w:rsidR="004C02FE" w:rsidRPr="00867AE9">
        <w:rPr>
          <w:rFonts w:ascii="Times New Roman" w:hAnsi="Times New Roman" w:cs="Times New Roman"/>
          <w:i/>
          <w:iCs/>
          <w:sz w:val="22"/>
          <w:szCs w:val="22"/>
        </w:rPr>
        <w:t>Origins</w:t>
      </w:r>
      <w:r w:rsidR="004C02FE" w:rsidRPr="00867AE9">
        <w:rPr>
          <w:rFonts w:ascii="Times New Roman" w:hAnsi="Times New Roman" w:cs="Times New Roman"/>
          <w:sz w:val="22"/>
          <w:szCs w:val="22"/>
        </w:rPr>
        <w:t xml:space="preserve">, </w:t>
      </w:r>
      <w:r w:rsidRPr="00867AE9">
        <w:rPr>
          <w:rFonts w:ascii="Times New Roman" w:hAnsi="Times New Roman" w:cs="Times New Roman"/>
          <w:sz w:val="22"/>
          <w:szCs w:val="22"/>
        </w:rPr>
        <w:t>pp. 5-98</w:t>
      </w:r>
      <w:r w:rsidR="006F1E75" w:rsidRPr="00867AE9">
        <w:rPr>
          <w:rFonts w:ascii="Times New Roman" w:hAnsi="Times New Roman" w:cs="Times New Roman"/>
          <w:sz w:val="22"/>
          <w:szCs w:val="22"/>
        </w:rPr>
        <w:t xml:space="preserve"> </w:t>
      </w:r>
      <w:r w:rsidR="00BF5C36" w:rsidRPr="00867AE9">
        <w:rPr>
          <w:rFonts w:ascii="Times New Roman" w:hAnsi="Times New Roman" w:cs="Times New Roman"/>
          <w:sz w:val="22"/>
          <w:szCs w:val="22"/>
        </w:rPr>
        <w:t xml:space="preserve">&amp; </w:t>
      </w:r>
      <w:r w:rsidR="004C02FE" w:rsidRPr="00867AE9">
        <w:rPr>
          <w:rFonts w:ascii="Times New Roman" w:hAnsi="Times New Roman" w:cs="Times New Roman"/>
          <w:sz w:val="22"/>
          <w:szCs w:val="22"/>
        </w:rPr>
        <w:t xml:space="preserve">p. </w:t>
      </w:r>
      <w:r w:rsidR="00323C63" w:rsidRPr="00867AE9">
        <w:rPr>
          <w:rFonts w:ascii="Times New Roman" w:hAnsi="Times New Roman" w:cs="Times New Roman"/>
          <w:sz w:val="22"/>
          <w:szCs w:val="22"/>
        </w:rPr>
        <w:t>56</w:t>
      </w:r>
    </w:p>
  </w:footnote>
  <w:footnote w:id="15">
    <w:p w14:paraId="3897449D" w14:textId="716FD236" w:rsidR="0009768E" w:rsidRPr="00867AE9" w:rsidRDefault="0009768E">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1E69DC" w:rsidRPr="00867AE9">
        <w:rPr>
          <w:rFonts w:ascii="Times New Roman" w:hAnsi="Times New Roman" w:cs="Times New Roman"/>
          <w:sz w:val="22"/>
          <w:szCs w:val="22"/>
          <w:lang w:val="en-GB"/>
        </w:rPr>
        <w:t xml:space="preserve">I have applied language of ‘concordant’ offset with ‘’conflation’ by borrowing the same couplet as applied to the Catholic relationship with liberal democracy with reference to the Vatican II document </w:t>
      </w:r>
      <w:r w:rsidR="001E69DC" w:rsidRPr="00867AE9">
        <w:rPr>
          <w:rFonts w:ascii="Times New Roman" w:hAnsi="Times New Roman" w:cs="Times New Roman"/>
          <w:i/>
          <w:iCs/>
          <w:sz w:val="22"/>
          <w:szCs w:val="22"/>
          <w:lang w:val="en-GB"/>
        </w:rPr>
        <w:t>Dignitatis humanae</w:t>
      </w:r>
      <w:r w:rsidR="001E69DC" w:rsidRPr="00867AE9">
        <w:rPr>
          <w:rFonts w:ascii="Times New Roman" w:hAnsi="Times New Roman" w:cs="Times New Roman"/>
          <w:sz w:val="22"/>
          <w:szCs w:val="22"/>
          <w:lang w:val="en-GB"/>
        </w:rPr>
        <w:t xml:space="preserve"> by </w:t>
      </w:r>
      <w:r w:rsidR="00552628" w:rsidRPr="00867AE9">
        <w:rPr>
          <w:rFonts w:ascii="Times New Roman" w:hAnsi="Times New Roman" w:cs="Times New Roman"/>
          <w:sz w:val="22"/>
          <w:szCs w:val="22"/>
          <w:lang w:val="en-GB"/>
        </w:rPr>
        <w:t xml:space="preserve">Russell F. </w:t>
      </w:r>
      <w:r w:rsidR="00684050" w:rsidRPr="00867AE9">
        <w:rPr>
          <w:rFonts w:ascii="Times New Roman" w:hAnsi="Times New Roman" w:cs="Times New Roman"/>
          <w:sz w:val="22"/>
          <w:szCs w:val="22"/>
          <w:lang w:val="en-GB"/>
        </w:rPr>
        <w:t xml:space="preserve">Hittenger, Russell F., ‘The Declaration on Religious Liberty, </w:t>
      </w:r>
      <w:r w:rsidR="00684050" w:rsidRPr="00867AE9">
        <w:rPr>
          <w:rFonts w:ascii="Times New Roman" w:hAnsi="Times New Roman" w:cs="Times New Roman"/>
          <w:i/>
          <w:iCs/>
          <w:sz w:val="22"/>
          <w:szCs w:val="22"/>
          <w:lang w:val="en-GB"/>
        </w:rPr>
        <w:t>Dignitatis Humanae</w:t>
      </w:r>
      <w:r w:rsidR="00684050" w:rsidRPr="00867AE9">
        <w:rPr>
          <w:rFonts w:ascii="Times New Roman" w:hAnsi="Times New Roman" w:cs="Times New Roman"/>
          <w:sz w:val="22"/>
          <w:szCs w:val="22"/>
          <w:lang w:val="en-GB"/>
        </w:rPr>
        <w:t xml:space="preserve">’ in </w:t>
      </w:r>
      <w:r w:rsidR="004C02FE" w:rsidRPr="00867AE9">
        <w:rPr>
          <w:rFonts w:ascii="Times New Roman" w:hAnsi="Times New Roman" w:cs="Times New Roman"/>
          <w:sz w:val="22"/>
          <w:szCs w:val="22"/>
          <w:lang w:val="en-GB"/>
        </w:rPr>
        <w:t xml:space="preserve">Matthew L. </w:t>
      </w:r>
      <w:r w:rsidR="00684050" w:rsidRPr="00867AE9">
        <w:rPr>
          <w:rFonts w:ascii="Times New Roman" w:hAnsi="Times New Roman" w:cs="Times New Roman"/>
          <w:sz w:val="22"/>
          <w:szCs w:val="22"/>
          <w:lang w:val="en-GB"/>
        </w:rPr>
        <w:t xml:space="preserve">Lamb, and </w:t>
      </w:r>
      <w:r w:rsidR="004C02FE" w:rsidRPr="00867AE9">
        <w:rPr>
          <w:rFonts w:ascii="Times New Roman" w:hAnsi="Times New Roman" w:cs="Times New Roman"/>
          <w:sz w:val="22"/>
          <w:szCs w:val="22"/>
          <w:lang w:val="en-GB"/>
        </w:rPr>
        <w:t xml:space="preserve">Matthew </w:t>
      </w:r>
      <w:r w:rsidR="00684050" w:rsidRPr="00867AE9">
        <w:rPr>
          <w:rFonts w:ascii="Times New Roman" w:hAnsi="Times New Roman" w:cs="Times New Roman"/>
          <w:sz w:val="22"/>
          <w:szCs w:val="22"/>
          <w:lang w:val="en-GB"/>
        </w:rPr>
        <w:t xml:space="preserve">Levering, </w:t>
      </w:r>
      <w:r w:rsidR="00684050" w:rsidRPr="00867AE9">
        <w:rPr>
          <w:rFonts w:ascii="Times New Roman" w:hAnsi="Times New Roman" w:cs="Times New Roman"/>
          <w:i/>
          <w:iCs/>
          <w:sz w:val="22"/>
          <w:szCs w:val="22"/>
          <w:lang w:val="en-GB"/>
        </w:rPr>
        <w:t>Vatican II: Renewal Within Tradition</w:t>
      </w:r>
      <w:r w:rsidR="00684050" w:rsidRPr="00867AE9">
        <w:rPr>
          <w:rFonts w:ascii="Times New Roman" w:hAnsi="Times New Roman" w:cs="Times New Roman"/>
          <w:sz w:val="22"/>
          <w:szCs w:val="22"/>
          <w:lang w:val="en-GB"/>
        </w:rPr>
        <w:t>, (Oxford: Oxford University Press</w:t>
      </w:r>
      <w:r w:rsidR="00552628" w:rsidRPr="00867AE9">
        <w:rPr>
          <w:rFonts w:ascii="Times New Roman" w:hAnsi="Times New Roman" w:cs="Times New Roman"/>
          <w:sz w:val="22"/>
          <w:szCs w:val="22"/>
          <w:lang w:val="en-GB"/>
        </w:rPr>
        <w:t>, 2008</w:t>
      </w:r>
      <w:r w:rsidR="00684050" w:rsidRPr="00867AE9">
        <w:rPr>
          <w:rFonts w:ascii="Times New Roman" w:hAnsi="Times New Roman" w:cs="Times New Roman"/>
          <w:sz w:val="22"/>
          <w:szCs w:val="22"/>
          <w:lang w:val="en-GB"/>
        </w:rPr>
        <w:t>)</w:t>
      </w:r>
      <w:r w:rsidR="001E69DC" w:rsidRPr="00867AE9">
        <w:rPr>
          <w:rFonts w:ascii="Times New Roman" w:hAnsi="Times New Roman" w:cs="Times New Roman"/>
          <w:sz w:val="22"/>
          <w:szCs w:val="22"/>
          <w:lang w:val="en-GB"/>
        </w:rPr>
        <w:t>, p</w:t>
      </w:r>
      <w:r w:rsidR="009A1BCC" w:rsidRPr="00867AE9">
        <w:rPr>
          <w:rFonts w:ascii="Times New Roman" w:hAnsi="Times New Roman" w:cs="Times New Roman"/>
          <w:sz w:val="22"/>
          <w:szCs w:val="22"/>
          <w:lang w:val="en-GB"/>
        </w:rPr>
        <w:t>p</w:t>
      </w:r>
      <w:r w:rsidR="001E69DC" w:rsidRPr="00867AE9">
        <w:rPr>
          <w:rFonts w:ascii="Times New Roman" w:hAnsi="Times New Roman" w:cs="Times New Roman"/>
          <w:sz w:val="22"/>
          <w:szCs w:val="22"/>
          <w:lang w:val="en-GB"/>
        </w:rPr>
        <w:t>. 370</w:t>
      </w:r>
      <w:r w:rsidR="00B04B02" w:rsidRPr="00867AE9">
        <w:rPr>
          <w:rFonts w:ascii="Times New Roman" w:hAnsi="Times New Roman" w:cs="Times New Roman"/>
          <w:sz w:val="22"/>
          <w:szCs w:val="22"/>
          <w:lang w:val="en-GB"/>
        </w:rPr>
        <w:t>-382</w:t>
      </w:r>
      <w:r w:rsidR="009A1BCC" w:rsidRPr="00867AE9">
        <w:rPr>
          <w:rFonts w:ascii="Times New Roman" w:hAnsi="Times New Roman" w:cs="Times New Roman"/>
          <w:sz w:val="22"/>
          <w:szCs w:val="22"/>
          <w:lang w:val="en-GB"/>
        </w:rPr>
        <w:t xml:space="preserve">, </w:t>
      </w:r>
      <w:r w:rsidR="009A1BCC" w:rsidRPr="00867AE9">
        <w:rPr>
          <w:rFonts w:ascii="Times New Roman" w:hAnsi="Times New Roman" w:cs="Times New Roman"/>
          <w:sz w:val="22"/>
          <w:szCs w:val="22"/>
          <w:lang w:val="en-GB"/>
        </w:rPr>
        <w:t>p. 359</w:t>
      </w:r>
      <w:r w:rsidR="009A1BCC" w:rsidRPr="00867AE9">
        <w:rPr>
          <w:rFonts w:ascii="Times New Roman" w:hAnsi="Times New Roman" w:cs="Times New Roman"/>
          <w:sz w:val="22"/>
          <w:szCs w:val="22"/>
          <w:lang w:val="en-GB"/>
        </w:rPr>
        <w:t>.</w:t>
      </w:r>
    </w:p>
  </w:footnote>
  <w:footnote w:id="16">
    <w:p w14:paraId="0515803E" w14:textId="2DEEEF73" w:rsidR="0013253B" w:rsidRPr="00867AE9" w:rsidRDefault="0013253B">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815A4E" w:rsidRPr="00867AE9">
        <w:rPr>
          <w:rFonts w:ascii="Times New Roman" w:hAnsi="Times New Roman" w:cs="Times New Roman"/>
          <w:sz w:val="22"/>
          <w:szCs w:val="22"/>
        </w:rPr>
        <w:t xml:space="preserve">Filmer </w:t>
      </w:r>
      <w:r w:rsidRPr="00867AE9">
        <w:rPr>
          <w:rFonts w:ascii="Times New Roman" w:hAnsi="Times New Roman" w:cs="Times New Roman"/>
          <w:sz w:val="22"/>
          <w:szCs w:val="22"/>
        </w:rPr>
        <w:t>had argued that all sovereigns can have their lineage traced back to Adam and Eve</w:t>
      </w:r>
      <w:r w:rsidR="00815A4E" w:rsidRPr="00867AE9">
        <w:rPr>
          <w:rFonts w:ascii="Times New Roman" w:hAnsi="Times New Roman" w:cs="Times New Roman"/>
          <w:sz w:val="22"/>
          <w:szCs w:val="22"/>
        </w:rPr>
        <w:t xml:space="preserve">, but </w:t>
      </w:r>
      <w:r w:rsidRPr="00867AE9">
        <w:rPr>
          <w:rFonts w:ascii="Times New Roman" w:hAnsi="Times New Roman" w:cs="Times New Roman"/>
          <w:sz w:val="22"/>
          <w:szCs w:val="22"/>
        </w:rPr>
        <w:t xml:space="preserve">Locke </w:t>
      </w:r>
      <w:r w:rsidR="00815A4E" w:rsidRPr="00867AE9">
        <w:rPr>
          <w:rFonts w:ascii="Times New Roman" w:hAnsi="Times New Roman" w:cs="Times New Roman"/>
          <w:sz w:val="22"/>
          <w:szCs w:val="22"/>
        </w:rPr>
        <w:t xml:space="preserve">claimed </w:t>
      </w:r>
      <w:r w:rsidRPr="00867AE9">
        <w:rPr>
          <w:rFonts w:ascii="Times New Roman" w:hAnsi="Times New Roman" w:cs="Times New Roman"/>
          <w:sz w:val="22"/>
          <w:szCs w:val="22"/>
        </w:rPr>
        <w:t>that, even if this were provable, it would not reasonably justify their sovereignty because a historical fact cannot ground ‘legitimate authority’</w:t>
      </w:r>
      <w:r w:rsidR="00815A4E" w:rsidRPr="00867AE9">
        <w:rPr>
          <w:rFonts w:ascii="Times New Roman" w:hAnsi="Times New Roman" w:cs="Times New Roman"/>
          <w:sz w:val="22"/>
          <w:szCs w:val="22"/>
        </w:rPr>
        <w:t xml:space="preserve">, see John Locke, </w:t>
      </w:r>
      <w:r w:rsidR="00815A4E" w:rsidRPr="00867AE9">
        <w:rPr>
          <w:rFonts w:ascii="Times New Roman" w:hAnsi="Times New Roman" w:cs="Times New Roman"/>
          <w:i/>
          <w:iCs/>
          <w:sz w:val="22"/>
          <w:szCs w:val="22"/>
        </w:rPr>
        <w:t>Two Treatise of Government</w:t>
      </w:r>
      <w:r w:rsidR="00815A4E" w:rsidRPr="00867AE9">
        <w:rPr>
          <w:rFonts w:ascii="Times New Roman" w:hAnsi="Times New Roman" w:cs="Times New Roman"/>
          <w:sz w:val="22"/>
          <w:szCs w:val="22"/>
        </w:rPr>
        <w:t xml:space="preserve">, </w:t>
      </w:r>
      <w:r w:rsidR="002809C7" w:rsidRPr="00867AE9">
        <w:rPr>
          <w:rFonts w:ascii="Times New Roman" w:hAnsi="Times New Roman" w:cs="Times New Roman"/>
          <w:sz w:val="22"/>
          <w:szCs w:val="22"/>
        </w:rPr>
        <w:t xml:space="preserve">(Cambridge: Cambridge University Press, 1988). </w:t>
      </w:r>
    </w:p>
  </w:footnote>
  <w:footnote w:id="17">
    <w:p w14:paraId="6DA6D3F3" w14:textId="69E06125" w:rsidR="004543D1" w:rsidRPr="00867AE9" w:rsidRDefault="004543D1">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2809C7" w:rsidRPr="00867AE9">
        <w:rPr>
          <w:rFonts w:ascii="Times New Roman" w:hAnsi="Times New Roman" w:cs="Times New Roman"/>
          <w:sz w:val="22"/>
          <w:szCs w:val="22"/>
          <w:lang w:val="en-GB"/>
        </w:rPr>
        <w:t xml:space="preserve">Detlef von Daniels, ‘On Monarchy’, in </w:t>
      </w:r>
      <w:r w:rsidR="002809C7" w:rsidRPr="00867AE9">
        <w:rPr>
          <w:rFonts w:ascii="Times New Roman" w:hAnsi="Times New Roman" w:cs="Times New Roman"/>
          <w:i/>
          <w:iCs/>
          <w:sz w:val="22"/>
          <w:szCs w:val="22"/>
          <w:lang w:val="en-GB"/>
        </w:rPr>
        <w:t>Critical Review of International Social and Political Philosophy</w:t>
      </w:r>
      <w:r w:rsidR="002809C7" w:rsidRPr="00867AE9">
        <w:rPr>
          <w:rFonts w:ascii="Times New Roman" w:hAnsi="Times New Roman" w:cs="Times New Roman"/>
          <w:sz w:val="22"/>
          <w:szCs w:val="22"/>
          <w:lang w:val="en-GB"/>
        </w:rPr>
        <w:t>, vol. 21, Issue 4, pp. 456-477</w:t>
      </w:r>
      <w:r w:rsidR="009A1BCC" w:rsidRPr="00867AE9">
        <w:rPr>
          <w:rFonts w:ascii="Times New Roman" w:hAnsi="Times New Roman" w:cs="Times New Roman"/>
          <w:sz w:val="22"/>
          <w:szCs w:val="22"/>
          <w:lang w:val="en-GB"/>
        </w:rPr>
        <w:t>.</w:t>
      </w:r>
    </w:p>
  </w:footnote>
  <w:footnote w:id="18">
    <w:p w14:paraId="3D496A1E" w14:textId="5C07BA2E" w:rsidR="00FB0FD1" w:rsidRPr="00867AE9" w:rsidRDefault="00FB0FD1">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9A1BCC" w:rsidRPr="00867AE9">
        <w:rPr>
          <w:rFonts w:ascii="Times New Roman" w:hAnsi="Times New Roman" w:cs="Times New Roman"/>
          <w:sz w:val="22"/>
          <w:szCs w:val="22"/>
          <w:lang w:val="en-GB"/>
        </w:rPr>
        <w:t>von Daniels, ‘On Monarchy’</w:t>
      </w:r>
      <w:r w:rsidR="006B6532" w:rsidRPr="00867AE9">
        <w:rPr>
          <w:rFonts w:ascii="Times New Roman" w:hAnsi="Times New Roman" w:cs="Times New Roman"/>
          <w:sz w:val="22"/>
          <w:szCs w:val="22"/>
          <w:lang w:val="en-GB"/>
        </w:rPr>
        <w:t>, p. 465.</w:t>
      </w:r>
    </w:p>
  </w:footnote>
  <w:footnote w:id="19">
    <w:p w14:paraId="2ADBDABD" w14:textId="57CF375C" w:rsidR="00E37A02" w:rsidRPr="00867AE9" w:rsidRDefault="00E37A02">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9A1BCC" w:rsidRPr="00867AE9">
        <w:rPr>
          <w:rFonts w:ascii="Times New Roman" w:hAnsi="Times New Roman" w:cs="Times New Roman"/>
          <w:sz w:val="22"/>
          <w:szCs w:val="22"/>
          <w:lang w:val="en-GB"/>
        </w:rPr>
        <w:t>von Daniels, ‘On Monarchy’</w:t>
      </w:r>
      <w:r w:rsidR="00241C3B" w:rsidRPr="00867AE9">
        <w:rPr>
          <w:rFonts w:ascii="Times New Roman" w:hAnsi="Times New Roman" w:cs="Times New Roman"/>
          <w:sz w:val="22"/>
          <w:szCs w:val="22"/>
          <w:lang w:val="en-GB"/>
        </w:rPr>
        <w:t xml:space="preserve">, p. 471. </w:t>
      </w:r>
    </w:p>
  </w:footnote>
  <w:footnote w:id="20">
    <w:p w14:paraId="6E845B3A" w14:textId="717AC167" w:rsidR="00133C33" w:rsidRPr="00867AE9" w:rsidRDefault="00133C33">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A232D2" w:rsidRPr="00867AE9">
        <w:rPr>
          <w:rFonts w:ascii="Times New Roman" w:hAnsi="Times New Roman" w:cs="Times New Roman"/>
          <w:sz w:val="22"/>
          <w:szCs w:val="22"/>
        </w:rPr>
        <w:t xml:space="preserve">John Henry Newman, </w:t>
      </w:r>
      <w:r w:rsidR="00A232D2" w:rsidRPr="00867AE9">
        <w:rPr>
          <w:rFonts w:ascii="Times New Roman" w:hAnsi="Times New Roman" w:cs="Times New Roman"/>
          <w:i/>
          <w:iCs/>
          <w:sz w:val="22"/>
          <w:szCs w:val="22"/>
        </w:rPr>
        <w:t xml:space="preserve">An </w:t>
      </w:r>
      <w:r w:rsidR="000A3836" w:rsidRPr="00867AE9">
        <w:rPr>
          <w:rFonts w:ascii="Times New Roman" w:hAnsi="Times New Roman" w:cs="Times New Roman"/>
          <w:i/>
          <w:iCs/>
          <w:sz w:val="22"/>
          <w:szCs w:val="22"/>
        </w:rPr>
        <w:t>Essay in Aid of a Grammar of Assent</w:t>
      </w:r>
      <w:r w:rsidR="000A3836" w:rsidRPr="00867AE9">
        <w:rPr>
          <w:rFonts w:ascii="Times New Roman" w:hAnsi="Times New Roman" w:cs="Times New Roman"/>
          <w:sz w:val="22"/>
          <w:szCs w:val="22"/>
        </w:rPr>
        <w:t>, (London: Burns</w:t>
      </w:r>
      <w:r w:rsidR="00D52BEE" w:rsidRPr="00867AE9">
        <w:rPr>
          <w:rFonts w:ascii="Times New Roman" w:hAnsi="Times New Roman" w:cs="Times New Roman"/>
          <w:sz w:val="22"/>
          <w:szCs w:val="22"/>
        </w:rPr>
        <w:t>, O</w:t>
      </w:r>
      <w:r w:rsidR="000A3836" w:rsidRPr="00867AE9">
        <w:rPr>
          <w:rFonts w:ascii="Times New Roman" w:hAnsi="Times New Roman" w:cs="Times New Roman"/>
          <w:sz w:val="22"/>
          <w:szCs w:val="22"/>
        </w:rPr>
        <w:t>ates</w:t>
      </w:r>
      <w:r w:rsidR="00D52BEE" w:rsidRPr="00867AE9">
        <w:rPr>
          <w:rFonts w:ascii="Times New Roman" w:hAnsi="Times New Roman" w:cs="Times New Roman"/>
          <w:sz w:val="22"/>
          <w:szCs w:val="22"/>
        </w:rPr>
        <w:t xml:space="preserve">, &amp; Co., 1870), p. 159. </w:t>
      </w:r>
    </w:p>
  </w:footnote>
  <w:footnote w:id="21">
    <w:p w14:paraId="5AEF8F83" w14:textId="15E069C8" w:rsidR="00133C33" w:rsidRPr="00867AE9" w:rsidRDefault="00133C33">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51201D" w:rsidRPr="00867AE9">
        <w:rPr>
          <w:rFonts w:ascii="Times New Roman" w:hAnsi="Times New Roman" w:cs="Times New Roman"/>
          <w:sz w:val="22"/>
          <w:szCs w:val="22"/>
        </w:rPr>
        <w:t xml:space="preserve">Newman, </w:t>
      </w:r>
      <w:r w:rsidR="0051201D" w:rsidRPr="00867AE9">
        <w:rPr>
          <w:rFonts w:ascii="Times New Roman" w:hAnsi="Times New Roman" w:cs="Times New Roman"/>
          <w:i/>
          <w:iCs/>
          <w:sz w:val="22"/>
          <w:szCs w:val="22"/>
        </w:rPr>
        <w:t>Grammar</w:t>
      </w:r>
      <w:r w:rsidR="0051201D" w:rsidRPr="00867AE9">
        <w:rPr>
          <w:rFonts w:ascii="Times New Roman" w:hAnsi="Times New Roman" w:cs="Times New Roman"/>
          <w:sz w:val="22"/>
          <w:szCs w:val="22"/>
        </w:rPr>
        <w:t xml:space="preserve">, </w:t>
      </w:r>
      <w:r w:rsidR="00D835B0" w:rsidRPr="00867AE9">
        <w:rPr>
          <w:rFonts w:ascii="Times New Roman" w:hAnsi="Times New Roman" w:cs="Times New Roman"/>
          <w:sz w:val="22"/>
          <w:szCs w:val="22"/>
        </w:rPr>
        <w:t xml:space="preserve">p. 286. </w:t>
      </w:r>
    </w:p>
  </w:footnote>
  <w:footnote w:id="22">
    <w:p w14:paraId="219935D2" w14:textId="413B2754" w:rsidR="00133C33" w:rsidRPr="00867AE9" w:rsidRDefault="00133C33">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47571C" w:rsidRPr="00867AE9">
        <w:rPr>
          <w:rFonts w:ascii="Times New Roman" w:hAnsi="Times New Roman" w:cs="Times New Roman"/>
          <w:sz w:val="22"/>
          <w:szCs w:val="22"/>
        </w:rPr>
        <w:t xml:space="preserve">Newman, </w:t>
      </w:r>
      <w:r w:rsidR="0047571C" w:rsidRPr="00867AE9">
        <w:rPr>
          <w:rFonts w:ascii="Times New Roman" w:hAnsi="Times New Roman" w:cs="Times New Roman"/>
          <w:i/>
          <w:iCs/>
          <w:sz w:val="22"/>
          <w:szCs w:val="22"/>
        </w:rPr>
        <w:t>Grammar</w:t>
      </w:r>
      <w:r w:rsidR="0047571C" w:rsidRPr="00867AE9">
        <w:rPr>
          <w:rFonts w:ascii="Times New Roman" w:hAnsi="Times New Roman" w:cs="Times New Roman"/>
          <w:sz w:val="22"/>
          <w:szCs w:val="22"/>
        </w:rPr>
        <w:t xml:space="preserve">, p. 281. </w:t>
      </w:r>
    </w:p>
  </w:footnote>
  <w:footnote w:id="23">
    <w:p w14:paraId="522D5FA5" w14:textId="3C0AF770" w:rsidR="00E13640" w:rsidRPr="00867AE9" w:rsidRDefault="00E13640">
      <w:pPr>
        <w:pStyle w:val="FootnoteText"/>
        <w:rPr>
          <w:rFonts w:ascii="Times New Roman" w:hAnsi="Times New Roman" w:cs="Times New Roman"/>
          <w:sz w:val="22"/>
          <w:szCs w:val="22"/>
          <w:lang w:val="en-GB"/>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47571C" w:rsidRPr="00867AE9">
        <w:rPr>
          <w:rFonts w:ascii="Times New Roman" w:hAnsi="Times New Roman" w:cs="Times New Roman"/>
          <w:sz w:val="22"/>
          <w:szCs w:val="22"/>
        </w:rPr>
        <w:t xml:space="preserve">Newman, </w:t>
      </w:r>
      <w:r w:rsidR="0047571C" w:rsidRPr="00867AE9">
        <w:rPr>
          <w:rFonts w:ascii="Times New Roman" w:hAnsi="Times New Roman" w:cs="Times New Roman"/>
          <w:i/>
          <w:iCs/>
          <w:sz w:val="22"/>
          <w:szCs w:val="22"/>
        </w:rPr>
        <w:t>Grammar</w:t>
      </w:r>
      <w:r w:rsidR="0047571C" w:rsidRPr="00867AE9">
        <w:rPr>
          <w:rFonts w:ascii="Times New Roman" w:hAnsi="Times New Roman" w:cs="Times New Roman"/>
          <w:sz w:val="22"/>
          <w:szCs w:val="22"/>
        </w:rPr>
        <w:t>, p. 281.</w:t>
      </w:r>
    </w:p>
  </w:footnote>
  <w:footnote w:id="24">
    <w:p w14:paraId="468E7BE4" w14:textId="4B658FC9" w:rsidR="00133C33" w:rsidRPr="00867AE9" w:rsidRDefault="00133C33">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552AF7" w:rsidRPr="00867AE9">
        <w:rPr>
          <w:rFonts w:ascii="Times New Roman" w:hAnsi="Times New Roman" w:cs="Times New Roman"/>
          <w:sz w:val="22"/>
          <w:szCs w:val="22"/>
          <w:lang w:val="en-GB"/>
        </w:rPr>
        <w:t xml:space="preserve">Paul Langford, </w:t>
      </w:r>
      <w:r w:rsidR="00552AF7" w:rsidRPr="00867AE9">
        <w:rPr>
          <w:rFonts w:ascii="Times New Roman" w:hAnsi="Times New Roman" w:cs="Times New Roman"/>
          <w:i/>
          <w:sz w:val="22"/>
          <w:szCs w:val="22"/>
          <w:lang w:val="en-GB"/>
        </w:rPr>
        <w:t>Englishness Identified Manners and Character 1650-1850</w:t>
      </w:r>
      <w:r w:rsidR="00552AF7" w:rsidRPr="00867AE9">
        <w:rPr>
          <w:rFonts w:ascii="Times New Roman" w:hAnsi="Times New Roman" w:cs="Times New Roman"/>
          <w:sz w:val="22"/>
          <w:szCs w:val="22"/>
          <w:lang w:val="en-GB"/>
        </w:rPr>
        <w:t>, (Oxford: Oxford University Press, 2001),</w:t>
      </w:r>
      <w:r w:rsidR="00182523" w:rsidRPr="00867AE9">
        <w:rPr>
          <w:rFonts w:ascii="Times New Roman" w:hAnsi="Times New Roman" w:cs="Times New Roman"/>
          <w:sz w:val="22"/>
          <w:szCs w:val="22"/>
        </w:rPr>
        <w:t xml:space="preserve"> p. 31</w:t>
      </w:r>
    </w:p>
  </w:footnote>
  <w:footnote w:id="25">
    <w:p w14:paraId="6355068E" w14:textId="52AD2B9B" w:rsidR="00133C33" w:rsidRPr="00867AE9" w:rsidRDefault="00133C33" w:rsidP="001315CD">
      <w:pPr>
        <w:pStyle w:val="FootnoteText"/>
        <w:spacing w:line="480" w:lineRule="auto"/>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1315CD" w:rsidRPr="00867AE9">
        <w:rPr>
          <w:rFonts w:ascii="Times New Roman" w:hAnsi="Times New Roman" w:cs="Times New Roman"/>
          <w:sz w:val="22"/>
          <w:szCs w:val="22"/>
          <w:lang w:val="en-GB"/>
        </w:rPr>
        <w:t xml:space="preserve">E. P. Thompson, ‘The Peculiarities of the English’, </w:t>
      </w:r>
      <w:r w:rsidR="001315CD" w:rsidRPr="00867AE9">
        <w:rPr>
          <w:rFonts w:ascii="Times New Roman" w:hAnsi="Times New Roman" w:cs="Times New Roman"/>
          <w:i/>
          <w:iCs/>
          <w:sz w:val="22"/>
          <w:szCs w:val="22"/>
          <w:lang w:val="en-GB"/>
        </w:rPr>
        <w:t>The Socialist Register</w:t>
      </w:r>
      <w:r w:rsidR="001315CD" w:rsidRPr="00867AE9">
        <w:rPr>
          <w:rFonts w:ascii="Times New Roman" w:hAnsi="Times New Roman" w:cs="Times New Roman"/>
          <w:sz w:val="22"/>
          <w:szCs w:val="22"/>
          <w:lang w:val="en-GB"/>
        </w:rPr>
        <w:t xml:space="preserve">, </w:t>
      </w:r>
      <w:r w:rsidR="001315CD" w:rsidRPr="00867AE9">
        <w:rPr>
          <w:rFonts w:ascii="Times New Roman" w:hAnsi="Times New Roman" w:cs="Times New Roman"/>
          <w:sz w:val="22"/>
          <w:szCs w:val="22"/>
          <w:lang w:val="en-GB"/>
        </w:rPr>
        <w:t xml:space="preserve">pp. </w:t>
      </w:r>
      <w:r w:rsidR="001315CD" w:rsidRPr="00867AE9">
        <w:rPr>
          <w:rFonts w:ascii="Times New Roman" w:hAnsi="Times New Roman" w:cs="Times New Roman"/>
          <w:sz w:val="22"/>
          <w:szCs w:val="22"/>
          <w:lang w:val="en-GB"/>
        </w:rPr>
        <w:t>311-362</w:t>
      </w:r>
      <w:r w:rsidR="001315CD" w:rsidRPr="00867AE9">
        <w:rPr>
          <w:rFonts w:ascii="Times New Roman" w:hAnsi="Times New Roman" w:cs="Times New Roman"/>
          <w:sz w:val="22"/>
          <w:szCs w:val="22"/>
          <w:lang w:val="en-GB"/>
        </w:rPr>
        <w:t>, p. 312</w:t>
      </w:r>
    </w:p>
  </w:footnote>
  <w:footnote w:id="26">
    <w:p w14:paraId="167E571A" w14:textId="40E1ACC9" w:rsidR="00133C33" w:rsidRPr="00867AE9" w:rsidRDefault="00133C33">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2E4F76" w:rsidRPr="00867AE9">
        <w:rPr>
          <w:rFonts w:ascii="Times New Roman" w:hAnsi="Times New Roman" w:cs="Times New Roman"/>
          <w:sz w:val="22"/>
          <w:szCs w:val="22"/>
        </w:rPr>
        <w:t xml:space="preserve">Peter Ackroyd, </w:t>
      </w:r>
      <w:r w:rsidR="002E4F76" w:rsidRPr="00867AE9">
        <w:rPr>
          <w:rFonts w:ascii="Times New Roman" w:hAnsi="Times New Roman" w:cs="Times New Roman"/>
          <w:i/>
          <w:sz w:val="22"/>
          <w:szCs w:val="22"/>
        </w:rPr>
        <w:t>Albion: The Origins of the English Imagination</w:t>
      </w:r>
      <w:r w:rsidR="002E4F76" w:rsidRPr="00867AE9">
        <w:rPr>
          <w:rFonts w:ascii="Times New Roman" w:hAnsi="Times New Roman" w:cs="Times New Roman"/>
          <w:sz w:val="22"/>
          <w:szCs w:val="22"/>
        </w:rPr>
        <w:t xml:space="preserve">, (London: Vintage Press, 2004), </w:t>
      </w:r>
      <w:r w:rsidR="002E4F76" w:rsidRPr="00867AE9">
        <w:rPr>
          <w:rFonts w:ascii="Times New Roman" w:hAnsi="Times New Roman" w:cs="Times New Roman"/>
          <w:sz w:val="22"/>
          <w:szCs w:val="22"/>
          <w:lang w:val="en-GB"/>
        </w:rPr>
        <w:t xml:space="preserve"> p.</w:t>
      </w:r>
      <w:r w:rsidR="002E4F76" w:rsidRPr="00867AE9">
        <w:rPr>
          <w:rFonts w:ascii="Times New Roman" w:hAnsi="Times New Roman" w:cs="Times New Roman"/>
          <w:sz w:val="22"/>
          <w:szCs w:val="22"/>
          <w:lang w:val="en-GB"/>
        </w:rPr>
        <w:t xml:space="preserve"> 59</w:t>
      </w:r>
      <w:r w:rsidR="004D39BF" w:rsidRPr="00867AE9">
        <w:rPr>
          <w:rFonts w:ascii="Times New Roman" w:hAnsi="Times New Roman" w:cs="Times New Roman"/>
          <w:sz w:val="22"/>
          <w:szCs w:val="22"/>
          <w:lang w:val="en-GB"/>
        </w:rPr>
        <w:t xml:space="preserve"> </w:t>
      </w:r>
    </w:p>
  </w:footnote>
  <w:footnote w:id="27">
    <w:p w14:paraId="662BBB3B" w14:textId="742C2BA3" w:rsidR="00133C33" w:rsidRPr="00867AE9" w:rsidRDefault="00133C33">
      <w:pPr>
        <w:pStyle w:val="FootnoteText"/>
        <w:rPr>
          <w:rFonts w:ascii="Times New Roman" w:hAnsi="Times New Roman" w:cs="Times New Roman"/>
          <w:sz w:val="22"/>
          <w:szCs w:val="22"/>
        </w:rPr>
      </w:pPr>
      <w:r w:rsidRPr="00867AE9">
        <w:rPr>
          <w:rStyle w:val="FootnoteReference"/>
          <w:rFonts w:ascii="Times New Roman" w:hAnsi="Times New Roman" w:cs="Times New Roman"/>
          <w:sz w:val="22"/>
          <w:szCs w:val="22"/>
        </w:rPr>
        <w:footnoteRef/>
      </w:r>
      <w:r w:rsidRPr="00867AE9">
        <w:rPr>
          <w:rFonts w:ascii="Times New Roman" w:hAnsi="Times New Roman" w:cs="Times New Roman"/>
          <w:sz w:val="22"/>
          <w:szCs w:val="22"/>
        </w:rPr>
        <w:t xml:space="preserve"> </w:t>
      </w:r>
      <w:r w:rsidR="004D39BF" w:rsidRPr="00867AE9">
        <w:rPr>
          <w:rFonts w:ascii="Times New Roman" w:hAnsi="Times New Roman" w:cs="Times New Roman"/>
          <w:sz w:val="22"/>
          <w:szCs w:val="22"/>
          <w:lang w:val="en-GB"/>
        </w:rPr>
        <w:t xml:space="preserve">Ackroyd, </w:t>
      </w:r>
      <w:r w:rsidR="004D39BF" w:rsidRPr="00867AE9">
        <w:rPr>
          <w:rFonts w:ascii="Times New Roman" w:hAnsi="Times New Roman" w:cs="Times New Roman"/>
          <w:i/>
          <w:iCs/>
          <w:sz w:val="22"/>
          <w:szCs w:val="22"/>
          <w:lang w:val="en-GB"/>
        </w:rPr>
        <w:t>Albion</w:t>
      </w:r>
      <w:r w:rsidR="004D39BF" w:rsidRPr="00867AE9">
        <w:rPr>
          <w:rFonts w:ascii="Times New Roman" w:hAnsi="Times New Roman" w:cs="Times New Roman"/>
          <w:sz w:val="22"/>
          <w:szCs w:val="22"/>
          <w:lang w:val="en-GB"/>
        </w:rPr>
        <w:t>, p. 127</w:t>
      </w:r>
      <w:r w:rsidR="004D39BF" w:rsidRPr="00867AE9">
        <w:rPr>
          <w:rFonts w:ascii="Times New Roman" w:hAnsi="Times New Roman" w:cs="Times New Roman"/>
          <w:sz w:val="22"/>
          <w:szCs w:val="22"/>
          <w:lang w:val="en-GB"/>
        </w:rP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D4"/>
    <w:rsid w:val="00001138"/>
    <w:rsid w:val="0000136D"/>
    <w:rsid w:val="00002827"/>
    <w:rsid w:val="00006421"/>
    <w:rsid w:val="00006AAB"/>
    <w:rsid w:val="00006C9C"/>
    <w:rsid w:val="00011B9C"/>
    <w:rsid w:val="00011E89"/>
    <w:rsid w:val="000143BF"/>
    <w:rsid w:val="0001692E"/>
    <w:rsid w:val="00021C9C"/>
    <w:rsid w:val="000228CE"/>
    <w:rsid w:val="00026E09"/>
    <w:rsid w:val="00030C39"/>
    <w:rsid w:val="00030F17"/>
    <w:rsid w:val="00031964"/>
    <w:rsid w:val="00037D55"/>
    <w:rsid w:val="00042E4E"/>
    <w:rsid w:val="0005293E"/>
    <w:rsid w:val="00054067"/>
    <w:rsid w:val="00056B71"/>
    <w:rsid w:val="00080282"/>
    <w:rsid w:val="000825FA"/>
    <w:rsid w:val="000855A2"/>
    <w:rsid w:val="00096CE5"/>
    <w:rsid w:val="0009768E"/>
    <w:rsid w:val="000A3836"/>
    <w:rsid w:val="000C156B"/>
    <w:rsid w:val="000C5ADB"/>
    <w:rsid w:val="000D29E0"/>
    <w:rsid w:val="000D6A68"/>
    <w:rsid w:val="000E42CA"/>
    <w:rsid w:val="000E56DD"/>
    <w:rsid w:val="000E729C"/>
    <w:rsid w:val="000F15EE"/>
    <w:rsid w:val="000F211C"/>
    <w:rsid w:val="000F7071"/>
    <w:rsid w:val="00102FD7"/>
    <w:rsid w:val="00103C07"/>
    <w:rsid w:val="001053DE"/>
    <w:rsid w:val="00106F1E"/>
    <w:rsid w:val="00120049"/>
    <w:rsid w:val="00126F2B"/>
    <w:rsid w:val="00127CF2"/>
    <w:rsid w:val="001315CD"/>
    <w:rsid w:val="0013230B"/>
    <w:rsid w:val="0013253B"/>
    <w:rsid w:val="00133C33"/>
    <w:rsid w:val="00136004"/>
    <w:rsid w:val="00141562"/>
    <w:rsid w:val="00146AED"/>
    <w:rsid w:val="0014738A"/>
    <w:rsid w:val="001506A2"/>
    <w:rsid w:val="00155378"/>
    <w:rsid w:val="00156080"/>
    <w:rsid w:val="0016044C"/>
    <w:rsid w:val="00161A9A"/>
    <w:rsid w:val="00163614"/>
    <w:rsid w:val="00175486"/>
    <w:rsid w:val="001809AE"/>
    <w:rsid w:val="00182523"/>
    <w:rsid w:val="0019142C"/>
    <w:rsid w:val="001969C4"/>
    <w:rsid w:val="00197A0F"/>
    <w:rsid w:val="001A1133"/>
    <w:rsid w:val="001B0D87"/>
    <w:rsid w:val="001C1F69"/>
    <w:rsid w:val="001C7065"/>
    <w:rsid w:val="001D0294"/>
    <w:rsid w:val="001D1ECF"/>
    <w:rsid w:val="001D3B98"/>
    <w:rsid w:val="001D5B93"/>
    <w:rsid w:val="001E0F4D"/>
    <w:rsid w:val="001E1C9D"/>
    <w:rsid w:val="001E4C6C"/>
    <w:rsid w:val="001E56F4"/>
    <w:rsid w:val="001E69DC"/>
    <w:rsid w:val="001E7239"/>
    <w:rsid w:val="001F69A5"/>
    <w:rsid w:val="00200C9F"/>
    <w:rsid w:val="00205564"/>
    <w:rsid w:val="002057CC"/>
    <w:rsid w:val="00206890"/>
    <w:rsid w:val="002100A0"/>
    <w:rsid w:val="00220C3B"/>
    <w:rsid w:val="002248A1"/>
    <w:rsid w:val="00227D03"/>
    <w:rsid w:val="00232021"/>
    <w:rsid w:val="002405F1"/>
    <w:rsid w:val="00241C3B"/>
    <w:rsid w:val="00242319"/>
    <w:rsid w:val="00245F6D"/>
    <w:rsid w:val="002623E7"/>
    <w:rsid w:val="0026392E"/>
    <w:rsid w:val="00263B5A"/>
    <w:rsid w:val="002653D4"/>
    <w:rsid w:val="002712AB"/>
    <w:rsid w:val="002715DD"/>
    <w:rsid w:val="002760BF"/>
    <w:rsid w:val="002809C7"/>
    <w:rsid w:val="002815C4"/>
    <w:rsid w:val="00297923"/>
    <w:rsid w:val="002A1135"/>
    <w:rsid w:val="002A5F73"/>
    <w:rsid w:val="002B0164"/>
    <w:rsid w:val="002B1299"/>
    <w:rsid w:val="002B1AFA"/>
    <w:rsid w:val="002C6311"/>
    <w:rsid w:val="002C65D6"/>
    <w:rsid w:val="002D410B"/>
    <w:rsid w:val="002D67F5"/>
    <w:rsid w:val="002E032A"/>
    <w:rsid w:val="002E0ED2"/>
    <w:rsid w:val="002E2EFC"/>
    <w:rsid w:val="002E3E20"/>
    <w:rsid w:val="002E4F76"/>
    <w:rsid w:val="00301606"/>
    <w:rsid w:val="00302AA0"/>
    <w:rsid w:val="003030A7"/>
    <w:rsid w:val="00304287"/>
    <w:rsid w:val="00312B25"/>
    <w:rsid w:val="003130B5"/>
    <w:rsid w:val="00315A7C"/>
    <w:rsid w:val="00316C22"/>
    <w:rsid w:val="003223BE"/>
    <w:rsid w:val="00323C63"/>
    <w:rsid w:val="003308CD"/>
    <w:rsid w:val="00334DD8"/>
    <w:rsid w:val="00335B20"/>
    <w:rsid w:val="003408E9"/>
    <w:rsid w:val="0034467A"/>
    <w:rsid w:val="0035618E"/>
    <w:rsid w:val="00376ADA"/>
    <w:rsid w:val="003770B6"/>
    <w:rsid w:val="0038010E"/>
    <w:rsid w:val="00380808"/>
    <w:rsid w:val="00387655"/>
    <w:rsid w:val="0039086C"/>
    <w:rsid w:val="00392099"/>
    <w:rsid w:val="003A2C04"/>
    <w:rsid w:val="003A4C85"/>
    <w:rsid w:val="003B2306"/>
    <w:rsid w:val="003B2C76"/>
    <w:rsid w:val="003B6EA9"/>
    <w:rsid w:val="003C22E4"/>
    <w:rsid w:val="003C2D84"/>
    <w:rsid w:val="003C78D6"/>
    <w:rsid w:val="003D08BA"/>
    <w:rsid w:val="003D0CDD"/>
    <w:rsid w:val="003D21B2"/>
    <w:rsid w:val="003D2E85"/>
    <w:rsid w:val="003D3DE1"/>
    <w:rsid w:val="003E1D54"/>
    <w:rsid w:val="003E59AB"/>
    <w:rsid w:val="003E79EC"/>
    <w:rsid w:val="003F49B7"/>
    <w:rsid w:val="004009CA"/>
    <w:rsid w:val="00404E85"/>
    <w:rsid w:val="00413EFA"/>
    <w:rsid w:val="004204DB"/>
    <w:rsid w:val="00427852"/>
    <w:rsid w:val="004348B5"/>
    <w:rsid w:val="00435E90"/>
    <w:rsid w:val="00435FA6"/>
    <w:rsid w:val="0044041C"/>
    <w:rsid w:val="0044204C"/>
    <w:rsid w:val="00450EBB"/>
    <w:rsid w:val="004543D1"/>
    <w:rsid w:val="00455DA5"/>
    <w:rsid w:val="004630D5"/>
    <w:rsid w:val="00467EAC"/>
    <w:rsid w:val="0047571C"/>
    <w:rsid w:val="00477C6F"/>
    <w:rsid w:val="0048628F"/>
    <w:rsid w:val="004A4374"/>
    <w:rsid w:val="004B168F"/>
    <w:rsid w:val="004B4B6A"/>
    <w:rsid w:val="004C02FE"/>
    <w:rsid w:val="004C193C"/>
    <w:rsid w:val="004C2145"/>
    <w:rsid w:val="004D0531"/>
    <w:rsid w:val="004D1DC6"/>
    <w:rsid w:val="004D3653"/>
    <w:rsid w:val="004D39BF"/>
    <w:rsid w:val="004E42F6"/>
    <w:rsid w:val="004F3E2F"/>
    <w:rsid w:val="004F475C"/>
    <w:rsid w:val="004F7514"/>
    <w:rsid w:val="00502401"/>
    <w:rsid w:val="00503F0E"/>
    <w:rsid w:val="0050436A"/>
    <w:rsid w:val="00507672"/>
    <w:rsid w:val="0051201D"/>
    <w:rsid w:val="00520A54"/>
    <w:rsid w:val="00520DDC"/>
    <w:rsid w:val="00522CB8"/>
    <w:rsid w:val="00524000"/>
    <w:rsid w:val="005257BA"/>
    <w:rsid w:val="005330F3"/>
    <w:rsid w:val="005422A3"/>
    <w:rsid w:val="005426E3"/>
    <w:rsid w:val="00544BB8"/>
    <w:rsid w:val="00550181"/>
    <w:rsid w:val="00552628"/>
    <w:rsid w:val="00552AF7"/>
    <w:rsid w:val="0056065D"/>
    <w:rsid w:val="00562901"/>
    <w:rsid w:val="005709A9"/>
    <w:rsid w:val="00570BBA"/>
    <w:rsid w:val="00584842"/>
    <w:rsid w:val="00586E97"/>
    <w:rsid w:val="00593244"/>
    <w:rsid w:val="00594EED"/>
    <w:rsid w:val="005958B0"/>
    <w:rsid w:val="005A3772"/>
    <w:rsid w:val="005A6FE7"/>
    <w:rsid w:val="005A70CA"/>
    <w:rsid w:val="005B3893"/>
    <w:rsid w:val="005C2373"/>
    <w:rsid w:val="005D054C"/>
    <w:rsid w:val="005D0AEC"/>
    <w:rsid w:val="005D105C"/>
    <w:rsid w:val="005D2601"/>
    <w:rsid w:val="005D59B7"/>
    <w:rsid w:val="005F54BE"/>
    <w:rsid w:val="0060056F"/>
    <w:rsid w:val="00600BA5"/>
    <w:rsid w:val="00601320"/>
    <w:rsid w:val="006065D8"/>
    <w:rsid w:val="00607032"/>
    <w:rsid w:val="006078D4"/>
    <w:rsid w:val="00614CE4"/>
    <w:rsid w:val="00616F5F"/>
    <w:rsid w:val="006177AD"/>
    <w:rsid w:val="00627E5E"/>
    <w:rsid w:val="006352B3"/>
    <w:rsid w:val="00637795"/>
    <w:rsid w:val="0064582C"/>
    <w:rsid w:val="006463A9"/>
    <w:rsid w:val="00652029"/>
    <w:rsid w:val="00663FD0"/>
    <w:rsid w:val="00666B8B"/>
    <w:rsid w:val="00666BFB"/>
    <w:rsid w:val="00667197"/>
    <w:rsid w:val="00670C47"/>
    <w:rsid w:val="00670FE2"/>
    <w:rsid w:val="006776B8"/>
    <w:rsid w:val="006827C0"/>
    <w:rsid w:val="00684050"/>
    <w:rsid w:val="00693053"/>
    <w:rsid w:val="00696542"/>
    <w:rsid w:val="006A1370"/>
    <w:rsid w:val="006A44A1"/>
    <w:rsid w:val="006A4A63"/>
    <w:rsid w:val="006A703D"/>
    <w:rsid w:val="006B212E"/>
    <w:rsid w:val="006B2682"/>
    <w:rsid w:val="006B3D80"/>
    <w:rsid w:val="006B6532"/>
    <w:rsid w:val="006C0729"/>
    <w:rsid w:val="006C52FB"/>
    <w:rsid w:val="006D0BA7"/>
    <w:rsid w:val="006D1FE0"/>
    <w:rsid w:val="006D4FA6"/>
    <w:rsid w:val="006E3692"/>
    <w:rsid w:val="006E6AC6"/>
    <w:rsid w:val="006F1E75"/>
    <w:rsid w:val="006F1ED0"/>
    <w:rsid w:val="00722699"/>
    <w:rsid w:val="00723283"/>
    <w:rsid w:val="007234A3"/>
    <w:rsid w:val="00727074"/>
    <w:rsid w:val="00731F4E"/>
    <w:rsid w:val="00732C80"/>
    <w:rsid w:val="007332BA"/>
    <w:rsid w:val="00733C8A"/>
    <w:rsid w:val="00733E43"/>
    <w:rsid w:val="007376CA"/>
    <w:rsid w:val="007406CE"/>
    <w:rsid w:val="007406DB"/>
    <w:rsid w:val="00741ACA"/>
    <w:rsid w:val="007461E2"/>
    <w:rsid w:val="00750B0F"/>
    <w:rsid w:val="00752BCD"/>
    <w:rsid w:val="00753D57"/>
    <w:rsid w:val="00761ACB"/>
    <w:rsid w:val="0076591B"/>
    <w:rsid w:val="00771E49"/>
    <w:rsid w:val="00776423"/>
    <w:rsid w:val="007903AA"/>
    <w:rsid w:val="007A054A"/>
    <w:rsid w:val="007A1EBF"/>
    <w:rsid w:val="007A5C57"/>
    <w:rsid w:val="007B082A"/>
    <w:rsid w:val="007B2893"/>
    <w:rsid w:val="007C0F82"/>
    <w:rsid w:val="007C41C9"/>
    <w:rsid w:val="007D07DB"/>
    <w:rsid w:val="007E0692"/>
    <w:rsid w:val="007E1337"/>
    <w:rsid w:val="007E52D0"/>
    <w:rsid w:val="007F2D20"/>
    <w:rsid w:val="007F4C05"/>
    <w:rsid w:val="007F4F86"/>
    <w:rsid w:val="00800041"/>
    <w:rsid w:val="008009D5"/>
    <w:rsid w:val="00802300"/>
    <w:rsid w:val="00804DB0"/>
    <w:rsid w:val="00807BB2"/>
    <w:rsid w:val="00815A4E"/>
    <w:rsid w:val="00816069"/>
    <w:rsid w:val="00817745"/>
    <w:rsid w:val="00823408"/>
    <w:rsid w:val="00826EEB"/>
    <w:rsid w:val="00832B53"/>
    <w:rsid w:val="00836BB1"/>
    <w:rsid w:val="00840A20"/>
    <w:rsid w:val="008430EF"/>
    <w:rsid w:val="008438B4"/>
    <w:rsid w:val="00850B4B"/>
    <w:rsid w:val="0085345D"/>
    <w:rsid w:val="00853D71"/>
    <w:rsid w:val="00857461"/>
    <w:rsid w:val="0085752D"/>
    <w:rsid w:val="00857AE0"/>
    <w:rsid w:val="00867AE9"/>
    <w:rsid w:val="00876379"/>
    <w:rsid w:val="00883EB8"/>
    <w:rsid w:val="008932AA"/>
    <w:rsid w:val="00893662"/>
    <w:rsid w:val="008962AE"/>
    <w:rsid w:val="008971F1"/>
    <w:rsid w:val="008A202D"/>
    <w:rsid w:val="008A2DE6"/>
    <w:rsid w:val="008B78AB"/>
    <w:rsid w:val="008B7C4A"/>
    <w:rsid w:val="008C6675"/>
    <w:rsid w:val="008D2823"/>
    <w:rsid w:val="008D3FCF"/>
    <w:rsid w:val="008D7FE1"/>
    <w:rsid w:val="008E0120"/>
    <w:rsid w:val="008E22E8"/>
    <w:rsid w:val="00912B2E"/>
    <w:rsid w:val="00912F1F"/>
    <w:rsid w:val="009233D6"/>
    <w:rsid w:val="009277C5"/>
    <w:rsid w:val="009324E9"/>
    <w:rsid w:val="0093547D"/>
    <w:rsid w:val="009367EF"/>
    <w:rsid w:val="009431F3"/>
    <w:rsid w:val="00945E9B"/>
    <w:rsid w:val="009461C9"/>
    <w:rsid w:val="00951DFC"/>
    <w:rsid w:val="00954C35"/>
    <w:rsid w:val="009551B0"/>
    <w:rsid w:val="0095580F"/>
    <w:rsid w:val="00956436"/>
    <w:rsid w:val="00956A37"/>
    <w:rsid w:val="00962890"/>
    <w:rsid w:val="00962A25"/>
    <w:rsid w:val="009704FB"/>
    <w:rsid w:val="0097233A"/>
    <w:rsid w:val="009A1BCC"/>
    <w:rsid w:val="009A2EF3"/>
    <w:rsid w:val="009B4A77"/>
    <w:rsid w:val="009C1F8E"/>
    <w:rsid w:val="009D7309"/>
    <w:rsid w:val="009E2065"/>
    <w:rsid w:val="009E6B96"/>
    <w:rsid w:val="009F2E56"/>
    <w:rsid w:val="009F3F37"/>
    <w:rsid w:val="00A001E4"/>
    <w:rsid w:val="00A0652B"/>
    <w:rsid w:val="00A0793C"/>
    <w:rsid w:val="00A1138B"/>
    <w:rsid w:val="00A169D2"/>
    <w:rsid w:val="00A2320C"/>
    <w:rsid w:val="00A232D2"/>
    <w:rsid w:val="00A3058A"/>
    <w:rsid w:val="00A340DA"/>
    <w:rsid w:val="00A369A4"/>
    <w:rsid w:val="00A417FA"/>
    <w:rsid w:val="00A4243C"/>
    <w:rsid w:val="00A4421D"/>
    <w:rsid w:val="00A53CD4"/>
    <w:rsid w:val="00A64E42"/>
    <w:rsid w:val="00A64FE9"/>
    <w:rsid w:val="00A6662B"/>
    <w:rsid w:val="00A8309A"/>
    <w:rsid w:val="00A84AC8"/>
    <w:rsid w:val="00A84B8F"/>
    <w:rsid w:val="00A91428"/>
    <w:rsid w:val="00A91534"/>
    <w:rsid w:val="00A93C02"/>
    <w:rsid w:val="00A948F1"/>
    <w:rsid w:val="00AA05D6"/>
    <w:rsid w:val="00AA2F2E"/>
    <w:rsid w:val="00AB051D"/>
    <w:rsid w:val="00AB0D2E"/>
    <w:rsid w:val="00AB3BAE"/>
    <w:rsid w:val="00AC023B"/>
    <w:rsid w:val="00AC7562"/>
    <w:rsid w:val="00AE54D3"/>
    <w:rsid w:val="00AF6AB8"/>
    <w:rsid w:val="00AF6BAC"/>
    <w:rsid w:val="00B01516"/>
    <w:rsid w:val="00B02751"/>
    <w:rsid w:val="00B04420"/>
    <w:rsid w:val="00B04B02"/>
    <w:rsid w:val="00B10B33"/>
    <w:rsid w:val="00B1193F"/>
    <w:rsid w:val="00B145D6"/>
    <w:rsid w:val="00B15FD4"/>
    <w:rsid w:val="00B16413"/>
    <w:rsid w:val="00B1730E"/>
    <w:rsid w:val="00B21A0C"/>
    <w:rsid w:val="00B228EA"/>
    <w:rsid w:val="00B24397"/>
    <w:rsid w:val="00B26317"/>
    <w:rsid w:val="00B31EF4"/>
    <w:rsid w:val="00B32101"/>
    <w:rsid w:val="00B500CA"/>
    <w:rsid w:val="00B53BB8"/>
    <w:rsid w:val="00B54605"/>
    <w:rsid w:val="00B54924"/>
    <w:rsid w:val="00B5597B"/>
    <w:rsid w:val="00B60E9B"/>
    <w:rsid w:val="00B659B6"/>
    <w:rsid w:val="00B66BDF"/>
    <w:rsid w:val="00B718FF"/>
    <w:rsid w:val="00B72F65"/>
    <w:rsid w:val="00B74D64"/>
    <w:rsid w:val="00B817BA"/>
    <w:rsid w:val="00B86F47"/>
    <w:rsid w:val="00B91EE3"/>
    <w:rsid w:val="00B9509F"/>
    <w:rsid w:val="00B96D1A"/>
    <w:rsid w:val="00BA45B2"/>
    <w:rsid w:val="00BB2F60"/>
    <w:rsid w:val="00BC1891"/>
    <w:rsid w:val="00BC4163"/>
    <w:rsid w:val="00BC68EF"/>
    <w:rsid w:val="00BD372A"/>
    <w:rsid w:val="00BD3EED"/>
    <w:rsid w:val="00BD5D71"/>
    <w:rsid w:val="00BD68A7"/>
    <w:rsid w:val="00BD733A"/>
    <w:rsid w:val="00BE3AB2"/>
    <w:rsid w:val="00BE65FE"/>
    <w:rsid w:val="00BE6605"/>
    <w:rsid w:val="00BF24E5"/>
    <w:rsid w:val="00BF5C36"/>
    <w:rsid w:val="00C0055D"/>
    <w:rsid w:val="00C038ED"/>
    <w:rsid w:val="00C07412"/>
    <w:rsid w:val="00C0741B"/>
    <w:rsid w:val="00C108F3"/>
    <w:rsid w:val="00C10E9F"/>
    <w:rsid w:val="00C1529E"/>
    <w:rsid w:val="00C1698D"/>
    <w:rsid w:val="00C17475"/>
    <w:rsid w:val="00C21C35"/>
    <w:rsid w:val="00C22D01"/>
    <w:rsid w:val="00C251B5"/>
    <w:rsid w:val="00C31024"/>
    <w:rsid w:val="00C31974"/>
    <w:rsid w:val="00C31C55"/>
    <w:rsid w:val="00C31E02"/>
    <w:rsid w:val="00C4282F"/>
    <w:rsid w:val="00C45AEE"/>
    <w:rsid w:val="00C5337D"/>
    <w:rsid w:val="00C55B5E"/>
    <w:rsid w:val="00C604D6"/>
    <w:rsid w:val="00C62F66"/>
    <w:rsid w:val="00C659D4"/>
    <w:rsid w:val="00C70AD2"/>
    <w:rsid w:val="00C719E8"/>
    <w:rsid w:val="00C766DE"/>
    <w:rsid w:val="00C7683E"/>
    <w:rsid w:val="00C80ED8"/>
    <w:rsid w:val="00C81E13"/>
    <w:rsid w:val="00C82C01"/>
    <w:rsid w:val="00C92E9D"/>
    <w:rsid w:val="00C947AD"/>
    <w:rsid w:val="00C972E4"/>
    <w:rsid w:val="00CC3392"/>
    <w:rsid w:val="00CC3D42"/>
    <w:rsid w:val="00CE167A"/>
    <w:rsid w:val="00CE49AE"/>
    <w:rsid w:val="00CE502A"/>
    <w:rsid w:val="00CF0D33"/>
    <w:rsid w:val="00CF5162"/>
    <w:rsid w:val="00CF6FFA"/>
    <w:rsid w:val="00D02871"/>
    <w:rsid w:val="00D05AA8"/>
    <w:rsid w:val="00D11C0C"/>
    <w:rsid w:val="00D3019E"/>
    <w:rsid w:val="00D352EC"/>
    <w:rsid w:val="00D43C64"/>
    <w:rsid w:val="00D45CEF"/>
    <w:rsid w:val="00D52BEE"/>
    <w:rsid w:val="00D53BE6"/>
    <w:rsid w:val="00D56801"/>
    <w:rsid w:val="00D57BC8"/>
    <w:rsid w:val="00D73DE1"/>
    <w:rsid w:val="00D75BE3"/>
    <w:rsid w:val="00D835B0"/>
    <w:rsid w:val="00D83F97"/>
    <w:rsid w:val="00D866E1"/>
    <w:rsid w:val="00D87BF1"/>
    <w:rsid w:val="00D97AA8"/>
    <w:rsid w:val="00DA05E6"/>
    <w:rsid w:val="00DA176C"/>
    <w:rsid w:val="00DB4971"/>
    <w:rsid w:val="00DB4F25"/>
    <w:rsid w:val="00DC05A6"/>
    <w:rsid w:val="00DC393E"/>
    <w:rsid w:val="00DC7F56"/>
    <w:rsid w:val="00DD20E6"/>
    <w:rsid w:val="00DD4BC0"/>
    <w:rsid w:val="00DD757A"/>
    <w:rsid w:val="00DE03BB"/>
    <w:rsid w:val="00DE48BB"/>
    <w:rsid w:val="00DF66BC"/>
    <w:rsid w:val="00E01EAF"/>
    <w:rsid w:val="00E0674C"/>
    <w:rsid w:val="00E13640"/>
    <w:rsid w:val="00E15294"/>
    <w:rsid w:val="00E15596"/>
    <w:rsid w:val="00E2049D"/>
    <w:rsid w:val="00E27791"/>
    <w:rsid w:val="00E27C6A"/>
    <w:rsid w:val="00E3316E"/>
    <w:rsid w:val="00E36244"/>
    <w:rsid w:val="00E36AEF"/>
    <w:rsid w:val="00E37A02"/>
    <w:rsid w:val="00E43047"/>
    <w:rsid w:val="00E541A8"/>
    <w:rsid w:val="00E610C6"/>
    <w:rsid w:val="00E64054"/>
    <w:rsid w:val="00E71812"/>
    <w:rsid w:val="00E73FE2"/>
    <w:rsid w:val="00E81D2F"/>
    <w:rsid w:val="00E87C37"/>
    <w:rsid w:val="00E93266"/>
    <w:rsid w:val="00E94A83"/>
    <w:rsid w:val="00EB1FB1"/>
    <w:rsid w:val="00EB4A26"/>
    <w:rsid w:val="00EC527D"/>
    <w:rsid w:val="00EC6AFD"/>
    <w:rsid w:val="00ED2AEE"/>
    <w:rsid w:val="00EE080C"/>
    <w:rsid w:val="00EE5179"/>
    <w:rsid w:val="00EF4B2C"/>
    <w:rsid w:val="00EF55D3"/>
    <w:rsid w:val="00F01B87"/>
    <w:rsid w:val="00F02834"/>
    <w:rsid w:val="00F06FB5"/>
    <w:rsid w:val="00F1243B"/>
    <w:rsid w:val="00F1358E"/>
    <w:rsid w:val="00F20190"/>
    <w:rsid w:val="00F234E6"/>
    <w:rsid w:val="00F24227"/>
    <w:rsid w:val="00F25A91"/>
    <w:rsid w:val="00F3587B"/>
    <w:rsid w:val="00F417DB"/>
    <w:rsid w:val="00F42255"/>
    <w:rsid w:val="00F46841"/>
    <w:rsid w:val="00F54DBD"/>
    <w:rsid w:val="00F626AC"/>
    <w:rsid w:val="00F6673D"/>
    <w:rsid w:val="00F67E8E"/>
    <w:rsid w:val="00F722D4"/>
    <w:rsid w:val="00F86DFA"/>
    <w:rsid w:val="00F92E07"/>
    <w:rsid w:val="00F952BB"/>
    <w:rsid w:val="00F966E6"/>
    <w:rsid w:val="00F96C2C"/>
    <w:rsid w:val="00FA2AA2"/>
    <w:rsid w:val="00FA3BBA"/>
    <w:rsid w:val="00FA6267"/>
    <w:rsid w:val="00FA68D7"/>
    <w:rsid w:val="00FB0FD1"/>
    <w:rsid w:val="00FB1C3D"/>
    <w:rsid w:val="00FB34B7"/>
    <w:rsid w:val="00FC22C1"/>
    <w:rsid w:val="00FC29F4"/>
    <w:rsid w:val="00FD3669"/>
    <w:rsid w:val="00FE0634"/>
    <w:rsid w:val="195B5958"/>
    <w:rsid w:val="52C319AC"/>
    <w:rsid w:val="63060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8C665"/>
  <w15:chartTrackingRefBased/>
  <w15:docId w15:val="{FB72A251-B1D4-4BA5-BA64-3C1CF28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2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2F2E"/>
  </w:style>
  <w:style w:type="character" w:customStyle="1" w:styleId="eop">
    <w:name w:val="eop"/>
    <w:basedOn w:val="DefaultParagraphFont"/>
    <w:rsid w:val="00AA2F2E"/>
  </w:style>
  <w:style w:type="character" w:customStyle="1" w:styleId="superscript">
    <w:name w:val="superscript"/>
    <w:basedOn w:val="DefaultParagraphFont"/>
    <w:rsid w:val="00AA2F2E"/>
  </w:style>
  <w:style w:type="paragraph" w:styleId="FootnoteText">
    <w:name w:val="footnote text"/>
    <w:basedOn w:val="Normal"/>
    <w:link w:val="FootnoteTextChar"/>
    <w:uiPriority w:val="99"/>
    <w:unhideWhenUsed/>
    <w:rsid w:val="006A137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A1370"/>
    <w:rPr>
      <w:sz w:val="20"/>
      <w:szCs w:val="20"/>
      <w:lang w:val="en-US"/>
    </w:rPr>
  </w:style>
  <w:style w:type="character" w:styleId="FootnoteReference">
    <w:name w:val="footnote reference"/>
    <w:basedOn w:val="DefaultParagraphFont"/>
    <w:uiPriority w:val="99"/>
    <w:semiHidden/>
    <w:unhideWhenUsed/>
    <w:rsid w:val="006A1370"/>
    <w:rPr>
      <w:vertAlign w:val="superscript"/>
    </w:rPr>
  </w:style>
  <w:style w:type="character" w:customStyle="1" w:styleId="findhit">
    <w:name w:val="findhit"/>
    <w:basedOn w:val="DefaultParagraphFont"/>
    <w:rsid w:val="00EB1FB1"/>
  </w:style>
  <w:style w:type="character" w:styleId="Emphasis">
    <w:name w:val="Emphasis"/>
    <w:basedOn w:val="DefaultParagraphFont"/>
    <w:uiPriority w:val="20"/>
    <w:qFormat/>
    <w:rsid w:val="00AA05D6"/>
    <w:rPr>
      <w:i/>
      <w:iCs/>
    </w:rPr>
  </w:style>
  <w:style w:type="character" w:styleId="Hyperlink">
    <w:name w:val="Hyperlink"/>
    <w:basedOn w:val="DefaultParagraphFont"/>
    <w:uiPriority w:val="99"/>
    <w:unhideWhenUsed/>
    <w:rsid w:val="00B74D64"/>
    <w:rPr>
      <w:color w:val="0563C1" w:themeColor="hyperlink"/>
      <w:u w:val="single"/>
    </w:rPr>
  </w:style>
  <w:style w:type="character" w:styleId="UnresolvedMention">
    <w:name w:val="Unresolved Mention"/>
    <w:basedOn w:val="DefaultParagraphFont"/>
    <w:uiPriority w:val="99"/>
    <w:semiHidden/>
    <w:unhideWhenUsed/>
    <w:rsid w:val="00B74D64"/>
    <w:rPr>
      <w:color w:val="605E5C"/>
      <w:shd w:val="clear" w:color="auto" w:fill="E1DFDD"/>
    </w:rPr>
  </w:style>
  <w:style w:type="character" w:styleId="FollowedHyperlink">
    <w:name w:val="FollowedHyperlink"/>
    <w:basedOn w:val="DefaultParagraphFont"/>
    <w:uiPriority w:val="99"/>
    <w:semiHidden/>
    <w:unhideWhenUsed/>
    <w:rsid w:val="00A91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31511">
      <w:bodyDiv w:val="1"/>
      <w:marLeft w:val="0"/>
      <w:marRight w:val="0"/>
      <w:marTop w:val="0"/>
      <w:marBottom w:val="0"/>
      <w:divBdr>
        <w:top w:val="none" w:sz="0" w:space="0" w:color="auto"/>
        <w:left w:val="none" w:sz="0" w:space="0" w:color="auto"/>
        <w:bottom w:val="none" w:sz="0" w:space="0" w:color="auto"/>
        <w:right w:val="none" w:sz="0" w:space="0" w:color="auto"/>
      </w:divBdr>
    </w:div>
    <w:div w:id="638804840">
      <w:bodyDiv w:val="1"/>
      <w:marLeft w:val="0"/>
      <w:marRight w:val="0"/>
      <w:marTop w:val="0"/>
      <w:marBottom w:val="0"/>
      <w:divBdr>
        <w:top w:val="none" w:sz="0" w:space="0" w:color="auto"/>
        <w:left w:val="none" w:sz="0" w:space="0" w:color="auto"/>
        <w:bottom w:val="none" w:sz="0" w:space="0" w:color="auto"/>
        <w:right w:val="none" w:sz="0" w:space="0" w:color="auto"/>
      </w:divBdr>
      <w:divsChild>
        <w:div w:id="88353237">
          <w:marLeft w:val="0"/>
          <w:marRight w:val="0"/>
          <w:marTop w:val="0"/>
          <w:marBottom w:val="0"/>
          <w:divBdr>
            <w:top w:val="none" w:sz="0" w:space="0" w:color="auto"/>
            <w:left w:val="none" w:sz="0" w:space="0" w:color="auto"/>
            <w:bottom w:val="none" w:sz="0" w:space="0" w:color="auto"/>
            <w:right w:val="none" w:sz="0" w:space="0" w:color="auto"/>
          </w:divBdr>
        </w:div>
        <w:div w:id="1946377247">
          <w:marLeft w:val="0"/>
          <w:marRight w:val="0"/>
          <w:marTop w:val="0"/>
          <w:marBottom w:val="0"/>
          <w:divBdr>
            <w:top w:val="none" w:sz="0" w:space="0" w:color="auto"/>
            <w:left w:val="none" w:sz="0" w:space="0" w:color="auto"/>
            <w:bottom w:val="none" w:sz="0" w:space="0" w:color="auto"/>
            <w:right w:val="none" w:sz="0" w:space="0" w:color="auto"/>
          </w:divBdr>
        </w:div>
      </w:divsChild>
    </w:div>
    <w:div w:id="942881576">
      <w:bodyDiv w:val="1"/>
      <w:marLeft w:val="0"/>
      <w:marRight w:val="0"/>
      <w:marTop w:val="0"/>
      <w:marBottom w:val="0"/>
      <w:divBdr>
        <w:top w:val="none" w:sz="0" w:space="0" w:color="auto"/>
        <w:left w:val="none" w:sz="0" w:space="0" w:color="auto"/>
        <w:bottom w:val="none" w:sz="0" w:space="0" w:color="auto"/>
        <w:right w:val="none" w:sz="0" w:space="0" w:color="auto"/>
      </w:divBdr>
    </w:div>
    <w:div w:id="1450540267">
      <w:bodyDiv w:val="1"/>
      <w:marLeft w:val="0"/>
      <w:marRight w:val="0"/>
      <w:marTop w:val="0"/>
      <w:marBottom w:val="0"/>
      <w:divBdr>
        <w:top w:val="none" w:sz="0" w:space="0" w:color="auto"/>
        <w:left w:val="none" w:sz="0" w:space="0" w:color="auto"/>
        <w:bottom w:val="none" w:sz="0" w:space="0" w:color="auto"/>
        <w:right w:val="none" w:sz="0" w:space="0" w:color="auto"/>
      </w:divBdr>
      <w:divsChild>
        <w:div w:id="999456400">
          <w:marLeft w:val="0"/>
          <w:marRight w:val="0"/>
          <w:marTop w:val="0"/>
          <w:marBottom w:val="0"/>
          <w:divBdr>
            <w:top w:val="none" w:sz="0" w:space="0" w:color="auto"/>
            <w:left w:val="none" w:sz="0" w:space="0" w:color="auto"/>
            <w:bottom w:val="none" w:sz="0" w:space="0" w:color="auto"/>
            <w:right w:val="none" w:sz="0" w:space="0" w:color="auto"/>
          </w:divBdr>
        </w:div>
        <w:div w:id="237061637">
          <w:marLeft w:val="0"/>
          <w:marRight w:val="0"/>
          <w:marTop w:val="0"/>
          <w:marBottom w:val="0"/>
          <w:divBdr>
            <w:top w:val="none" w:sz="0" w:space="0" w:color="auto"/>
            <w:left w:val="none" w:sz="0" w:space="0" w:color="auto"/>
            <w:bottom w:val="none" w:sz="0" w:space="0" w:color="auto"/>
            <w:right w:val="none" w:sz="0" w:space="0" w:color="auto"/>
          </w:divBdr>
        </w:div>
      </w:divsChild>
    </w:div>
    <w:div w:id="1908763386">
      <w:bodyDiv w:val="1"/>
      <w:marLeft w:val="0"/>
      <w:marRight w:val="0"/>
      <w:marTop w:val="0"/>
      <w:marBottom w:val="0"/>
      <w:divBdr>
        <w:top w:val="none" w:sz="0" w:space="0" w:color="auto"/>
        <w:left w:val="none" w:sz="0" w:space="0" w:color="auto"/>
        <w:bottom w:val="none" w:sz="0" w:space="0" w:color="auto"/>
        <w:right w:val="none" w:sz="0" w:space="0" w:color="auto"/>
      </w:divBdr>
      <w:divsChild>
        <w:div w:id="622229809">
          <w:marLeft w:val="0"/>
          <w:marRight w:val="0"/>
          <w:marTop w:val="0"/>
          <w:marBottom w:val="0"/>
          <w:divBdr>
            <w:top w:val="none" w:sz="0" w:space="0" w:color="auto"/>
            <w:left w:val="none" w:sz="0" w:space="0" w:color="auto"/>
            <w:bottom w:val="none" w:sz="0" w:space="0" w:color="auto"/>
            <w:right w:val="none" w:sz="0" w:space="0" w:color="auto"/>
          </w:divBdr>
        </w:div>
        <w:div w:id="204100330">
          <w:marLeft w:val="0"/>
          <w:marRight w:val="0"/>
          <w:marTop w:val="0"/>
          <w:marBottom w:val="0"/>
          <w:divBdr>
            <w:top w:val="none" w:sz="0" w:space="0" w:color="auto"/>
            <w:left w:val="none" w:sz="0" w:space="0" w:color="auto"/>
            <w:bottom w:val="none" w:sz="0" w:space="0" w:color="auto"/>
            <w:right w:val="none" w:sz="0" w:space="0" w:color="auto"/>
          </w:divBdr>
        </w:div>
      </w:divsChild>
    </w:div>
    <w:div w:id="21248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www.vatican.va/content/john-xxiii/en/encyclicals/documents/hf_j-xxiii_enc_11041963_pacem.html" TargetMode="External"/><Relationship Id="rId1" Type="http://schemas.openxmlformats.org/officeDocument/2006/relationships/hyperlink" Target="https://www.vaticannews.va/en/vatican-city/news/2019-10/newman-canonization-prince-charles-editorial-brit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6811-7A89-443E-8BC2-E76CBB5D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Phillips</dc:creator>
  <cp:keywords/>
  <dc:description/>
  <cp:lastModifiedBy>Jacob Phillips</cp:lastModifiedBy>
  <cp:revision>175</cp:revision>
  <dcterms:created xsi:type="dcterms:W3CDTF">2024-03-25T13:57:00Z</dcterms:created>
  <dcterms:modified xsi:type="dcterms:W3CDTF">2024-06-27T11:12:00Z</dcterms:modified>
</cp:coreProperties>
</file>