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D9255" w14:textId="71E5E939" w:rsidR="00A03033" w:rsidRPr="00B1213E" w:rsidRDefault="00913017" w:rsidP="00027419">
      <w:pPr>
        <w:spacing w:after="0" w:line="360" w:lineRule="auto"/>
        <w:jc w:val="both"/>
        <w:rPr>
          <w:rFonts w:ascii="Times New Roman" w:hAnsi="Times New Roman" w:cs="Times New Roman"/>
          <w:b/>
          <w:bCs/>
          <w:sz w:val="28"/>
          <w:szCs w:val="28"/>
        </w:rPr>
      </w:pPr>
      <w:bookmarkStart w:id="0" w:name="_Hlk182830182"/>
      <w:r w:rsidRPr="00B1213E">
        <w:rPr>
          <w:rFonts w:ascii="Times New Roman" w:hAnsi="Times New Roman" w:cs="Times New Roman"/>
          <w:b/>
          <w:bCs/>
          <w:sz w:val="28"/>
          <w:szCs w:val="28"/>
        </w:rPr>
        <w:t>ORIGINAL</w:t>
      </w:r>
      <w:r w:rsidR="3D9FB09B" w:rsidRPr="00B1213E">
        <w:rPr>
          <w:rFonts w:ascii="Times New Roman" w:hAnsi="Times New Roman" w:cs="Times New Roman"/>
          <w:b/>
          <w:bCs/>
          <w:sz w:val="28"/>
          <w:szCs w:val="28"/>
        </w:rPr>
        <w:t xml:space="preserve"> ARTICLE </w:t>
      </w:r>
    </w:p>
    <w:p w14:paraId="2B36B879" w14:textId="77777777" w:rsidR="00A03033" w:rsidRPr="00B1213E" w:rsidRDefault="00A03033" w:rsidP="00027419">
      <w:pPr>
        <w:spacing w:after="0" w:line="360" w:lineRule="auto"/>
        <w:jc w:val="both"/>
        <w:rPr>
          <w:rFonts w:ascii="Times New Roman" w:hAnsi="Times New Roman" w:cs="Times New Roman"/>
          <w:b/>
          <w:bCs/>
          <w:sz w:val="24"/>
          <w:szCs w:val="24"/>
        </w:rPr>
      </w:pPr>
    </w:p>
    <w:p w14:paraId="64A82E76" w14:textId="1160A206" w:rsidR="00FC013F" w:rsidRPr="00B1213E" w:rsidRDefault="3D9FB09B" w:rsidP="00027419">
      <w:pPr>
        <w:spacing w:after="0" w:line="360" w:lineRule="auto"/>
        <w:jc w:val="both"/>
        <w:rPr>
          <w:rFonts w:ascii="Times New Roman" w:hAnsi="Times New Roman" w:cs="Times New Roman"/>
          <w:sz w:val="28"/>
          <w:szCs w:val="28"/>
        </w:rPr>
      </w:pPr>
      <w:bookmarkStart w:id="1" w:name="_Hlk182829940"/>
      <w:r w:rsidRPr="00B1213E">
        <w:rPr>
          <w:rFonts w:ascii="Times New Roman" w:hAnsi="Times New Roman" w:cs="Times New Roman"/>
          <w:sz w:val="28"/>
          <w:szCs w:val="28"/>
        </w:rPr>
        <w:t>The dose-response effects of hydrolysed curcumin on recovery, inflammation and oxidative stress following exercise-induced muscle damage in males.</w:t>
      </w:r>
    </w:p>
    <w:bookmarkEnd w:id="1"/>
    <w:p w14:paraId="6A6AC66B" w14:textId="77777777" w:rsidR="001C6247" w:rsidRPr="00B1213E" w:rsidRDefault="001C6247" w:rsidP="00027419">
      <w:pPr>
        <w:spacing w:after="0" w:line="360" w:lineRule="auto"/>
        <w:jc w:val="both"/>
        <w:rPr>
          <w:rFonts w:ascii="Times New Roman" w:hAnsi="Times New Roman" w:cs="Times New Roman"/>
          <w:b/>
          <w:bCs/>
          <w:sz w:val="24"/>
          <w:szCs w:val="24"/>
        </w:rPr>
      </w:pPr>
    </w:p>
    <w:p w14:paraId="32A35AC7" w14:textId="7E1E8160" w:rsidR="00445419" w:rsidRPr="00B1213E" w:rsidRDefault="00445419" w:rsidP="00027419">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Toby</w:t>
      </w:r>
      <w:r w:rsidR="00795575" w:rsidRPr="00B1213E">
        <w:rPr>
          <w:rFonts w:ascii="Times New Roman" w:hAnsi="Times New Roman" w:cs="Times New Roman"/>
          <w:sz w:val="24"/>
          <w:szCs w:val="24"/>
        </w:rPr>
        <w:t xml:space="preserve"> A.</w:t>
      </w:r>
      <w:r w:rsidRPr="00B1213E">
        <w:rPr>
          <w:rFonts w:ascii="Times New Roman" w:hAnsi="Times New Roman" w:cs="Times New Roman"/>
          <w:sz w:val="24"/>
          <w:szCs w:val="24"/>
        </w:rPr>
        <w:t xml:space="preserve"> Helder</w:t>
      </w:r>
      <w:r w:rsidR="003258DF" w:rsidRPr="00B1213E">
        <w:rPr>
          <w:rFonts w:ascii="Times New Roman" w:hAnsi="Times New Roman" w:cs="Times New Roman"/>
          <w:sz w:val="24"/>
          <w:szCs w:val="24"/>
          <w:vertAlign w:val="superscript"/>
        </w:rPr>
        <w:t>1</w:t>
      </w:r>
      <w:r w:rsidR="00A71A1D" w:rsidRPr="00B1213E">
        <w:rPr>
          <w:rFonts w:ascii="Times New Roman" w:hAnsi="Times New Roman" w:cs="Times New Roman"/>
          <w:sz w:val="24"/>
          <w:szCs w:val="24"/>
          <w:vertAlign w:val="superscript"/>
        </w:rPr>
        <w:t>, 2</w:t>
      </w:r>
      <w:r w:rsidRPr="00B1213E">
        <w:rPr>
          <w:rFonts w:ascii="Times New Roman" w:hAnsi="Times New Roman" w:cs="Times New Roman"/>
          <w:sz w:val="24"/>
          <w:szCs w:val="24"/>
        </w:rPr>
        <w:t>, Sean Condon</w:t>
      </w:r>
      <w:r w:rsidR="002D695E" w:rsidRPr="00B1213E">
        <w:rPr>
          <w:rFonts w:ascii="Times New Roman" w:hAnsi="Times New Roman" w:cs="Times New Roman"/>
          <w:sz w:val="24"/>
          <w:szCs w:val="24"/>
          <w:vertAlign w:val="superscript"/>
        </w:rPr>
        <w:t>1</w:t>
      </w:r>
      <w:r w:rsidRPr="00B1213E">
        <w:rPr>
          <w:rFonts w:ascii="Times New Roman" w:hAnsi="Times New Roman" w:cs="Times New Roman"/>
          <w:sz w:val="24"/>
          <w:szCs w:val="24"/>
        </w:rPr>
        <w:t>, Ian Grant</w:t>
      </w:r>
      <w:r w:rsidR="00A71A1D" w:rsidRPr="00B1213E">
        <w:rPr>
          <w:rFonts w:ascii="Times New Roman" w:hAnsi="Times New Roman" w:cs="Times New Roman"/>
          <w:sz w:val="24"/>
          <w:szCs w:val="24"/>
          <w:vertAlign w:val="superscript"/>
        </w:rPr>
        <w:t>3</w:t>
      </w:r>
      <w:r w:rsidRPr="00B1213E">
        <w:rPr>
          <w:rFonts w:ascii="Times New Roman" w:hAnsi="Times New Roman" w:cs="Times New Roman"/>
          <w:sz w:val="24"/>
          <w:szCs w:val="24"/>
        </w:rPr>
        <w:t xml:space="preserve">, </w:t>
      </w:r>
      <w:r w:rsidR="00FD3707" w:rsidRPr="00B1213E">
        <w:rPr>
          <w:rFonts w:ascii="Times New Roman" w:hAnsi="Times New Roman" w:cs="Times New Roman"/>
          <w:sz w:val="24"/>
          <w:szCs w:val="24"/>
        </w:rPr>
        <w:t>Nathan A</w:t>
      </w:r>
      <w:r w:rsidR="00CA2905" w:rsidRPr="00B1213E">
        <w:rPr>
          <w:rFonts w:ascii="Times New Roman" w:hAnsi="Times New Roman" w:cs="Times New Roman"/>
          <w:sz w:val="24"/>
          <w:szCs w:val="24"/>
        </w:rPr>
        <w:t>.</w:t>
      </w:r>
      <w:r w:rsidR="00FD3707" w:rsidRPr="00B1213E">
        <w:rPr>
          <w:rFonts w:ascii="Times New Roman" w:hAnsi="Times New Roman" w:cs="Times New Roman"/>
          <w:sz w:val="24"/>
          <w:szCs w:val="24"/>
        </w:rPr>
        <w:t xml:space="preserve"> Lewis</w:t>
      </w:r>
      <w:r w:rsidR="00FD3707" w:rsidRPr="00B1213E">
        <w:rPr>
          <w:rFonts w:ascii="Times New Roman" w:hAnsi="Times New Roman" w:cs="Times New Roman"/>
          <w:sz w:val="24"/>
          <w:szCs w:val="24"/>
          <w:vertAlign w:val="superscript"/>
        </w:rPr>
        <w:t>2,6</w:t>
      </w:r>
      <w:r w:rsidR="00FD3707" w:rsidRPr="00B1213E">
        <w:rPr>
          <w:rFonts w:ascii="Times New Roman" w:hAnsi="Times New Roman" w:cs="Times New Roman"/>
          <w:sz w:val="24"/>
          <w:szCs w:val="24"/>
        </w:rPr>
        <w:t xml:space="preserve">, </w:t>
      </w:r>
      <w:r w:rsidRPr="00B1213E">
        <w:rPr>
          <w:rFonts w:ascii="Times New Roman" w:hAnsi="Times New Roman" w:cs="Times New Roman"/>
          <w:sz w:val="24"/>
          <w:szCs w:val="24"/>
        </w:rPr>
        <w:t>Jess</w:t>
      </w:r>
      <w:r w:rsidR="00310055" w:rsidRPr="00B1213E">
        <w:rPr>
          <w:rFonts w:ascii="Times New Roman" w:hAnsi="Times New Roman" w:cs="Times New Roman"/>
          <w:sz w:val="24"/>
          <w:szCs w:val="24"/>
        </w:rPr>
        <w:t>ica</w:t>
      </w:r>
      <w:r w:rsidRPr="00B1213E">
        <w:rPr>
          <w:rFonts w:ascii="Times New Roman" w:hAnsi="Times New Roman" w:cs="Times New Roman"/>
          <w:sz w:val="24"/>
          <w:szCs w:val="24"/>
        </w:rPr>
        <w:t xml:space="preserve"> Hill</w:t>
      </w:r>
      <w:r w:rsidR="003258DF" w:rsidRPr="00B1213E">
        <w:rPr>
          <w:rFonts w:ascii="Times New Roman" w:hAnsi="Times New Roman" w:cs="Times New Roman"/>
          <w:sz w:val="24"/>
          <w:szCs w:val="24"/>
          <w:vertAlign w:val="superscript"/>
        </w:rPr>
        <w:t>1</w:t>
      </w:r>
      <w:r w:rsidRPr="00B1213E">
        <w:rPr>
          <w:rFonts w:ascii="Times New Roman" w:hAnsi="Times New Roman" w:cs="Times New Roman"/>
          <w:sz w:val="24"/>
          <w:szCs w:val="24"/>
        </w:rPr>
        <w:t>, Charl</w:t>
      </w:r>
      <w:r w:rsidR="00FC013F" w:rsidRPr="00B1213E">
        <w:rPr>
          <w:rFonts w:ascii="Times New Roman" w:hAnsi="Times New Roman" w:cs="Times New Roman"/>
          <w:sz w:val="24"/>
          <w:szCs w:val="24"/>
        </w:rPr>
        <w:t>es</w:t>
      </w:r>
      <w:r w:rsidR="00795575" w:rsidRPr="00B1213E">
        <w:rPr>
          <w:rFonts w:ascii="Times New Roman" w:hAnsi="Times New Roman" w:cs="Times New Roman"/>
          <w:sz w:val="24"/>
          <w:szCs w:val="24"/>
        </w:rPr>
        <w:t xml:space="preserve"> R.</w:t>
      </w:r>
      <w:r w:rsidRPr="00B1213E">
        <w:rPr>
          <w:rFonts w:ascii="Times New Roman" w:hAnsi="Times New Roman" w:cs="Times New Roman"/>
          <w:sz w:val="24"/>
          <w:szCs w:val="24"/>
        </w:rPr>
        <w:t xml:space="preserve"> Pedlar</w:t>
      </w:r>
      <w:r w:rsidR="003258DF" w:rsidRPr="00B1213E">
        <w:rPr>
          <w:rFonts w:ascii="Times New Roman" w:hAnsi="Times New Roman" w:cs="Times New Roman"/>
          <w:sz w:val="24"/>
          <w:szCs w:val="24"/>
          <w:vertAlign w:val="superscript"/>
        </w:rPr>
        <w:t>1</w:t>
      </w:r>
      <w:r w:rsidR="00A71A1D" w:rsidRPr="00B1213E">
        <w:rPr>
          <w:rFonts w:ascii="Times New Roman" w:hAnsi="Times New Roman" w:cs="Times New Roman"/>
          <w:sz w:val="24"/>
          <w:szCs w:val="24"/>
          <w:vertAlign w:val="superscript"/>
        </w:rPr>
        <w:t>,2</w:t>
      </w:r>
      <w:r w:rsidR="002F2994" w:rsidRPr="00B1213E">
        <w:rPr>
          <w:rFonts w:ascii="Times New Roman" w:hAnsi="Times New Roman" w:cs="Times New Roman"/>
          <w:sz w:val="24"/>
          <w:szCs w:val="24"/>
          <w:vertAlign w:val="superscript"/>
        </w:rPr>
        <w:t>,5</w:t>
      </w:r>
      <w:r w:rsidRPr="00B1213E">
        <w:rPr>
          <w:rFonts w:ascii="Times New Roman" w:hAnsi="Times New Roman" w:cs="Times New Roman"/>
          <w:sz w:val="24"/>
          <w:szCs w:val="24"/>
        </w:rPr>
        <w:t>, Luke Hughes</w:t>
      </w:r>
      <w:r w:rsidR="00A71A1D" w:rsidRPr="00B1213E">
        <w:rPr>
          <w:rFonts w:ascii="Times New Roman" w:hAnsi="Times New Roman" w:cs="Times New Roman"/>
          <w:sz w:val="24"/>
          <w:szCs w:val="24"/>
          <w:vertAlign w:val="superscript"/>
        </w:rPr>
        <w:t>4</w:t>
      </w:r>
      <w:r w:rsidRPr="00B1213E">
        <w:rPr>
          <w:rFonts w:ascii="Times New Roman" w:hAnsi="Times New Roman" w:cs="Times New Roman"/>
          <w:sz w:val="24"/>
          <w:szCs w:val="24"/>
        </w:rPr>
        <w:t>.</w:t>
      </w:r>
    </w:p>
    <w:p w14:paraId="0D77B792" w14:textId="77777777" w:rsidR="003258DF" w:rsidRPr="00B1213E" w:rsidRDefault="003258DF" w:rsidP="00027419">
      <w:pPr>
        <w:spacing w:after="0" w:line="360" w:lineRule="auto"/>
        <w:jc w:val="both"/>
        <w:rPr>
          <w:rFonts w:ascii="Times New Roman" w:hAnsi="Times New Roman" w:cs="Times New Roman"/>
          <w:sz w:val="24"/>
          <w:szCs w:val="24"/>
        </w:rPr>
      </w:pPr>
    </w:p>
    <w:p w14:paraId="73851E7B" w14:textId="4B7ED101" w:rsidR="009C5D49" w:rsidRPr="00B1213E" w:rsidRDefault="3D9FB09B" w:rsidP="00027419">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vertAlign w:val="superscript"/>
        </w:rPr>
        <w:t>1</w:t>
      </w:r>
      <w:bookmarkStart w:id="2" w:name="OLE_LINK4"/>
      <w:r w:rsidRPr="00B1213E">
        <w:rPr>
          <w:rFonts w:ascii="Times New Roman" w:hAnsi="Times New Roman" w:cs="Times New Roman"/>
          <w:sz w:val="24"/>
          <w:szCs w:val="24"/>
        </w:rPr>
        <w:t>Faculty of Sport, Technology and Health Sciences, St. Mary’s University Twickenham, London, United Kingdom</w:t>
      </w:r>
      <w:bookmarkEnd w:id="2"/>
    </w:p>
    <w:p w14:paraId="12F98ED1" w14:textId="6FE138EA" w:rsidR="00A71A1D" w:rsidRPr="00B1213E" w:rsidRDefault="00A71A1D" w:rsidP="00027419">
      <w:pPr>
        <w:spacing w:after="0" w:line="360" w:lineRule="auto"/>
        <w:jc w:val="both"/>
        <w:rPr>
          <w:rFonts w:ascii="Times New Roman" w:hAnsi="Times New Roman" w:cs="Times New Roman"/>
          <w:b/>
          <w:bCs/>
          <w:sz w:val="24"/>
          <w:szCs w:val="24"/>
        </w:rPr>
      </w:pPr>
      <w:r w:rsidRPr="00B1213E">
        <w:rPr>
          <w:rFonts w:ascii="Times New Roman" w:hAnsi="Times New Roman" w:cs="Times New Roman"/>
          <w:sz w:val="24"/>
          <w:szCs w:val="24"/>
          <w:vertAlign w:val="superscript"/>
          <w:lang w:val="en-US"/>
        </w:rPr>
        <w:t>2</w:t>
      </w:r>
      <w:r w:rsidRPr="00B1213E">
        <w:t xml:space="preserve"> </w:t>
      </w:r>
      <w:proofErr w:type="spellStart"/>
      <w:r w:rsidR="005C0786" w:rsidRPr="00B1213E">
        <w:rPr>
          <w:rFonts w:ascii="Times New Roman" w:hAnsi="Times New Roman" w:cs="Times New Roman"/>
          <w:sz w:val="24"/>
          <w:szCs w:val="24"/>
          <w:lang w:val="en-US"/>
        </w:rPr>
        <w:t>O</w:t>
      </w:r>
      <w:r w:rsidRPr="00B1213E">
        <w:rPr>
          <w:rFonts w:ascii="Times New Roman" w:hAnsi="Times New Roman" w:cs="Times New Roman"/>
          <w:sz w:val="24"/>
          <w:szCs w:val="24"/>
          <w:lang w:val="en-US"/>
        </w:rPr>
        <w:t>rreco</w:t>
      </w:r>
      <w:proofErr w:type="spellEnd"/>
      <w:r w:rsidRPr="00B1213E">
        <w:rPr>
          <w:rFonts w:ascii="Times New Roman" w:hAnsi="Times New Roman" w:cs="Times New Roman"/>
          <w:sz w:val="24"/>
          <w:szCs w:val="24"/>
          <w:lang w:val="en-US"/>
        </w:rPr>
        <w:t xml:space="preserve">, Business Innovation Unit, University of Galway, Ireland  </w:t>
      </w:r>
    </w:p>
    <w:p w14:paraId="476152B3" w14:textId="53AFF1DA" w:rsidR="003258DF" w:rsidRPr="00B1213E" w:rsidRDefault="00A71A1D" w:rsidP="00027419">
      <w:pPr>
        <w:spacing w:after="0" w:line="360" w:lineRule="auto"/>
        <w:jc w:val="both"/>
        <w:rPr>
          <w:rFonts w:ascii="Times New Roman" w:hAnsi="Times New Roman" w:cs="Times New Roman"/>
          <w:b/>
          <w:bCs/>
          <w:sz w:val="24"/>
          <w:szCs w:val="24"/>
        </w:rPr>
      </w:pPr>
      <w:r w:rsidRPr="00B1213E">
        <w:rPr>
          <w:rFonts w:ascii="Times New Roman" w:hAnsi="Times New Roman" w:cs="Times New Roman"/>
          <w:sz w:val="24"/>
          <w:szCs w:val="24"/>
          <w:vertAlign w:val="superscript"/>
        </w:rPr>
        <w:t>3</w:t>
      </w:r>
      <w:r w:rsidR="003258DF" w:rsidRPr="00B1213E">
        <w:rPr>
          <w:rFonts w:ascii="Times New Roman" w:hAnsi="Times New Roman" w:cs="Times New Roman"/>
          <w:sz w:val="24"/>
          <w:szCs w:val="24"/>
          <w:vertAlign w:val="superscript"/>
        </w:rPr>
        <w:t xml:space="preserve"> </w:t>
      </w:r>
      <w:r w:rsidR="00227DDB" w:rsidRPr="00B1213E">
        <w:rPr>
          <w:rFonts w:ascii="Times New Roman" w:hAnsi="Times New Roman" w:cs="Times New Roman"/>
          <w:sz w:val="24"/>
          <w:szCs w:val="24"/>
        </w:rPr>
        <w:t>Applied and Human Sciences, Kingston University, UK</w:t>
      </w:r>
    </w:p>
    <w:p w14:paraId="24C10805" w14:textId="15197B5E" w:rsidR="003258DF" w:rsidRPr="00B1213E" w:rsidRDefault="00A71A1D" w:rsidP="00027419">
      <w:pPr>
        <w:spacing w:after="0" w:line="360" w:lineRule="auto"/>
        <w:jc w:val="both"/>
        <w:rPr>
          <w:rFonts w:ascii="Times New Roman" w:hAnsi="Times New Roman" w:cs="Times New Roman"/>
          <w:sz w:val="24"/>
          <w:szCs w:val="24"/>
          <w:lang w:val="en-US"/>
        </w:rPr>
      </w:pPr>
      <w:r w:rsidRPr="00B1213E">
        <w:rPr>
          <w:rFonts w:ascii="Times New Roman" w:hAnsi="Times New Roman" w:cs="Times New Roman"/>
          <w:sz w:val="24"/>
          <w:szCs w:val="24"/>
          <w:vertAlign w:val="superscript"/>
          <w:lang w:val="en-US"/>
        </w:rPr>
        <w:t>4</w:t>
      </w:r>
      <w:r w:rsidR="003258DF" w:rsidRPr="00B1213E">
        <w:rPr>
          <w:rFonts w:ascii="Times New Roman" w:hAnsi="Times New Roman" w:cs="Times New Roman"/>
          <w:sz w:val="24"/>
          <w:szCs w:val="24"/>
          <w:lang w:val="en-US"/>
        </w:rPr>
        <w:t xml:space="preserve"> Department of Sport Exercise &amp; Rehabilitation, Northumbria University, United Kingdom</w:t>
      </w:r>
    </w:p>
    <w:p w14:paraId="785A93D1" w14:textId="12F5A395" w:rsidR="002F2994" w:rsidRPr="00B1213E" w:rsidRDefault="002F2994" w:rsidP="00027419">
      <w:pPr>
        <w:spacing w:after="0" w:line="360" w:lineRule="auto"/>
        <w:jc w:val="both"/>
        <w:rPr>
          <w:rFonts w:ascii="Times New Roman" w:hAnsi="Times New Roman" w:cs="Times New Roman"/>
          <w:sz w:val="24"/>
          <w:szCs w:val="24"/>
          <w:lang w:val="en-US"/>
        </w:rPr>
      </w:pPr>
      <w:r w:rsidRPr="00B1213E">
        <w:rPr>
          <w:rFonts w:ascii="Times New Roman" w:hAnsi="Times New Roman" w:cs="Times New Roman"/>
          <w:sz w:val="24"/>
          <w:szCs w:val="24"/>
          <w:vertAlign w:val="superscript"/>
          <w:lang w:val="en-US"/>
        </w:rPr>
        <w:t>5</w:t>
      </w:r>
      <w:r w:rsidRPr="00B1213E">
        <w:rPr>
          <w:vertAlign w:val="superscript"/>
        </w:rPr>
        <w:t xml:space="preserve"> </w:t>
      </w:r>
      <w:r w:rsidRPr="00B1213E">
        <w:rPr>
          <w:rFonts w:ascii="Times New Roman" w:hAnsi="Times New Roman" w:cs="Times New Roman"/>
          <w:sz w:val="24"/>
          <w:szCs w:val="24"/>
          <w:lang w:val="en-US"/>
        </w:rPr>
        <w:t xml:space="preserve">Institute of Sport, Exercise and Health, Division of Surgery and Interventional Science, University College London, UK  </w:t>
      </w:r>
    </w:p>
    <w:p w14:paraId="2B128AA9" w14:textId="6B428E94" w:rsidR="00FD3707" w:rsidRPr="00B1213E" w:rsidRDefault="00FD3707" w:rsidP="00027419">
      <w:pPr>
        <w:spacing w:after="0" w:line="360" w:lineRule="auto"/>
        <w:jc w:val="both"/>
        <w:rPr>
          <w:rFonts w:ascii="Times New Roman" w:hAnsi="Times New Roman" w:cs="Times New Roman"/>
          <w:sz w:val="24"/>
          <w:szCs w:val="24"/>
          <w:lang w:val="en-US"/>
        </w:rPr>
      </w:pPr>
      <w:r w:rsidRPr="00B1213E">
        <w:rPr>
          <w:rFonts w:ascii="Times New Roman" w:hAnsi="Times New Roman" w:cs="Times New Roman"/>
          <w:sz w:val="24"/>
          <w:szCs w:val="24"/>
          <w:vertAlign w:val="superscript"/>
          <w:lang w:val="en-US"/>
        </w:rPr>
        <w:t>6</w:t>
      </w:r>
      <w:r w:rsidR="00D63195" w:rsidRPr="00B1213E">
        <w:rPr>
          <w:rFonts w:ascii="Times New Roman" w:hAnsi="Times New Roman" w:cs="Times New Roman"/>
          <w:sz w:val="24"/>
          <w:szCs w:val="24"/>
          <w:vertAlign w:val="superscript"/>
          <w:lang w:val="en-US"/>
        </w:rPr>
        <w:t xml:space="preserve"> </w:t>
      </w:r>
      <w:r w:rsidRPr="00B1213E">
        <w:rPr>
          <w:rFonts w:ascii="Times New Roman" w:hAnsi="Times New Roman" w:cs="Times New Roman"/>
          <w:sz w:val="24"/>
          <w:szCs w:val="24"/>
          <w:lang w:val="en-US"/>
        </w:rPr>
        <w:t xml:space="preserve">UK Sports Institute, </w:t>
      </w:r>
      <w:r w:rsidR="00C66701" w:rsidRPr="00B1213E">
        <w:rPr>
          <w:rFonts w:ascii="Times New Roman" w:hAnsi="Times New Roman" w:cs="Times New Roman"/>
          <w:sz w:val="24"/>
          <w:szCs w:val="24"/>
          <w:lang w:val="en-US"/>
        </w:rPr>
        <w:t xml:space="preserve">Athletes Training Village, </w:t>
      </w:r>
      <w:r w:rsidRPr="00B1213E">
        <w:rPr>
          <w:rFonts w:ascii="Times New Roman" w:hAnsi="Times New Roman" w:cs="Times New Roman"/>
          <w:sz w:val="24"/>
          <w:szCs w:val="24"/>
          <w:lang w:val="en-US"/>
        </w:rPr>
        <w:t xml:space="preserve">University of Bath, UK. </w:t>
      </w:r>
    </w:p>
    <w:p w14:paraId="4E121115" w14:textId="77777777" w:rsidR="003258DF" w:rsidRPr="00B1213E" w:rsidRDefault="003258DF" w:rsidP="00027419">
      <w:pPr>
        <w:spacing w:after="0" w:line="360" w:lineRule="auto"/>
        <w:jc w:val="both"/>
        <w:rPr>
          <w:rFonts w:ascii="Times New Roman" w:hAnsi="Times New Roman" w:cs="Times New Roman"/>
          <w:sz w:val="24"/>
          <w:szCs w:val="24"/>
          <w:lang w:val="en-US"/>
        </w:rPr>
      </w:pPr>
    </w:p>
    <w:p w14:paraId="27DFA614" w14:textId="2A49BCF8" w:rsidR="00027419" w:rsidRPr="00B1213E" w:rsidRDefault="00027419" w:rsidP="3D9FB09B">
      <w:pPr>
        <w:spacing w:after="0" w:line="360" w:lineRule="auto"/>
        <w:jc w:val="both"/>
        <w:rPr>
          <w:rFonts w:ascii="Times New Roman" w:hAnsi="Times New Roman" w:cs="Times New Roman"/>
          <w:sz w:val="24"/>
          <w:szCs w:val="24"/>
          <w:lang w:val="en-US"/>
        </w:rPr>
      </w:pPr>
    </w:p>
    <w:p w14:paraId="0D9288EC" w14:textId="77777777" w:rsidR="00027419" w:rsidRPr="00B1213E" w:rsidRDefault="00027419" w:rsidP="00027419">
      <w:pPr>
        <w:spacing w:after="0" w:line="360" w:lineRule="auto"/>
        <w:jc w:val="both"/>
        <w:rPr>
          <w:rFonts w:ascii="Times New Roman" w:hAnsi="Times New Roman" w:cs="Times New Roman"/>
          <w:sz w:val="24"/>
          <w:szCs w:val="24"/>
          <w:lang w:val="en-US"/>
        </w:rPr>
      </w:pPr>
    </w:p>
    <w:p w14:paraId="32F19735" w14:textId="77777777" w:rsidR="00027419" w:rsidRPr="00B1213E" w:rsidRDefault="00027419" w:rsidP="00027419">
      <w:pPr>
        <w:spacing w:after="0" w:line="360" w:lineRule="auto"/>
        <w:jc w:val="both"/>
        <w:rPr>
          <w:rFonts w:ascii="Times New Roman" w:hAnsi="Times New Roman" w:cs="Times New Roman"/>
          <w:sz w:val="24"/>
          <w:szCs w:val="24"/>
          <w:lang w:val="en-US"/>
        </w:rPr>
      </w:pPr>
    </w:p>
    <w:p w14:paraId="30D7F451" w14:textId="77777777" w:rsidR="00CA2905" w:rsidRPr="00B1213E" w:rsidRDefault="00CA2905" w:rsidP="00027419">
      <w:pPr>
        <w:spacing w:after="0" w:line="360" w:lineRule="auto"/>
        <w:jc w:val="both"/>
        <w:rPr>
          <w:rFonts w:ascii="Times New Roman" w:hAnsi="Times New Roman" w:cs="Times New Roman"/>
          <w:sz w:val="24"/>
          <w:szCs w:val="24"/>
          <w:lang w:val="en-US"/>
        </w:rPr>
      </w:pPr>
    </w:p>
    <w:p w14:paraId="282812F1" w14:textId="77777777" w:rsidR="00027419" w:rsidRPr="00B1213E" w:rsidRDefault="00027419" w:rsidP="00027419">
      <w:pPr>
        <w:spacing w:after="0" w:line="360" w:lineRule="auto"/>
        <w:jc w:val="both"/>
        <w:rPr>
          <w:rFonts w:ascii="Times New Roman" w:hAnsi="Times New Roman" w:cs="Times New Roman"/>
          <w:sz w:val="24"/>
          <w:szCs w:val="24"/>
          <w:lang w:val="en-US"/>
        </w:rPr>
      </w:pPr>
    </w:p>
    <w:p w14:paraId="2E296223" w14:textId="77777777" w:rsidR="00CE3254" w:rsidRPr="00B1213E" w:rsidRDefault="00CE3254" w:rsidP="00027419">
      <w:pPr>
        <w:spacing w:after="0" w:line="360" w:lineRule="auto"/>
        <w:jc w:val="both"/>
        <w:rPr>
          <w:rFonts w:ascii="Times New Roman" w:hAnsi="Times New Roman" w:cs="Times New Roman"/>
          <w:sz w:val="24"/>
          <w:szCs w:val="24"/>
          <w:lang w:val="en-US"/>
        </w:rPr>
      </w:pPr>
    </w:p>
    <w:p w14:paraId="6D7232DF" w14:textId="77777777" w:rsidR="00CE3254" w:rsidRPr="00B1213E" w:rsidRDefault="00CE3254" w:rsidP="00027419">
      <w:pPr>
        <w:spacing w:after="0" w:line="360" w:lineRule="auto"/>
        <w:jc w:val="both"/>
        <w:rPr>
          <w:rFonts w:ascii="Times New Roman" w:hAnsi="Times New Roman" w:cs="Times New Roman"/>
          <w:sz w:val="24"/>
          <w:szCs w:val="24"/>
          <w:lang w:val="en-US"/>
        </w:rPr>
      </w:pPr>
    </w:p>
    <w:p w14:paraId="23F70C03" w14:textId="77777777" w:rsidR="00CE3254" w:rsidRPr="00B1213E" w:rsidRDefault="00CE3254" w:rsidP="00027419">
      <w:pPr>
        <w:spacing w:after="0" w:line="360" w:lineRule="auto"/>
        <w:jc w:val="both"/>
        <w:rPr>
          <w:rFonts w:ascii="Times New Roman" w:hAnsi="Times New Roman" w:cs="Times New Roman"/>
          <w:sz w:val="24"/>
          <w:szCs w:val="24"/>
          <w:lang w:val="en-US"/>
        </w:rPr>
      </w:pPr>
    </w:p>
    <w:p w14:paraId="482A4119" w14:textId="77777777" w:rsidR="00CE3254" w:rsidRPr="00B1213E" w:rsidRDefault="00CE3254" w:rsidP="00027419">
      <w:pPr>
        <w:spacing w:after="0" w:line="360" w:lineRule="auto"/>
        <w:jc w:val="both"/>
        <w:rPr>
          <w:rFonts w:ascii="Times New Roman" w:hAnsi="Times New Roman" w:cs="Times New Roman"/>
          <w:sz w:val="24"/>
          <w:szCs w:val="24"/>
          <w:lang w:val="en-US"/>
        </w:rPr>
      </w:pPr>
    </w:p>
    <w:p w14:paraId="6C6B493C" w14:textId="77777777" w:rsidR="00CE3254" w:rsidRPr="00B1213E" w:rsidRDefault="00CE3254" w:rsidP="00027419">
      <w:pPr>
        <w:spacing w:after="0" w:line="360" w:lineRule="auto"/>
        <w:jc w:val="both"/>
        <w:rPr>
          <w:rFonts w:ascii="Times New Roman" w:hAnsi="Times New Roman" w:cs="Times New Roman"/>
          <w:sz w:val="24"/>
          <w:szCs w:val="24"/>
          <w:lang w:val="en-US"/>
        </w:rPr>
      </w:pPr>
    </w:p>
    <w:p w14:paraId="716343EE" w14:textId="2697BAB6" w:rsidR="003258DF" w:rsidRPr="00B1213E" w:rsidRDefault="003258DF" w:rsidP="00027419">
      <w:pPr>
        <w:spacing w:after="0" w:line="360" w:lineRule="auto"/>
        <w:jc w:val="both"/>
        <w:rPr>
          <w:rFonts w:ascii="Times New Roman" w:hAnsi="Times New Roman" w:cs="Times New Roman"/>
          <w:b/>
          <w:sz w:val="24"/>
          <w:szCs w:val="24"/>
          <w:lang w:val="en-AU"/>
        </w:rPr>
      </w:pPr>
      <w:r w:rsidRPr="00B1213E">
        <w:rPr>
          <w:rFonts w:ascii="Times New Roman" w:hAnsi="Times New Roman" w:cs="Times New Roman"/>
          <w:b/>
          <w:sz w:val="24"/>
          <w:szCs w:val="24"/>
          <w:lang w:val="en-AU"/>
        </w:rPr>
        <w:t xml:space="preserve">Corresponding Author: </w:t>
      </w:r>
      <w:r w:rsidRPr="00B1213E">
        <w:rPr>
          <w:rFonts w:ascii="Times New Roman" w:hAnsi="Times New Roman" w:cs="Times New Roman"/>
          <w:sz w:val="24"/>
          <w:szCs w:val="24"/>
          <w:lang w:val="en-AU"/>
        </w:rPr>
        <w:t xml:space="preserve">Toby </w:t>
      </w:r>
      <w:r w:rsidR="00B77DCE" w:rsidRPr="00B1213E">
        <w:rPr>
          <w:rFonts w:ascii="Times New Roman" w:hAnsi="Times New Roman" w:cs="Times New Roman"/>
          <w:sz w:val="24"/>
          <w:szCs w:val="24"/>
          <w:lang w:val="en-AU"/>
        </w:rPr>
        <w:t xml:space="preserve">A. </w:t>
      </w:r>
      <w:r w:rsidRPr="00B1213E">
        <w:rPr>
          <w:rFonts w:ascii="Times New Roman" w:hAnsi="Times New Roman" w:cs="Times New Roman"/>
          <w:sz w:val="24"/>
          <w:szCs w:val="24"/>
          <w:lang w:val="en-AU"/>
        </w:rPr>
        <w:t>Helder</w:t>
      </w:r>
    </w:p>
    <w:p w14:paraId="0831EE7C" w14:textId="076CF921" w:rsidR="003258DF" w:rsidRPr="00B1213E" w:rsidRDefault="003258DF" w:rsidP="00027419">
      <w:pPr>
        <w:spacing w:after="0" w:line="360" w:lineRule="auto"/>
        <w:jc w:val="both"/>
        <w:rPr>
          <w:rFonts w:ascii="Times New Roman" w:hAnsi="Times New Roman" w:cs="Times New Roman"/>
          <w:sz w:val="24"/>
          <w:szCs w:val="24"/>
          <w:lang w:val="en-AU"/>
        </w:rPr>
      </w:pPr>
      <w:r w:rsidRPr="00B1213E">
        <w:rPr>
          <w:rFonts w:ascii="Times New Roman" w:hAnsi="Times New Roman" w:cs="Times New Roman"/>
          <w:b/>
          <w:sz w:val="24"/>
          <w:szCs w:val="24"/>
          <w:lang w:val="en-AU"/>
        </w:rPr>
        <w:t xml:space="preserve">Contact: </w:t>
      </w:r>
      <w:r w:rsidRPr="00B1213E">
        <w:rPr>
          <w:rFonts w:ascii="Times New Roman" w:hAnsi="Times New Roman" w:cs="Times New Roman"/>
          <w:bCs/>
          <w:sz w:val="24"/>
          <w:szCs w:val="24"/>
          <w:lang w:val="en-AU"/>
        </w:rPr>
        <w:t>toby.helder@stmarys.ac.uk</w:t>
      </w:r>
    </w:p>
    <w:p w14:paraId="79C15935" w14:textId="447CD31E" w:rsidR="003258DF" w:rsidRPr="00B1213E" w:rsidRDefault="003258DF" w:rsidP="00027419">
      <w:pPr>
        <w:spacing w:after="0" w:line="360" w:lineRule="auto"/>
        <w:jc w:val="both"/>
        <w:rPr>
          <w:rFonts w:ascii="Times New Roman" w:hAnsi="Times New Roman" w:cs="Times New Roman"/>
          <w:b/>
          <w:bCs/>
          <w:sz w:val="24"/>
          <w:szCs w:val="24"/>
          <w:lang w:val="en-US"/>
        </w:rPr>
      </w:pPr>
      <w:r w:rsidRPr="00B1213E">
        <w:rPr>
          <w:rFonts w:ascii="Times New Roman" w:hAnsi="Times New Roman" w:cs="Times New Roman"/>
          <w:b/>
          <w:sz w:val="24"/>
          <w:szCs w:val="24"/>
          <w:lang w:val="en-US"/>
        </w:rPr>
        <w:t>Address</w:t>
      </w:r>
      <w:r w:rsidRPr="00B1213E">
        <w:rPr>
          <w:rFonts w:ascii="Times New Roman" w:hAnsi="Times New Roman" w:cs="Times New Roman"/>
          <w:sz w:val="24"/>
          <w:szCs w:val="24"/>
          <w:lang w:val="en-US"/>
        </w:rPr>
        <w:t xml:space="preserve">: </w:t>
      </w:r>
      <w:r w:rsidR="00FB724B" w:rsidRPr="00B1213E">
        <w:rPr>
          <w:rFonts w:ascii="Times New Roman" w:hAnsi="Times New Roman" w:cs="Times New Roman"/>
          <w:sz w:val="24"/>
          <w:szCs w:val="24"/>
          <w:lang w:val="en-US"/>
        </w:rPr>
        <w:t>Waldegrave Rd, Twickenham TW1 4SX</w:t>
      </w:r>
    </w:p>
    <w:p w14:paraId="09884A0E" w14:textId="1D1AB5AC" w:rsidR="003258DF" w:rsidRPr="00B1213E" w:rsidRDefault="003258DF" w:rsidP="00027419">
      <w:pPr>
        <w:spacing w:after="0" w:line="360" w:lineRule="auto"/>
        <w:jc w:val="both"/>
        <w:rPr>
          <w:rFonts w:ascii="Times New Roman" w:hAnsi="Times New Roman" w:cs="Times New Roman"/>
          <w:sz w:val="24"/>
          <w:szCs w:val="24"/>
          <w:lang w:val="en-US"/>
        </w:rPr>
      </w:pPr>
      <w:r w:rsidRPr="00B1213E">
        <w:rPr>
          <w:rFonts w:ascii="Times New Roman" w:hAnsi="Times New Roman" w:cs="Times New Roman"/>
          <w:b/>
          <w:sz w:val="24"/>
          <w:szCs w:val="24"/>
          <w:lang w:val="en-US"/>
        </w:rPr>
        <w:t xml:space="preserve">Words: </w:t>
      </w:r>
      <w:r w:rsidR="00506094" w:rsidRPr="00B1213E">
        <w:rPr>
          <w:rFonts w:ascii="Times New Roman" w:hAnsi="Times New Roman" w:cs="Times New Roman"/>
          <w:bCs/>
          <w:sz w:val="24"/>
          <w:szCs w:val="24"/>
          <w:lang w:val="en-US"/>
        </w:rPr>
        <w:t>4</w:t>
      </w:r>
      <w:r w:rsidR="0019699F">
        <w:rPr>
          <w:rFonts w:ascii="Times New Roman" w:hAnsi="Times New Roman" w:cs="Times New Roman"/>
          <w:bCs/>
          <w:sz w:val="24"/>
          <w:szCs w:val="24"/>
          <w:lang w:val="en-US"/>
        </w:rPr>
        <w:t>654</w:t>
      </w:r>
    </w:p>
    <w:p w14:paraId="4C8DC20B" w14:textId="7E4583C5" w:rsidR="003258DF" w:rsidRPr="00B1213E" w:rsidRDefault="003258DF" w:rsidP="4A0E2DAA">
      <w:pPr>
        <w:spacing w:after="0" w:line="360" w:lineRule="auto"/>
        <w:jc w:val="both"/>
        <w:rPr>
          <w:rFonts w:ascii="Times New Roman" w:hAnsi="Times New Roman" w:cs="Times New Roman"/>
          <w:sz w:val="24"/>
          <w:szCs w:val="24"/>
          <w:lang w:val="en-AU"/>
        </w:rPr>
      </w:pPr>
      <w:r w:rsidRPr="00B1213E">
        <w:rPr>
          <w:rFonts w:ascii="Times New Roman" w:hAnsi="Times New Roman" w:cs="Times New Roman"/>
          <w:b/>
          <w:bCs/>
          <w:sz w:val="24"/>
          <w:szCs w:val="24"/>
          <w:lang w:val="en-AU"/>
        </w:rPr>
        <w:t xml:space="preserve">Number of tables: </w:t>
      </w:r>
      <w:r w:rsidR="6EC34139" w:rsidRPr="00B1213E">
        <w:rPr>
          <w:rFonts w:ascii="Times New Roman" w:hAnsi="Times New Roman" w:cs="Times New Roman"/>
          <w:sz w:val="24"/>
          <w:szCs w:val="24"/>
          <w:lang w:val="en-AU"/>
        </w:rPr>
        <w:t>4</w:t>
      </w:r>
    </w:p>
    <w:p w14:paraId="7559FA5B" w14:textId="7D29E1E5" w:rsidR="003258DF" w:rsidRPr="00B1213E" w:rsidRDefault="3D9FB09B" w:rsidP="3D9FB09B">
      <w:pPr>
        <w:spacing w:after="0" w:line="360" w:lineRule="auto"/>
        <w:jc w:val="both"/>
        <w:rPr>
          <w:rFonts w:ascii="Times New Roman" w:hAnsi="Times New Roman" w:cs="Times New Roman"/>
          <w:sz w:val="24"/>
          <w:szCs w:val="24"/>
          <w:lang w:val="en-US"/>
        </w:rPr>
        <w:sectPr w:rsidR="003258DF" w:rsidRPr="00B1213E" w:rsidSect="004B3E6B">
          <w:headerReference w:type="default" r:id="rId8"/>
          <w:footerReference w:type="even" r:id="rId9"/>
          <w:footerReference w:type="default" r:id="rId10"/>
          <w:headerReference w:type="first" r:id="rId11"/>
          <w:footerReference w:type="first" r:id="rId12"/>
          <w:pgSz w:w="11900" w:h="16840"/>
          <w:pgMar w:top="1440" w:right="1440" w:bottom="1440" w:left="1440" w:header="709" w:footer="709" w:gutter="0"/>
          <w:lnNumType w:countBy="1"/>
          <w:cols w:space="708"/>
          <w:titlePg/>
          <w:docGrid w:linePitch="360"/>
        </w:sectPr>
      </w:pPr>
      <w:r w:rsidRPr="00B1213E">
        <w:rPr>
          <w:rFonts w:ascii="Times New Roman" w:hAnsi="Times New Roman" w:cs="Times New Roman"/>
          <w:b/>
          <w:bCs/>
          <w:sz w:val="24"/>
          <w:szCs w:val="24"/>
          <w:lang w:val="en-US"/>
        </w:rPr>
        <w:t xml:space="preserve">Number of figures: </w:t>
      </w:r>
      <w:r w:rsidR="00147E1A" w:rsidRPr="00B1213E">
        <w:rPr>
          <w:rFonts w:ascii="Times New Roman" w:hAnsi="Times New Roman" w:cs="Times New Roman"/>
          <w:sz w:val="24"/>
          <w:szCs w:val="24"/>
          <w:lang w:val="en-US"/>
        </w:rPr>
        <w:t>8</w:t>
      </w:r>
    </w:p>
    <w:bookmarkEnd w:id="0"/>
    <w:p w14:paraId="2156CB56" w14:textId="4D4A38E2" w:rsidR="003258DF" w:rsidRPr="00B1213E" w:rsidRDefault="008447D9" w:rsidP="00AB2A56">
      <w:pPr>
        <w:spacing w:after="0" w:line="360" w:lineRule="auto"/>
        <w:jc w:val="both"/>
        <w:rPr>
          <w:rFonts w:ascii="Times New Roman" w:hAnsi="Times New Roman" w:cs="Times New Roman"/>
          <w:b/>
          <w:bCs/>
          <w:sz w:val="24"/>
          <w:szCs w:val="24"/>
          <w:lang w:val="en-US"/>
        </w:rPr>
      </w:pPr>
      <w:r w:rsidRPr="00B1213E">
        <w:rPr>
          <w:rFonts w:ascii="Times New Roman" w:hAnsi="Times New Roman" w:cs="Times New Roman"/>
          <w:b/>
          <w:bCs/>
          <w:sz w:val="24"/>
          <w:szCs w:val="24"/>
          <w:lang w:val="en-US"/>
        </w:rPr>
        <w:lastRenderedPageBreak/>
        <w:t>ABSTRACT</w:t>
      </w:r>
    </w:p>
    <w:p w14:paraId="07BD8020" w14:textId="19D023BD" w:rsidR="00EA459D" w:rsidRPr="00B1213E" w:rsidRDefault="00EA459D" w:rsidP="00EA459D">
      <w:pPr>
        <w:spacing w:line="360" w:lineRule="auto"/>
        <w:ind w:firstLine="720"/>
        <w:rPr>
          <w:rFonts w:ascii="Times New Roman" w:hAnsi="Times New Roman" w:cs="Times New Roman"/>
        </w:rPr>
      </w:pPr>
      <w:r w:rsidRPr="00B1213E">
        <w:rPr>
          <w:rFonts w:ascii="Times New Roman" w:hAnsi="Times New Roman" w:cs="Times New Roman"/>
        </w:rPr>
        <w:t>This study investigated the effects of two dosages (750</w:t>
      </w:r>
      <w:r w:rsidR="004E19A4" w:rsidRPr="00B1213E">
        <w:rPr>
          <w:rFonts w:ascii="Times New Roman" w:hAnsi="Times New Roman" w:cs="Times New Roman"/>
        </w:rPr>
        <w:t xml:space="preserve"> </w:t>
      </w:r>
      <w:r w:rsidRPr="00B1213E">
        <w:rPr>
          <w:rFonts w:ascii="Times New Roman" w:hAnsi="Times New Roman" w:cs="Times New Roman"/>
        </w:rPr>
        <w:t>mg and 1500</w:t>
      </w:r>
      <w:r w:rsidR="004E19A4" w:rsidRPr="00B1213E">
        <w:rPr>
          <w:rFonts w:ascii="Times New Roman" w:hAnsi="Times New Roman" w:cs="Times New Roman"/>
        </w:rPr>
        <w:t xml:space="preserve"> </w:t>
      </w:r>
      <w:r w:rsidRPr="00B1213E">
        <w:rPr>
          <w:rFonts w:ascii="Times New Roman" w:hAnsi="Times New Roman" w:cs="Times New Roman"/>
        </w:rPr>
        <w:t>mg) of hydrolysed curcumin on physiological recovery following exercise-induced muscle damage (EIMD). In a randomi</w:t>
      </w:r>
      <w:r w:rsidR="000E21C7" w:rsidRPr="00B1213E">
        <w:rPr>
          <w:rFonts w:ascii="Times New Roman" w:hAnsi="Times New Roman" w:cs="Times New Roman"/>
        </w:rPr>
        <w:t>s</w:t>
      </w:r>
      <w:r w:rsidRPr="00B1213E">
        <w:rPr>
          <w:rFonts w:ascii="Times New Roman" w:hAnsi="Times New Roman" w:cs="Times New Roman"/>
        </w:rPr>
        <w:t xml:space="preserve">ed, placebo-controlled, double-blind design, 34 recreationally active males (27 ± 6 years; 180 ± 7.3 cm; 82 ± 11.3 kg) were assigned </w:t>
      </w:r>
      <w:r w:rsidR="00CC6D45" w:rsidRPr="00B1213E">
        <w:rPr>
          <w:rFonts w:ascii="Times New Roman" w:hAnsi="Times New Roman" w:cs="Times New Roman"/>
        </w:rPr>
        <w:t xml:space="preserve">to </w:t>
      </w:r>
      <w:r w:rsidRPr="00B1213E">
        <w:rPr>
          <w:rFonts w:ascii="Times New Roman" w:hAnsi="Times New Roman" w:cs="Times New Roman"/>
        </w:rPr>
        <w:t>three groups: PLA (2 × 750-mg/day placebo), LOW (1 × 750-mg/day curcumin + 1 × 750-mg/day placebo), and HIGH (2 × 750-mg/day curcumin). Supplements were delivered in 15</w:t>
      </w:r>
      <w:r w:rsidR="007D0526" w:rsidRPr="00B1213E">
        <w:rPr>
          <w:rFonts w:ascii="Times New Roman" w:hAnsi="Times New Roman" w:cs="Times New Roman"/>
        </w:rPr>
        <w:t xml:space="preserve"> </w:t>
      </w:r>
      <w:r w:rsidRPr="00B1213E">
        <w:rPr>
          <w:rFonts w:ascii="Times New Roman" w:hAnsi="Times New Roman" w:cs="Times New Roman"/>
        </w:rPr>
        <w:t>m</w:t>
      </w:r>
      <w:r w:rsidR="0057634E" w:rsidRPr="00B1213E">
        <w:rPr>
          <w:rFonts w:ascii="Times New Roman" w:hAnsi="Times New Roman" w:cs="Times New Roman"/>
        </w:rPr>
        <w:t>L</w:t>
      </w:r>
      <w:r w:rsidRPr="00B1213E">
        <w:rPr>
          <w:rFonts w:ascii="Times New Roman" w:hAnsi="Times New Roman" w:cs="Times New Roman"/>
        </w:rPr>
        <w:t xml:space="preserve"> </w:t>
      </w:r>
      <w:r w:rsidR="006D6E8A" w:rsidRPr="00B1213E">
        <w:rPr>
          <w:rFonts w:ascii="Times New Roman" w:hAnsi="Times New Roman" w:cs="Times New Roman"/>
        </w:rPr>
        <w:t xml:space="preserve">gel </w:t>
      </w:r>
      <w:r w:rsidRPr="00B1213E">
        <w:rPr>
          <w:rFonts w:ascii="Times New Roman" w:hAnsi="Times New Roman" w:cs="Times New Roman"/>
        </w:rPr>
        <w:t xml:space="preserve">sachets over </w:t>
      </w:r>
      <w:r w:rsidR="00CC6D45" w:rsidRPr="00B1213E">
        <w:rPr>
          <w:rFonts w:ascii="Times New Roman" w:hAnsi="Times New Roman" w:cs="Times New Roman"/>
        </w:rPr>
        <w:t xml:space="preserve">seven days, </w:t>
      </w:r>
      <w:r w:rsidRPr="00B1213E">
        <w:rPr>
          <w:rFonts w:ascii="Times New Roman" w:hAnsi="Times New Roman" w:cs="Times New Roman"/>
        </w:rPr>
        <w:t>starting 48</w:t>
      </w:r>
      <w:r w:rsidR="0057634E" w:rsidRPr="00B1213E">
        <w:rPr>
          <w:rFonts w:ascii="Times New Roman" w:hAnsi="Times New Roman" w:cs="Times New Roman"/>
        </w:rPr>
        <w:t xml:space="preserve"> </w:t>
      </w:r>
      <w:r w:rsidRPr="00B1213E">
        <w:rPr>
          <w:rFonts w:ascii="Times New Roman" w:hAnsi="Times New Roman" w:cs="Times New Roman"/>
        </w:rPr>
        <w:t>h</w:t>
      </w:r>
      <w:r w:rsidR="0069142D" w:rsidRPr="00B1213E">
        <w:rPr>
          <w:rFonts w:ascii="Times New Roman" w:hAnsi="Times New Roman" w:cs="Times New Roman"/>
        </w:rPr>
        <w:t xml:space="preserve"> </w:t>
      </w:r>
      <w:r w:rsidRPr="00B1213E">
        <w:rPr>
          <w:rFonts w:ascii="Times New Roman" w:hAnsi="Times New Roman" w:cs="Times New Roman"/>
        </w:rPr>
        <w:t xml:space="preserve">before EIMD. The EIMD protocol </w:t>
      </w:r>
      <w:r w:rsidR="00CC6D45" w:rsidRPr="00B1213E">
        <w:rPr>
          <w:rFonts w:ascii="Times New Roman" w:hAnsi="Times New Roman" w:cs="Times New Roman"/>
        </w:rPr>
        <w:t>involved</w:t>
      </w:r>
      <w:r w:rsidRPr="00B1213E">
        <w:rPr>
          <w:rFonts w:ascii="Times New Roman" w:hAnsi="Times New Roman" w:cs="Times New Roman"/>
        </w:rPr>
        <w:t xml:space="preserve"> 8 sets of 10 </w:t>
      </w:r>
      <w:r w:rsidR="008C50BE" w:rsidRPr="00B1213E">
        <w:rPr>
          <w:rFonts w:ascii="Times New Roman" w:hAnsi="Times New Roman" w:cs="Times New Roman"/>
        </w:rPr>
        <w:t>repetitions</w:t>
      </w:r>
      <w:r w:rsidRPr="00B1213E">
        <w:rPr>
          <w:rFonts w:ascii="Times New Roman" w:hAnsi="Times New Roman" w:cs="Times New Roman"/>
        </w:rPr>
        <w:t xml:space="preserve"> at 110% of one</w:t>
      </w:r>
      <w:r w:rsidR="0057634E" w:rsidRPr="00B1213E">
        <w:rPr>
          <w:rFonts w:ascii="Times New Roman" w:hAnsi="Times New Roman" w:cs="Times New Roman"/>
        </w:rPr>
        <w:t>-</w:t>
      </w:r>
      <w:r w:rsidRPr="00B1213E">
        <w:rPr>
          <w:rFonts w:ascii="Times New Roman" w:hAnsi="Times New Roman" w:cs="Times New Roman"/>
        </w:rPr>
        <w:t>repetition max</w:t>
      </w:r>
      <w:r w:rsidR="007D0526" w:rsidRPr="00B1213E">
        <w:rPr>
          <w:rFonts w:ascii="Times New Roman" w:hAnsi="Times New Roman" w:cs="Times New Roman"/>
        </w:rPr>
        <w:t>imum</w:t>
      </w:r>
      <w:r w:rsidRPr="00B1213E">
        <w:rPr>
          <w:rFonts w:ascii="Times New Roman" w:hAnsi="Times New Roman" w:cs="Times New Roman"/>
        </w:rPr>
        <w:t xml:space="preserve"> on the leg press, with 5-second eccentric</w:t>
      </w:r>
      <w:r w:rsidR="00CC6D45" w:rsidRPr="00B1213E">
        <w:rPr>
          <w:rFonts w:ascii="Times New Roman" w:hAnsi="Times New Roman" w:cs="Times New Roman"/>
        </w:rPr>
        <w:t xml:space="preserve"> phases</w:t>
      </w:r>
      <w:r w:rsidRPr="00B1213E">
        <w:rPr>
          <w:rFonts w:ascii="Times New Roman" w:hAnsi="Times New Roman" w:cs="Times New Roman"/>
        </w:rPr>
        <w:t xml:space="preserve"> and assisted </w:t>
      </w:r>
      <w:r w:rsidR="00CC6D45" w:rsidRPr="00B1213E">
        <w:rPr>
          <w:rFonts w:ascii="Times New Roman" w:hAnsi="Times New Roman" w:cs="Times New Roman"/>
        </w:rPr>
        <w:t>concentric phases</w:t>
      </w:r>
      <w:r w:rsidRPr="00B1213E">
        <w:rPr>
          <w:rFonts w:ascii="Times New Roman" w:hAnsi="Times New Roman" w:cs="Times New Roman"/>
        </w:rPr>
        <w:t>, targeting the quadriceps. Recovery was assessed</w:t>
      </w:r>
      <w:r w:rsidR="007D0526" w:rsidRPr="00B1213E">
        <w:rPr>
          <w:rFonts w:ascii="Times New Roman" w:hAnsi="Times New Roman" w:cs="Times New Roman"/>
        </w:rPr>
        <w:t xml:space="preserve"> p</w:t>
      </w:r>
      <w:r w:rsidRPr="00B1213E">
        <w:rPr>
          <w:rFonts w:ascii="Times New Roman" w:hAnsi="Times New Roman" w:cs="Times New Roman"/>
        </w:rPr>
        <w:t xml:space="preserve">re, </w:t>
      </w:r>
      <w:r w:rsidR="007D0526" w:rsidRPr="00B1213E">
        <w:rPr>
          <w:rFonts w:ascii="Times New Roman" w:hAnsi="Times New Roman" w:cs="Times New Roman"/>
        </w:rPr>
        <w:t>p</w:t>
      </w:r>
      <w:r w:rsidRPr="00B1213E">
        <w:rPr>
          <w:rFonts w:ascii="Times New Roman" w:hAnsi="Times New Roman" w:cs="Times New Roman"/>
        </w:rPr>
        <w:t>ost, 24, 48, and 72</w:t>
      </w:r>
      <w:r w:rsidR="00D903C0" w:rsidRPr="00B1213E">
        <w:rPr>
          <w:rFonts w:ascii="Times New Roman" w:hAnsi="Times New Roman" w:cs="Times New Roman"/>
        </w:rPr>
        <w:t xml:space="preserve"> </w:t>
      </w:r>
      <w:r w:rsidRPr="00B1213E">
        <w:rPr>
          <w:rFonts w:ascii="Times New Roman" w:hAnsi="Times New Roman" w:cs="Times New Roman"/>
        </w:rPr>
        <w:t>h post</w:t>
      </w:r>
      <w:r w:rsidR="00D601CC" w:rsidRPr="00B1213E">
        <w:rPr>
          <w:rFonts w:ascii="Times New Roman" w:hAnsi="Times New Roman" w:cs="Times New Roman"/>
        </w:rPr>
        <w:t>-</w:t>
      </w:r>
      <w:r w:rsidRPr="00B1213E">
        <w:rPr>
          <w:rFonts w:ascii="Times New Roman" w:hAnsi="Times New Roman" w:cs="Times New Roman"/>
        </w:rPr>
        <w:t xml:space="preserve">EIMD via </w:t>
      </w:r>
      <w:r w:rsidR="00A8710F" w:rsidRPr="00B1213E">
        <w:rPr>
          <w:rFonts w:ascii="Times New Roman" w:hAnsi="Times New Roman" w:cs="Times New Roman"/>
        </w:rPr>
        <w:t xml:space="preserve">the </w:t>
      </w:r>
      <w:r w:rsidRPr="00B1213E">
        <w:rPr>
          <w:rFonts w:ascii="Times New Roman" w:hAnsi="Times New Roman" w:cs="Times New Roman"/>
        </w:rPr>
        <w:t xml:space="preserve">Free Oxygen Radical Test (FORT), </w:t>
      </w:r>
      <w:r w:rsidR="0057634E" w:rsidRPr="00B1213E">
        <w:rPr>
          <w:rFonts w:ascii="Times New Roman" w:hAnsi="Times New Roman" w:cs="Times New Roman"/>
        </w:rPr>
        <w:t>c</w:t>
      </w:r>
      <w:r w:rsidRPr="00B1213E">
        <w:rPr>
          <w:rFonts w:ascii="Times New Roman" w:hAnsi="Times New Roman" w:cs="Times New Roman"/>
        </w:rPr>
        <w:t xml:space="preserve">reatine </w:t>
      </w:r>
      <w:r w:rsidR="0057634E" w:rsidRPr="00B1213E">
        <w:rPr>
          <w:rFonts w:ascii="Times New Roman" w:hAnsi="Times New Roman" w:cs="Times New Roman"/>
        </w:rPr>
        <w:t>k</w:t>
      </w:r>
      <w:r w:rsidRPr="00B1213E">
        <w:rPr>
          <w:rFonts w:ascii="Times New Roman" w:hAnsi="Times New Roman" w:cs="Times New Roman"/>
        </w:rPr>
        <w:t xml:space="preserve">inase (CK), </w:t>
      </w:r>
      <w:r w:rsidR="0057634E" w:rsidRPr="00B1213E">
        <w:rPr>
          <w:rFonts w:ascii="Times New Roman" w:hAnsi="Times New Roman" w:cs="Times New Roman"/>
        </w:rPr>
        <w:t>i</w:t>
      </w:r>
      <w:r w:rsidRPr="00B1213E">
        <w:rPr>
          <w:rFonts w:ascii="Times New Roman" w:hAnsi="Times New Roman" w:cs="Times New Roman"/>
        </w:rPr>
        <w:t xml:space="preserve">nterleukin-6 (IL-6), isokinetic peak power, and a muscle endurance test </w:t>
      </w:r>
      <w:r w:rsidR="00CC6D45" w:rsidRPr="00B1213E">
        <w:rPr>
          <w:rFonts w:ascii="Times New Roman" w:hAnsi="Times New Roman" w:cs="Times New Roman"/>
        </w:rPr>
        <w:t>(</w:t>
      </w:r>
      <w:r w:rsidRPr="00B1213E">
        <w:rPr>
          <w:rFonts w:ascii="Times New Roman" w:hAnsi="Times New Roman" w:cs="Times New Roman"/>
        </w:rPr>
        <w:t>sustained isometric contraction at 50% peak torque</w:t>
      </w:r>
      <w:r w:rsidR="00CC6D45" w:rsidRPr="00B1213E">
        <w:rPr>
          <w:rFonts w:ascii="Times New Roman" w:hAnsi="Times New Roman" w:cs="Times New Roman"/>
        </w:rPr>
        <w:t>)</w:t>
      </w:r>
      <w:r w:rsidRPr="00B1213E">
        <w:rPr>
          <w:rFonts w:ascii="Times New Roman" w:hAnsi="Times New Roman" w:cs="Times New Roman"/>
        </w:rPr>
        <w:t>. The HIGH group showed significantly greater reductions in pain, CK, FORT, and IL-6 (P &lt; 0.05), but slower muscle endurance recovery at 24</w:t>
      </w:r>
      <w:r w:rsidR="00D903C0" w:rsidRPr="00B1213E">
        <w:rPr>
          <w:rFonts w:ascii="Times New Roman" w:hAnsi="Times New Roman" w:cs="Times New Roman"/>
        </w:rPr>
        <w:t xml:space="preserve"> </w:t>
      </w:r>
      <w:r w:rsidRPr="00B1213E">
        <w:rPr>
          <w:rFonts w:ascii="Times New Roman" w:hAnsi="Times New Roman" w:cs="Times New Roman"/>
        </w:rPr>
        <w:t xml:space="preserve">h </w:t>
      </w:r>
      <w:r w:rsidR="00D601CC" w:rsidRPr="00B1213E">
        <w:rPr>
          <w:rFonts w:ascii="Times New Roman" w:hAnsi="Times New Roman" w:cs="Times New Roman"/>
        </w:rPr>
        <w:t xml:space="preserve">compared to </w:t>
      </w:r>
      <w:r w:rsidRPr="00B1213E">
        <w:rPr>
          <w:rFonts w:ascii="Times New Roman" w:hAnsi="Times New Roman" w:cs="Times New Roman"/>
        </w:rPr>
        <w:t>LOW. Findings suggest a dose</w:t>
      </w:r>
      <w:r w:rsidR="00D601CC" w:rsidRPr="00B1213E">
        <w:rPr>
          <w:rFonts w:ascii="Times New Roman" w:hAnsi="Times New Roman" w:cs="Times New Roman"/>
        </w:rPr>
        <w:t>–</w:t>
      </w:r>
      <w:r w:rsidRPr="00B1213E">
        <w:rPr>
          <w:rFonts w:ascii="Times New Roman" w:hAnsi="Times New Roman" w:cs="Times New Roman"/>
        </w:rPr>
        <w:t>response effect, with higher curcumin</w:t>
      </w:r>
      <w:r w:rsidR="00EE7A28" w:rsidRPr="00B1213E">
        <w:rPr>
          <w:rFonts w:ascii="Times New Roman" w:hAnsi="Times New Roman" w:cs="Times New Roman"/>
        </w:rPr>
        <w:t xml:space="preserve"> doses</w:t>
      </w:r>
      <w:r w:rsidRPr="00B1213E">
        <w:rPr>
          <w:rFonts w:ascii="Times New Roman" w:hAnsi="Times New Roman" w:cs="Times New Roman"/>
        </w:rPr>
        <w:t xml:space="preserve"> improving biochemical recovery but potentially impairing performance recovery.</w:t>
      </w:r>
    </w:p>
    <w:p w14:paraId="6BD1104E" w14:textId="77777777" w:rsidR="003258DF" w:rsidRPr="00B1213E" w:rsidRDefault="003258DF" w:rsidP="00027419">
      <w:pPr>
        <w:spacing w:after="0" w:line="360" w:lineRule="auto"/>
        <w:jc w:val="both"/>
        <w:rPr>
          <w:rFonts w:ascii="Times New Roman" w:hAnsi="Times New Roman" w:cs="Times New Roman"/>
          <w:b/>
          <w:bCs/>
          <w:sz w:val="24"/>
          <w:szCs w:val="24"/>
          <w:lang w:val="en-US"/>
        </w:rPr>
      </w:pPr>
    </w:p>
    <w:p w14:paraId="4E2928B9" w14:textId="77777777" w:rsidR="001713CC" w:rsidRPr="00B1213E" w:rsidRDefault="001713CC" w:rsidP="00027419">
      <w:pPr>
        <w:spacing w:after="0" w:line="360" w:lineRule="auto"/>
        <w:jc w:val="both"/>
        <w:rPr>
          <w:rFonts w:ascii="Times New Roman" w:hAnsi="Times New Roman" w:cs="Times New Roman"/>
          <w:b/>
          <w:bCs/>
          <w:sz w:val="24"/>
          <w:szCs w:val="24"/>
          <w:lang w:val="en-US"/>
        </w:rPr>
      </w:pPr>
    </w:p>
    <w:p w14:paraId="57AC4B46" w14:textId="77777777" w:rsidR="00913017" w:rsidRPr="00B1213E" w:rsidRDefault="00913017" w:rsidP="00027419">
      <w:pPr>
        <w:spacing w:after="0" w:line="360" w:lineRule="auto"/>
        <w:jc w:val="both"/>
        <w:rPr>
          <w:rFonts w:ascii="Times New Roman" w:hAnsi="Times New Roman" w:cs="Times New Roman"/>
          <w:b/>
          <w:bCs/>
          <w:sz w:val="24"/>
          <w:szCs w:val="24"/>
          <w:lang w:val="en-US"/>
        </w:rPr>
      </w:pPr>
    </w:p>
    <w:p w14:paraId="340B1EF0" w14:textId="77777777" w:rsidR="00913017" w:rsidRPr="00B1213E" w:rsidRDefault="00913017" w:rsidP="00027419">
      <w:pPr>
        <w:spacing w:after="0" w:line="360" w:lineRule="auto"/>
        <w:jc w:val="both"/>
        <w:rPr>
          <w:rFonts w:ascii="Times New Roman" w:hAnsi="Times New Roman" w:cs="Times New Roman"/>
          <w:b/>
          <w:bCs/>
          <w:sz w:val="24"/>
          <w:szCs w:val="24"/>
          <w:lang w:val="en-US"/>
        </w:rPr>
      </w:pPr>
    </w:p>
    <w:p w14:paraId="092BC834" w14:textId="77777777" w:rsidR="00913017" w:rsidRPr="00B1213E" w:rsidRDefault="00913017" w:rsidP="00027419">
      <w:pPr>
        <w:spacing w:after="0" w:line="360" w:lineRule="auto"/>
        <w:jc w:val="both"/>
        <w:rPr>
          <w:rFonts w:ascii="Times New Roman" w:hAnsi="Times New Roman" w:cs="Times New Roman"/>
          <w:b/>
          <w:bCs/>
          <w:sz w:val="24"/>
          <w:szCs w:val="24"/>
          <w:lang w:val="en-US"/>
        </w:rPr>
      </w:pPr>
    </w:p>
    <w:p w14:paraId="4A62D426" w14:textId="77777777" w:rsidR="00913017" w:rsidRPr="00B1213E" w:rsidRDefault="00913017" w:rsidP="00027419">
      <w:pPr>
        <w:spacing w:after="0" w:line="360" w:lineRule="auto"/>
        <w:jc w:val="both"/>
        <w:rPr>
          <w:rFonts w:ascii="Times New Roman" w:hAnsi="Times New Roman" w:cs="Times New Roman"/>
          <w:b/>
          <w:bCs/>
          <w:sz w:val="24"/>
          <w:szCs w:val="24"/>
          <w:lang w:val="en-US"/>
        </w:rPr>
      </w:pPr>
    </w:p>
    <w:p w14:paraId="5D55087E" w14:textId="77777777" w:rsidR="00913017" w:rsidRPr="00B1213E" w:rsidRDefault="00913017" w:rsidP="00027419">
      <w:pPr>
        <w:spacing w:after="0" w:line="360" w:lineRule="auto"/>
        <w:jc w:val="both"/>
        <w:rPr>
          <w:rFonts w:ascii="Times New Roman" w:hAnsi="Times New Roman" w:cs="Times New Roman"/>
          <w:b/>
          <w:bCs/>
          <w:sz w:val="24"/>
          <w:szCs w:val="24"/>
          <w:lang w:val="en-US"/>
        </w:rPr>
      </w:pPr>
    </w:p>
    <w:p w14:paraId="04A7734A" w14:textId="77777777" w:rsidR="001713CC" w:rsidRPr="00B1213E" w:rsidRDefault="001713CC" w:rsidP="00027419">
      <w:pPr>
        <w:spacing w:after="0" w:line="360" w:lineRule="auto"/>
        <w:jc w:val="both"/>
        <w:rPr>
          <w:rFonts w:ascii="Times New Roman" w:hAnsi="Times New Roman" w:cs="Times New Roman"/>
          <w:b/>
          <w:bCs/>
          <w:sz w:val="24"/>
          <w:szCs w:val="24"/>
          <w:lang w:val="en-US"/>
        </w:rPr>
      </w:pPr>
    </w:p>
    <w:p w14:paraId="56680E5D" w14:textId="70F895C4" w:rsidR="003258DF" w:rsidRPr="00B1213E" w:rsidRDefault="3D9FB09B" w:rsidP="3D9FB09B">
      <w:pPr>
        <w:spacing w:after="0" w:line="360" w:lineRule="auto"/>
        <w:jc w:val="both"/>
        <w:rPr>
          <w:rFonts w:ascii="Times New Roman" w:hAnsi="Times New Roman" w:cs="Times New Roman"/>
          <w:sz w:val="24"/>
          <w:szCs w:val="24"/>
        </w:rPr>
        <w:sectPr w:rsidR="003258DF" w:rsidRPr="00B1213E" w:rsidSect="004B3E6B">
          <w:headerReference w:type="default" r:id="rId13"/>
          <w:footerReference w:type="default" r:id="rId14"/>
          <w:pgSz w:w="11906" w:h="16838"/>
          <w:pgMar w:top="1440" w:right="1440" w:bottom="1440" w:left="1440" w:header="708" w:footer="708" w:gutter="0"/>
          <w:lnNumType w:countBy="1"/>
          <w:cols w:space="708"/>
          <w:titlePg/>
          <w:docGrid w:linePitch="360"/>
        </w:sectPr>
      </w:pPr>
      <w:r w:rsidRPr="00B1213E">
        <w:rPr>
          <w:rFonts w:ascii="Times New Roman" w:hAnsi="Times New Roman" w:cs="Times New Roman"/>
          <w:b/>
          <w:bCs/>
          <w:sz w:val="24"/>
          <w:szCs w:val="24"/>
        </w:rPr>
        <w:t xml:space="preserve">Keywords: </w:t>
      </w:r>
      <w:r w:rsidRPr="00B1213E">
        <w:rPr>
          <w:rFonts w:ascii="Times New Roman" w:hAnsi="Times New Roman" w:cs="Times New Roman"/>
          <w:sz w:val="24"/>
          <w:szCs w:val="24"/>
        </w:rPr>
        <w:t>Antioxidants, Delayed Onset Muscle Soreness, Eccentric Exercise, Redox, Turmeric.</w:t>
      </w:r>
    </w:p>
    <w:p w14:paraId="6DAD34F7" w14:textId="618CB035" w:rsidR="0094033A" w:rsidRPr="00B1213E" w:rsidRDefault="0094033A" w:rsidP="00AB2A56">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I</w:t>
      </w:r>
      <w:r w:rsidR="008447D9" w:rsidRPr="00B1213E">
        <w:rPr>
          <w:rFonts w:ascii="Times New Roman" w:hAnsi="Times New Roman" w:cs="Times New Roman"/>
          <w:b/>
          <w:bCs/>
          <w:sz w:val="24"/>
          <w:szCs w:val="24"/>
        </w:rPr>
        <w:t>NTRODUCTION</w:t>
      </w:r>
    </w:p>
    <w:p w14:paraId="1F8DD298" w14:textId="47A63687" w:rsidR="00901DB6" w:rsidRPr="00B1213E" w:rsidRDefault="3D9FB09B" w:rsidP="005145F3">
      <w:pPr>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High</w:t>
      </w:r>
      <w:r w:rsidR="006241CA"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intensity physical exercise can lead to exercise-induced muscle damage (EIMD) and delayed onset muscle soreness (DOMS)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{"citationID":"ix1rQXE7","properties":{"formattedCitation":"(Byrne et al., 2004)","plainCitation":"(Byrne et al., 2004)","noteIndex":0},"citationItems":[{"id":18,"uris":["http://zotero.org/users/local/7vKBzLRM/items/AZDHS6BZ"],"itemData":{"id":18,"type":"article-journal","abstract":"Exercise-induced muscle damage is a well documented phenomenon particularly resulting from eccentric exercise. When eccentric exercise is unaccustomed or is performed with an increased intensity or duration, the symptoms associated with muscle damage are a common outcome and are particularly associated with participation in athletic activity. Muscle damage results in an immediate and prolonged reduction in muscle function, most notably a reduction in force-generating capacity, which has been quantified in human studies through isometric and dynamic isokinetic testing modalities. Investigations of the torque-angular velocity relationship have failed to reveal a consistent pattern of change, with inconsistent reports of functional change being dependent on the muscle action and/or angular velocity of movement. The consequences of damage on dynamic, multi-joint, sport-specific movements would appear more pertinent with regard to athletic performance, but this aspect of muscle function has been studied less often. Reductions in the ability to generate power output during single-joint movements as well as during cycling and vertical jump movements have been documented. In addition, muscle damage has been observed to increase the physiological demand of endurance exercise and to increase thermal strain during exercise in the heat. The aims of this review are to summarise the functional decrements associated with exercise-induced muscle damage, relate these decrements to theoretical views regarding underlying mechanisms (i.e. sarcomere disruption, impaired excitation-contraction coupling, preferential fibre type damage, and impaired muscle metabolism), and finally to discuss the potential impact of muscle damage on athletic performance.","container-title":"Sports Medicine (Auckland, N.Z.)","DOI":"10.2165/00007256-200434010-00005","ISSN":"0112-1642","issue":"1","journalAbbreviation":"Sports Med","language":"eng","note":"PMID: 14715039","page":"49-69","source":"PubMed","title":"Neuromuscular function after exercise-induced muscle damage: theoretical and applied implications","title-short":"Neuromuscular function after exercise-induced muscle damage","volume":"34","author":[{"family":"Byrne","given":"Christopher"},{"family":"Twist","given":"Craig"},{"family":"Eston","given":"Roger"}],"issued":{"date-parts":[["2004"]]}}}],"schema":"https://github.com/citation-style-language/schema/raw/master/csl-citation.json"}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(Byrne et al., 2004)</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t>
      </w:r>
      <w:proofErr w:type="gramStart"/>
      <w:r w:rsidR="5063A74A" w:rsidRPr="00B1213E">
        <w:rPr>
          <w:rFonts w:ascii="Times New Roman" w:hAnsi="Times New Roman" w:cs="Times New Roman"/>
          <w:sz w:val="24"/>
          <w:szCs w:val="24"/>
        </w:rPr>
        <w:t>As a consequence of</w:t>
      </w:r>
      <w:proofErr w:type="gramEnd"/>
      <w:r w:rsidR="5063A74A" w:rsidRPr="00B1213E">
        <w:rPr>
          <w:rFonts w:ascii="Times New Roman" w:hAnsi="Times New Roman" w:cs="Times New Roman"/>
          <w:sz w:val="24"/>
          <w:szCs w:val="24"/>
        </w:rPr>
        <w:t xml:space="preserve"> mechanical loading, sarcomeres </w:t>
      </w:r>
      <w:r w:rsidR="721682F3" w:rsidRPr="00B1213E">
        <w:rPr>
          <w:rFonts w:ascii="Times New Roman" w:hAnsi="Times New Roman" w:cs="Times New Roman"/>
          <w:sz w:val="24"/>
          <w:szCs w:val="24"/>
        </w:rPr>
        <w:t>length</w:t>
      </w:r>
      <w:r w:rsidR="5063A74A" w:rsidRPr="00B1213E">
        <w:rPr>
          <w:rFonts w:ascii="Times New Roman" w:hAnsi="Times New Roman" w:cs="Times New Roman"/>
          <w:sz w:val="24"/>
          <w:szCs w:val="24"/>
        </w:rPr>
        <w:t>e</w:t>
      </w:r>
      <w:r w:rsidR="721682F3" w:rsidRPr="00B1213E">
        <w:rPr>
          <w:rFonts w:ascii="Times New Roman" w:hAnsi="Times New Roman" w:cs="Times New Roman"/>
          <w:sz w:val="24"/>
          <w:szCs w:val="24"/>
        </w:rPr>
        <w:t>n</w:t>
      </w:r>
      <w:r w:rsidR="5063A74A" w:rsidRPr="00B1213E">
        <w:rPr>
          <w:rFonts w:ascii="Times New Roman" w:hAnsi="Times New Roman" w:cs="Times New Roman"/>
          <w:sz w:val="24"/>
          <w:szCs w:val="24"/>
        </w:rPr>
        <w:t xml:space="preserve"> unevenly under tension, exhibiting non-uniform stretching, until they extend beyond the point of myofilament overlap.</w:t>
      </w:r>
      <w:r w:rsidR="74E03F05" w:rsidRPr="00B1213E">
        <w:rPr>
          <w:rFonts w:ascii="Times New Roman" w:hAnsi="Times New Roman" w:cs="Times New Roman"/>
          <w:sz w:val="24"/>
          <w:szCs w:val="24"/>
        </w:rPr>
        <w:t xml:space="preserve"> Inevitably</w:t>
      </w:r>
      <w:r w:rsidRPr="00B1213E">
        <w:rPr>
          <w:rFonts w:ascii="Times New Roman" w:hAnsi="Times New Roman" w:cs="Times New Roman"/>
          <w:sz w:val="24"/>
          <w:szCs w:val="24"/>
        </w:rPr>
        <w:t>, the myofilament structures become</w:t>
      </w:r>
      <w:r w:rsidR="4F1DB508" w:rsidRPr="00B1213E">
        <w:rPr>
          <w:rFonts w:ascii="Times New Roman" w:hAnsi="Times New Roman" w:cs="Times New Roman"/>
          <w:sz w:val="24"/>
          <w:szCs w:val="24"/>
        </w:rPr>
        <w:t xml:space="preserve"> over</w:t>
      </w:r>
      <w:r w:rsidRPr="00B1213E">
        <w:rPr>
          <w:rFonts w:ascii="Times New Roman" w:hAnsi="Times New Roman" w:cs="Times New Roman"/>
          <w:sz w:val="24"/>
          <w:szCs w:val="24"/>
        </w:rPr>
        <w:t xml:space="preserve">stretched and unable to overlap within the sarcomere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{"citationID":"F6fjCctG","properties":{"formattedCitation":"(Owens et al., 2019)","plainCitation":"(Owens et al., 2019)","noteIndex":0},"citationItems":[{"id":78,"uris":["http://zotero.org/users/local/7vKBzLRM/items/GTZ9FLSH"],"itemData":{"id":78,"type":"article-journal","abstract":"Exercise-induced muscle damage (EIMD) is characterized by symptoms that present both immediately and for up to 14 days after the initial exercise bout. The main consequence of EIMD for the athlete is the loss of skeletal muscle function and soreness. As such, numerous nutrients and functional foods have been examined for their potential to ameliorate the effects of EIMD and accelerate recovery, which is the purpose of many nutritional strategies for the athlete. However, the trade-off between recovery and adaptation is rarely considered. For example, many nutritional interventions described in this review target oxidative stress and inflammation, both thought to contribute to EIMD but are also crucial for the recovery and adaptation process. This calls into question whether long term administration of supplements and functional foods used to target EIMD is indeed best practice. This rapidly growing area of sports nutrition will benefit from careful consideration of the potential hormetic effect of long term use of nutritional aids that ameliorate muscle damage. This review provides a concise overview of what EIMD is, its causes and consequences and critically evaluates potential nutritional strategies to ameliorate EIMD. We present a pragmatic practical summary that can be adopted by practitioners and direct future research, with the purpose of pushing the field to better consider the fine balance between recovery and adaptation and the potential that nutritional interventions have in modulating this balance.","container-title":"European Journal of Sport Science","DOI":"10.1080/17461391.2018.1505957","ISSN":"1536-7290","issue":"1","journalAbbreviation":"Eur J Sport Sci","language":"eng","note":"PMID: 30110239","page":"71-85","source":"PubMed","title":"Exercise-induced muscle damage: What is it, what causes it and what are the nutritional solutions?","title-short":"Exercise-induced muscle damage","volume":"19","author":[{"family":"Owens","given":"Daniel J."},{"family":"Twist","given":"Craig"},{"family":"Cobley","given":"James N."},{"family":"Howatson","given":"Glyn"},{"family":"Close","given":"Graeme L."}],"issued":{"date-parts":[["2019",2]]}}}],"schema":"https://github.com/citation-style-language/schema/raw/master/csl-citation.json"}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(Owens et al., 2019)</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The structural damage that occurs during the primary phase triggers a secondary inflammatory response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{"citationID":"FSpEQ0Q1","properties":{"formattedCitation":"(Miles et al., 2008)","plainCitation":"(Miles et al., 2008)","noteIndex":0},"citationItems":[{"id":64,"uris":["http://zotero.org/users/local/7vKBzLRM/items/PNYU9DE4"],"itemData":{"id":64,"type":"article-journal","abstract":"This investigation determined whether inflammatory mediators 1) have diurnal variations, 2) respond to high-force eccentric exercise, and 3) associate with markers of muscle damage after high-force eccentric exercise. College-aged men and women (n = 51) completed exercise (3 x 15 maximal eccentric elbow flexor actions using 1 arm) and control conditions in random order. Blood was collected preexercise and 4, 8, 12, 24, 48, and 96 h postexercise. Additional measures included maximal isometric force and midbiceps arm circumference (to detect swelling). Serum and plasma were analyzed for soluble tumor necrosis factor receptor-1 (sTNFR1), IL-6, C-reactive protein, cortisol, and creatine kinase (CK) activity. Relative to the 7:00 AM point in the control condition, diurnal decreases were measured at 12:00 PM and 4:00 PM for IL-6 and at 12:00 PM, 4:00 PM, and 8:00 PM for sTNFR1 and cortisol. sTNFR1, IL-6, CK, swelling, and soreness were higher in the exercise compared with the control condition. The largest of the inflammatory mediator responses was measured for IL-6 8 h postexercise in the exercise (3.00 +/- 3.59 pg/ml) relative to the control condition (1.15 +/- 0.99 pg/ml). The IL-6 response (time-matched exercise--control concentration) at 8 h associated (r &gt; 0.282) with muscle soreness at 24 and 96 h, and the cortisol response at 8 h associated (r &gt; 0.285) with swelling at 8, 24, and 96 h. Thus soreness and swelling, but not CK and strength loss, had a low association with the inflammatory response following eccentric exercise.","container-title":"Journal of Applied Physiology (Bethesda, Md.: 1985)","DOI":"10.1152/japplphysiol.00572.2007","ISSN":"8750-7587","issue":"2","journalAbbreviation":"J Appl Physiol (1985)","language":"eng","note":"PMID: 18079262","page":"451-458","source":"PubMed","title":"Diurnal variation, response to eccentric exercise, and association of inflammatory mediators with muscle damage variables","volume":"104","author":[{"family":"Miles","given":"Mary P."},{"family":"Andring","given":"Jan M."},{"family":"Pearson","given":"Sherri D."},{"family":"Gordon","given":"Lindsay K."},{"family":"Kasper","given":"Christine"},{"family":"Depner","given":"Christopher M."},{"family":"Kidd","given":"Jessy R."}],"issued":{"date-parts":[["2008",2]]}}}],"schema":"https://github.com/citation-style-language/schema/raw/master/csl-citation.json"}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(Miles et al., 2008)</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which produces reactive oxygen species (ROS). ROS are essential for redox signalling pathways for adaptation</w:t>
      </w:r>
      <w:r w:rsidR="00621C25" w:rsidRPr="00B1213E">
        <w:rPr>
          <w:rFonts w:ascii="Times New Roman" w:hAnsi="Times New Roman" w:cs="Times New Roman"/>
          <w:sz w:val="24"/>
          <w:szCs w:val="24"/>
        </w:rPr>
        <w:t xml:space="preserve">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{"citationID":"PVl5Civg","properties":{"formattedCitation":"(Lennicke &amp; Cochem\\uc0\\u233{}, 2021)","plainCitation":"(Lennicke &amp; Cochemé, 2021)","noteIndex":0},"citationItems":[{"id":36,"uris":["http://zotero.org/users/local/7vKBzLRM/items/688MMCFZ"],"itemData":{"id":36,"type":"article-journal","abstract":"Redox reactions are intrinsically linked to energy metabolism. Therefore, redox processes are indispensable for organismal physiology and life itself. The term reactive oxygen species (ROS) describes a set of distinct molecular oxygen derivatives produced during normal aerobic metabolism. Multiple ROS-generating and ROS-eliminating systems actively maintain the intracellular redox state, which serves to mediate redox signaling and regulate cellular functions. ROS, in particular hydrogen peroxide (H2O2), are able to reversibly oxidize critical, redox-sensitive cysteine residues on target proteins. These oxidative post-translational modifications (PTMs) can control the biological activity of numerous enzymes and transcription factors (TFs), as well as their cellular localization or interactions with binding partners. In this review, we describe the diverse roles of redox regulation in the context of physiological cellular metabolism and provide insights into the pathophysiology of diseases when redox homeostasis is dysregulated.","container-title":"Molecular Cell","DOI":"10.1016/j.molcel.2021.08.018","ISSN":"1097-2765","issue":"18","journalAbbreviation":"Molecular Cell","page":"3691-3707","source":"ScienceDirect","title":"Redox metabolism: ROS as specific molecular regulators of cell signaling and function","title-short":"Redox metabolism","volume":"81","author":[{"family":"Lennicke","given":"Claudia"},{"family":"Cochemé","given":"Helena M."}],"issued":{"date-parts":[["2021",9,16]]}}}],"schema":"https://github.com/citation-style-language/schema/raw/master/csl-citation.json"}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(Lennicke &amp; Cochemé, 2021)</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However, if uncontrolled, ROS may cause further muscle damage, slowing down recovery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{"citationID":"ivmA6TKX","properties":{"formattedCitation":"(Peake et al., 2017; Powers &amp; Jackson, 2008)","plainCitation":"(Peake et al., 2017; Powers &amp; Jackson, 2008)","noteIndex":0},"citationItems":[{"id":87,"uris":["http://zotero.org/users/local/7vKBzLRM/items/545JUFP9"],"itemData":{"id":87,"type":"article-journal","abstract":"Unaccustomed exercise consisting of eccentric (i.e., lengthening) muscle contractions often results in muscle damage characterized by ultrastructural alterations in muscle tissue, clinical signs, and symptoms (e.g., reduced muscle strength and range of motion, increased muscle soreness and swelling, efflux of myocellular proteins). The time course of recovery following exercise-induced muscle damage depends on the extent of initial muscle damage, which in turn is influenced by the intensity and duration of exercise, joint angle/muscle length, and muscle groups used during exercise. The effects of these factors on muscle strength, soreness, and swelling are well characterized. By contrast, much less is known about how they affect intramuscular inflammation and molecular aspects of muscle adaptation/remodeling. Although inflammation has historically been viewed as detrimental for recovery from exercise, it is now generally accepted that inflammatory responses, if tightly regulated, are integral to muscle repair and regeneration. Animal studies have revealed that various cell types, including neutrophils, macrophages, mast cells, eosinophils, CD8 and T-regulatory lymphocytes, fibro-adipogenic progenitors, and pericytes help to facilitate muscle tissue regeneration. However, more research is required to determine whether these cells respond to exercise-induced muscle damage. A large body of research has investigated the efficacy of physicotherapeutic, pharmacological, and nutritional interventions for reducing the signs and symptoms of exercise-induced muscle damage, with mixed results. More research is needed to examine if/how these treatments influence inflammation and muscle remodeling during recovery from exercise.","container-title":"Journal of Applied Physiology (Bethesda, Md.: 1985)","DOI":"10.1152/japplphysiol.00971.2016","ISSN":"1522-1601","issue":"3","journalAbbreviation":"J Appl Physiol (1985)","language":"eng","note":"PMID: 28035017","page":"559-570","source":"PubMed","title":"Muscle damage and inflammation during recovery from exercise","volume":"122","author":[{"family":"Peake","given":"Jonathan M."},{"family":"Neubauer","given":"Oliver"},{"family":"Della Gatta","given":"Paul A."},{"family":"Nosaka","given":"Kazunori"}],"issued":{"date-parts":[["2017",3,1]]}}},{"id":90,"uris":["http://zotero.org/users/local/7vKBzLRM/items/UYKU8UFB"],"itemData":{"id":90,"type":"article-journal","abstract":"The first suggestion that physical exercise results in free radical-mediated damage to tissues appeared in 1978, and the past three decades have resulted in a large growth of knowledge regarding exercise and oxidative stress. Although the sources of oxidant production during exercise continue to be debated, it is now well established that both resting and contracting skeletal muscles produce reactive oxygen species and reactive nitrogen species. Importantly, intense and prolonged exercise can result in oxidative damage to both proteins and lipids in the contracting myocytes. Furthermore, oxidants can modulate a number of cell signaling pathways and regulate the expression of multiple genes in eukaryotic cells. This oxidant-mediated change in gene expression involves changes at transcriptional, mRNA stability, and signal transduction levels. Furthermore, numerous products associated with oxidant-modulated genes have been identified and include antioxidant enzymes, stress proteins, DNA repair proteins, and mitochondrial electron transport proteins. Interestingly, low and physiological levels of reactive oxygen species are required for normal force production in skeletal muscle, but high levels of reactive oxygen species promote contractile dysfunction resulting in muscle weakness and fatigue. Ongoing research continues to probe the mechanisms by which oxidants influence skeletal muscle contractile properties and to explore interventions capable of protecting muscle from oxidant-mediated dysfunction.","container-title":"Physiological Reviews","DOI":"10.1152/physrev.00031.2007","ISSN":"0031-9333","issue":"4","journalAbbreviation":"Physiol Rev","language":"eng","note":"PMID: 18923182\nPMCID: PMC2909187","page":"1243-1276","source":"PubMed","title":"Exercise-induced oxidative stress: cellular mechanisms and impact on muscle force production","title-short":"Exercise-induced oxidative stress","volume":"88","author":[{"family":"Powers","given":"Scott K."},{"family":"Jackson","given":"Malcolm J."}],"issued":{"date-parts":[["2008",10]]}}}],"schema":"https://github.com/citation-style-language/schema/raw/master/csl-citation.json"}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(Peake et al., 2017; Powers &amp; Jackson, 2008)</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This can increase locali</w:t>
      </w:r>
      <w:r w:rsidR="000E21C7" w:rsidRPr="00B1213E">
        <w:rPr>
          <w:rFonts w:ascii="Times New Roman" w:hAnsi="Times New Roman" w:cs="Times New Roman"/>
          <w:sz w:val="24"/>
          <w:szCs w:val="24"/>
        </w:rPr>
        <w:t>s</w:t>
      </w:r>
      <w:r w:rsidRPr="00B1213E">
        <w:rPr>
          <w:rFonts w:ascii="Times New Roman" w:hAnsi="Times New Roman" w:cs="Times New Roman"/>
          <w:sz w:val="24"/>
          <w:szCs w:val="24"/>
        </w:rPr>
        <w:t xml:space="preserve">ed </w:t>
      </w:r>
      <w:r w:rsidR="00C82343" w:rsidRPr="00B1213E">
        <w:rPr>
          <w:rFonts w:ascii="Times New Roman" w:hAnsi="Times New Roman" w:cs="Times New Roman"/>
          <w:sz w:val="24"/>
          <w:szCs w:val="24"/>
        </w:rPr>
        <w:t>oedema</w:t>
      </w:r>
      <w:r w:rsidRPr="00B1213E">
        <w:rPr>
          <w:rFonts w:ascii="Times New Roman" w:hAnsi="Times New Roman" w:cs="Times New Roman"/>
          <w:sz w:val="24"/>
          <w:szCs w:val="24"/>
        </w:rPr>
        <w:t xml:space="preserve">, induce DOMS, decrease the ability to generate muscle force, and increase the presence of muscle proteins such as creatine kinase (CK) in the blood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{"citationID":"6OaHkGJR","properties":{"formattedCitation":"(Fatouros &amp; Jamurtas, 2016)","plainCitation":"(Fatouros &amp; Jamurtas, 2016)","noteIndex":0},"citationItems":[{"id":30,"uris":["http://zotero.org/users/local/7vKBzLRM/items/VWZ9QL84"],"itemData":{"id":30,"type":"article-journal","abstract":"The study of exercise-induced muscle damage (EIMD) is of paramount importance not only because it affects athletic performance but also because it is an excellent model to study the mechanisms governing muscle cachexia under various clinical conditions. Although, a large number of studies have investigated EIMD and its associated inflammatory response, several aspects of skeletal muscles responses remain unclear. In the first section of this article, the mechanisms of EIMD are reviewed in an attempt to follow the events that result in functional and structural alterations of skeletal muscle. In the second section, the inflammatory response associated with EIMD is presented with emphasis in leukocyte accumulation through mechanisms that are largely coordinated by pro- and anti-inflammatory cytokines released either by injured muscle itself or other cells. The practical applications of EIMD and the subsequent inflammatory response are discussed with respect to athletic performance. Specifically, the mechanisms leading to performance deterioration and development of muscle soreness are discussed. Emphasis is given to the factors affecting individual responses to EIMD and the resulting interindividual variability to this phenomenon.","container-title":"Journal of Inflammation Research","DOI":"10.2147/JIR.S114635","ISSN":"1178-7031","journalAbbreviation":"J Inflamm Res","language":"eng","note":"PMID: 27799809\nPMCID: PMC5085309","page":"175-186","source":"PubMed","title":"Insights into the molecular etiology of exercise-induced inflammation: opportunities for optimizing performance","title-short":"Insights into the molecular etiology of exercise-induced inflammation","volume":"9","author":[{"family":"Fatouros","given":"Ioannis G."},{"family":"Jamurtas","given":"Athanasios Z."}],"issued":{"date-parts":[["2016"]]}}}],"schema":"https://github.com/citation-style-language/schema/raw/master/csl-citation.json"}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(Fatouros &amp; Jamurtas, 2016)</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The impairment of muscle function resulting from EIMD and DOMS can affect subsequent short-term athletic performance as well as render an individual more susceptible to injury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{"citationID":"4I2nsfBZ","properties":{"formattedCitation":"(Beba et al., 2022)","plainCitation":"(Beba et al., 2022)","noteIndex":0},"citationItems":[{"id":10,"uris":["http://zotero.org/users/local/7vKBzLRM/items/8DWWSIVM"],"itemData":{"id":10,"type":"article-journal","abstract":"To quantify the effects of curcumin supplementation on exercise-induced muscle damage, muscle soreness, inflammatory biomarkers, muscle strength, and joint flexibility via assessment of creatine kinase (CK), visual analogue scale (VAS) score, maximal voluntary contraction (MVC), and range of motion (ROM), respectively. Online databases, including PubMed, Google Scholar, and Scopus, were searched up to February 2021. RevMan® software (version 5.3) was used for assessing the risk of bias to assess the quality of studies. The mean differences (MD) and confidence intervals (95% CI) of CK activity (IU/L), VAS score, tumor necrosis factor (TNF-α) (pg/ml), interleukin-6 (IL-6) (pg/ml), IL-8 (pg/ml), MVC (nm) and ROM (degree) were pooled using a random- or fixed-effect model. Between-study heterogeneity was assessed using χ-square or I2 statistic. Ten trials met the eligibility criteria and were included in the pooled analysis. Meta-analysis showed that curcumin supplementation significantly reduced serum CK activity [WMD = -65.98 IU/L, 95% CI (-99.53 to -32.44)], muscle soreness [WMD = -0.56, 95% CI (-0.84 to -0.27)], and TNF-α concentration [WMD = -0.22 pg/ml, 95% CI (-0.33 to -0.10)]. Also, curcumin supplementation elicited significant improvements in MVC [WMD = 3.10 nm, 95% CI (1.45-4.75)] and ROM [WMD = 6.49°, 95% CI (3.91-9.07)], although no significant changes in IL-6 and IL-8 levels were found. Dose-response analysis indicated that there is a significant non-linear association between the daily dose and the final effect size regarding TNF-α. Curcumin supplementation may improve some aspects of DOMS, including muscle damage, muscle soreness, inflammation, muscle strength, and joint flexibility. Further, well-designed and high-quality studies with larger sample sizes are needed to ascertain the long-term effects and safety of curcumin supplementation.","container-title":"Phytotherapy research: PTR","DOI":"10.1002/ptr.7477","ISSN":"1099-1573","issue":"7","journalAbbreviation":"Phytother Res","language":"eng","note":"PMID: 35574627","page":"2767-2778","source":"PubMed","title":"The effect of curcumin supplementation on delayed-onset muscle soreness, inflammation, muscle strength, and joint flexibility: A systematic review and dose-response meta-analysis of randomized controlled trials","title-short":"The effect of curcumin supplementation on delayed-onset muscle soreness, inflammation, muscle strength, and joint flexibility","volume":"36","author":[{"family":"Beba","given":"Mohammad"},{"family":"Mohammadi","given":"Hamed"},{"family":"Clark","given":"Cain C. T."},{"family":"Djafarian","given":"Kurosh"}],"issued":{"date-parts":[["2022",7]]}}}],"schema":"https://github.com/citation-style-language/schema/raw/master/csl-citation.json"}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(Beba et al., 2022)</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Minimi</w:t>
      </w:r>
      <w:r w:rsidR="00C82343" w:rsidRPr="00B1213E">
        <w:rPr>
          <w:rFonts w:ascii="Times New Roman" w:hAnsi="Times New Roman" w:cs="Times New Roman"/>
          <w:sz w:val="24"/>
          <w:szCs w:val="24"/>
        </w:rPr>
        <w:t>s</w:t>
      </w:r>
      <w:r w:rsidRPr="00B1213E">
        <w:rPr>
          <w:rFonts w:ascii="Times New Roman" w:hAnsi="Times New Roman" w:cs="Times New Roman"/>
          <w:sz w:val="24"/>
          <w:szCs w:val="24"/>
        </w:rPr>
        <w:t xml:space="preserve">ing the negative effects of inflammatory and oxidative responses may improve recovery and prevent injury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{"citationID":"xmKZU6HP","properties":{"formattedCitation":"(Park &amp; Kwak, 2016; Slattery et al., 2015)","plainCitation":"(Park &amp; Kwak, 2016; Slattery et al., 2015)","noteIndex":0},"citationItems":[{"id":110,"uris":["http://zotero.org/users/local/7vKBzLRM/items/BZ4XN59E"],"itemData":{"id":110,"type":"article-journal","abstract":"During periods of intensified physical training, reactive oxygen species (ROS) release may exceed the protective capacity of the antioxidant system and lead to dysregulation within the inflammatory and neuroendocrinological systems. Consequently, the efficacy of exogenous antioxidant supplementation to maintain the oxidative balance in states of exercise stress has been widely investigated. The aim of this review was to (1) collate the findings of prior research on the effect of intensive physical training on oxidant-antioxidant balance; (2) summarise the influence of antioxidant supplementation on the reduction-oxidation signalling pathways involved in physiological adaptation; and (3) provide a synopsis on the interactions between the oxidative, inflammatory and neuroendocrinological response to exercise stimuli. Based on prior research, it is evident that ROS are an underlying aetiology in the adaptive process; however, the impact of antioxidant supplementation on physiological adaptation remains unclear. Equivocal results have been reported on the impact of antioxidant supplementation on exercise-induced gene expression. Further research is required to establish whether the interference of antioxidant supplementation consistently observed in animal-based and in vivo research extends to a practical sports setting. Moreover, the varied results reported within the literature may be due to the hormetic response of oxidative, inflammatory and neuroendocrinological systems to an exercise stimulus. The collective findings suggest that intensified physical training places substantial stress on the body, which can manifest as an adaptive or maladaptive physiological response. Additional research is required to determine the efficacy of antioxidant supplementation to minimise exercise-stress during intensive training and promote an adaptive state.","container-title":"Sports Medicine (Auckland, N.Z.)","DOI":"10.1007/s40279-014-0282-7","ISSN":"1179-2035","issue":"4","journalAbbreviation":"Sports Med","language":"eng","note":"PMID: 25398224","page":"453-471","source":"PubMed","title":"The role of oxidative, inflammatory and neuroendocrinological systems during exercise stress in athletes: implications of antioxidant supplementation on physiological adaptation during intensified physical training","title-short":"The role of oxidative, inflammatory and neuroendocrinological systems during exercise stress in athletes","volume":"45","author":[{"family":"Slattery","given":"Katie"},{"family":"Bentley","given":"David"},{"family":"Coutts","given":"Aaron J."}],"issued":{"date-parts":[["2015",4]]}}},{"id":84,"uris":["http://zotero.org/users/local/7vKBzLRM/items/WSTK96RZ"],"itemData":{"id":84,"type":"article-journal","abstract":"Exercise mediates an excessive free radical production leading to oxidative stress (OS). The body has natural antioxidant systems that help decrease OS, and these systems may be enhanced with exercise training. However, only a few studies have investigated the differences in resting OS and antioxidant capacity (AOC) between aerobically trained athletes (ET), anaerobically trained athletes (RT), and untrained individuals (UT). Therefore, this study sought to investigate the resting and postexercise OS and AOC in ET, RT, and UT. Sixty healthy young males (26.6±0.8 yr) participated in this study. Subjects were divided into three groups, ET, RT, and UT by distinct training background. Resting plasma malondialdehyde (MDA) and protein carbonyls (PC) were not significantly different in ET, RT, and UT. However, MDA and PC were significantly increased following a graded exercise test (GXT) in UT but not in ET and RT. Resting total antioxidant capacity (TAC) levels and TAC were not different in ET, RT, and UT. Interestingly, TAC levels significantly decreased after the GXT in all groups. Additionally, UT showed lower post-exercise TAC levels compared to ET and RT. These results showed that ET, RT, and UT have similar OS and AOC at rest. However, both ET and RT have greater AOC against exercise mediated OS compared to UT. These findings may explain, at least in part, why both aerobic and anaerobic types of exercise training improve redox balance. However, it appears there is no specific exercise type effect in terms of redox balance.","container-title":"Journal of Exercise Rehabilitation","DOI":"10.12965/jer.1632598.299","ISSN":"2288-176X","issue":"2","journalAbbreviation":"J Exerc Rehabil","language":"eng","note":"PMID: 27162773\nPMCID: PMC4849490","page":"113-117","source":"PubMed","title":"Impact of aerobic and anaerobic exercise training on oxidative stress and antioxidant defense in athletes","volume":"12","author":[{"family":"Park","given":"Song-Young"},{"family":"Kwak","given":"Yi-Sub"}],"issued":{"date-parts":[["2016",4]]}}}],"schema":"https://github.com/citation-style-language/schema/raw/master/csl-citation.json"}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(Park &amp; Kwak, 2016; Slattery et al., 2015)</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This could be particularly beneficial during competitive seasons in sports such as football, as it may reduce muscle fatigue from repeated training and competition exposure</w:t>
      </w:r>
      <w:r w:rsidR="00621C25" w:rsidRPr="00B1213E">
        <w:rPr>
          <w:rFonts w:ascii="Times New Roman" w:hAnsi="Times New Roman" w:cs="Times New Roman"/>
          <w:sz w:val="24"/>
          <w:szCs w:val="24"/>
        </w:rPr>
        <w:t xml:space="preserve"> </w:t>
      </w:r>
      <w:r w:rsidR="00621C2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{"citationID":"O9mHsF9t","properties":{"formattedCitation":"(Margaritelis et al., 2020)","plainCitation":"(Margaritelis et al., 2020)","noteIndex":0},"citationItems":[{"id":56,"uris":["http://zotero.org/users/local/7vKBzLRM/items/FQFEVIMX"],"itemData":{"id":56,"type":"article-journal","abstract":"The aim of the present study was to validate the idea of personalized redox supplementation by subjecting individuals to targeted and non-targeted antioxidant supplementation schemes. Seventy-three volunteers were screened for plasma vitamin C and erythrocyte glutathione levels. Three groups were formed: i) the \"low vitamin C″ group (12 individuals with the lowest vitamin C levels; Low VitC), ii) the \"low glutathione\" group (12 individuals with the lowest glutathione levels; Low GSH) and iii) a control group (12 individuals with moderate vitamin C and glutathione levels). The three groups received 1 g of vitamin C or 1.2 g of NAC daily for 30 days in a crossover design with a wash-out period of 30 days. Both antioxidant treatments reduced the increased resting systemic oxidative stress levels, assessed via urine F2-isoprostanes, in the Low VitC and Low GSH groups (P &lt; .05). A significant group × time interaction (P &lt; .05) was found for VO2max and isometric peak torque after both treatments, with the Low VitC and Low GSH groups exhibiting improved performance only after the targeted treatment (vitamin C and NAC, respectively). A significant group × time interaction (P &lt; .05) was found for fatigue index after NAC treatment, but not after vitamin C treatment. No interaction was found for the Wingate test after both treatments. Most of the evidence verifies the idea that antioxidant supplementation increases performance when a particular deficiency is reversed. This indicates that the presence of oxidative stress per se does not rationalize the use of antioxidants and emphasizes the need to identify \"responsive\" phenotypes.","container-title":"Free Radical Biology &amp; Medicine","DOI":"10.1016/j.freeradbiomed.2020.06.029","ISSN":"1873-4596","journalAbbreviation":"Free Radic Biol Med","language":"eng","note":"PMID: 32682929","page":"44-52","source":"PubMed","title":"Antioxidant supplementation, redox deficiencies and exercise performance: A falsification design","title-short":"Antioxidant supplementation, redox deficiencies and exercise performance","volume":"158","author":[{"family":"Margaritelis","given":"Nikos V."},{"family":"Paschalis","given":"Vassilis"},{"family":"Theodorou","given":"Anastasios A."},{"family":"Kyparos","given":"Antonios"},{"family":"Nikolaidis","given":"Michalis G."}],"issued":{"date-parts":[["2020",10]]}}}],"schema":"https://github.com/citation-style-language/schema/raw/master/csl-citation.json"} </w:instrText>
      </w:r>
      <w:r w:rsidR="00621C2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(Margaritelis et al., 2020)</w:t>
      </w:r>
      <w:r w:rsidR="00621C2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Consequently, strategies capable of controlling oxidative and inflammatory responses and minimising muscle damage have been progressively researched </w:t>
      </w:r>
      <w:r w:rsidR="004D0F61"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{"citationID":"evLPuvwl","properties":{"formattedCitation":"(Bell et al., 2016; Choi et al., 2023; Ms et al., 2020)","plainCitation":"(Bell et al., 2016; Choi et al., 2023; Ms et al., 2020)","noteIndex":0},"citationItems":[{"id":127,"uris":["http://zotero.org/users/local/7vKBzLRM/items/4TAKDFRV"],"itemData":{"id":127,"type":"article-journal","abstract":"This study investigated Montmorency tart cherry concentrate (MC) supplementation on markers of recovery following prolonged, intermittent sprint activity. Sixteen semi-professional, male soccer players, who had dietary restrictions imposed for the duration of the study, were divided into two equal groups and consumed either MC or placebo (PLA) supplementation for eight consecutive days (30 mL twice per day). On day 5, participants completed an adapted version of the Loughborough Intermittent Shuttle Test (LISTADAPT). Maximal voluntary isometric contraction (MVIC), 20 m Sprint, counter movement jump (CMJ), agility and muscle soreness (DOMS) were assessed at baseline, and 24, 48 and 72 h post-exercise. Measures of inflammation (IL-1-β, IL-6, IL-8, TNF-α, hsCRP), muscle damage (CK) and oxidative stress (LOOH) were analysed at baseline and 1, 3, 5, 24, 48 and 72 h post-exercise. Performance indices (MVIC, CMJ and agility) recovered faster and muscle soreness (DOMS) ratings were lower in the MC group (p &lt; 0.05). Additionally, the acute inflammatory response (IL-6) was attenuated in the MC group. There were no effects for LOOH and CK. These findings suggest MC is efficacious in accelerating recovery following prolonged, repeat sprint activity, such as soccer and rugby, and lends further evidence that polyphenol-rich foods like MC are effective in accelerating recovery following various types of strenuous exercise.","container-title":"Nutrients","DOI":"10.3390/nu8070441","ISSN":"2072-6643","issue":"7","journalAbbreviation":"Nutrients","language":"eng","note":"PMID: 27455316\nPMCID: PMC4963917","page":"441","source":"PubMed","title":"The Effects of Montmorency Tart Cherry Concentrate Supplementation on Recovery Following Prolonged, Intermittent Exercise","volume":"8","author":[{"family":"Bell","given":"Phillip G."},{"family":"Stevenson","given":"Emma"},{"family":"Davison","given":"Gareth W."},{"family":"Howatson","given":"Glyn"}],"issued":{"date-parts":[["2016",7,22]]}}},{"id":130,"uris":["http://zotero.org/users/local/7vKBzLRM/items/9UAM5HZT"],"itemData":{"id":130,"type":"article-journal","abstract":"PURPOSE: Curcumin, a major component of turmeric, has anti-inflammatory and antioxidative properties, which are associated with protective effects against muscle damage. This study examined the effects of dietary curcumin on inflammation and muscle damage in female competitive soccer players.\nMETHODS: A single-blinded, placebo-controlled, nonrandomized, crossover pilot study was conducted. Six competitive female soccer players (20.0 ± 2.0 yearsold) who participated in a 2-week preseason training program were assigned to two conditions: placebo and curcumin. The participants ingested a placebo or curcumin dosage (270 mg/day) during 2 weeks of preseason training, with 1 week of washout. Fasting blood samples were collected under resting conditions before (day 0) and after (day 15) the training period to examine changes in the concentration of interleukin 6 (IL-6), an inflammatory marker, and indices reflective of muscle damage.\nRESULTS: Curcumin decreased the concentration of IL-6 released (mean decrease, -30.2 ± 28.1%), whereas no decrease was observed in the placebo condition (13.4 ± 17.4%). Changes in plasma IL-6 concentrations were significantly greater in the curcumin condition than in the placebo condition (p &amp;lt; 0.05). However, curcumin supplementation had no significant effects on muscle damage indices.\nCONCLUSION: The present study shows that curcumin supplementation could attenuate inflammation, as indicated by IL-6 concentrations, in competitive female soccer players during the training period.","container-title":"Physical Activity and Nutrition","DOI":"10.20463/pan.2023.0016","ISSN":"2733-7545","issue":"2","journalAbbreviation":"Phys Act Nutr","language":"eng","note":"PMID: 37583070\nPMCID: PMC10440175","page":"34-38","source":"PubMed","title":"Effect of curcumin supplementation on inflammatory status and muscle damage in competitive female soccer players: a placebo-controlled, singleblind, nonrandomized, crossover pilot study","title-short":"Effect of curcumin supplementation on inflammatory status and muscle damage in competitive female soccer players","volume":"27","author":[{"family":"Choi","given":"Youngju"},{"family":"Ra","given":"Song-Gyu"},{"family":"Nishijima","given":"Takahiko"},{"family":"Maeda","given":"Seiji"}],"issued":{"date-parts":[["2023",6]]}}},{"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4D0F61"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(Bell et al., 2016; Choi et al., 2023; Ms et al., 2020)</w:t>
      </w:r>
      <w:r w:rsidR="004D0F61" w:rsidRPr="00B1213E">
        <w:rPr>
          <w:rFonts w:ascii="Times New Roman" w:hAnsi="Times New Roman" w:cs="Times New Roman"/>
          <w:sz w:val="24"/>
          <w:szCs w:val="24"/>
        </w:rPr>
        <w:fldChar w:fldCharType="end"/>
      </w:r>
    </w:p>
    <w:p w14:paraId="40DAEDB9" w14:textId="77777777" w:rsidR="00901DB6" w:rsidRPr="00B1213E" w:rsidRDefault="00901DB6" w:rsidP="0037026C">
      <w:pPr>
        <w:spacing w:after="0" w:line="360" w:lineRule="auto"/>
        <w:jc w:val="both"/>
        <w:rPr>
          <w:rFonts w:ascii="Times New Roman" w:hAnsi="Times New Roman" w:cs="Times New Roman"/>
          <w:sz w:val="24"/>
          <w:szCs w:val="24"/>
        </w:rPr>
      </w:pPr>
    </w:p>
    <w:p w14:paraId="3DF04BB5" w14:textId="05C321EB" w:rsidR="00901DB6" w:rsidRPr="00B1213E" w:rsidRDefault="3D9FB09B" w:rsidP="3D9FB09B">
      <w:pPr>
        <w:shd w:val="clear" w:color="auto" w:fill="FFFFFF" w:themeFill="background1"/>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Non-steroidal anti-inflammatory drugs (NSAIDs) are utili</w:t>
      </w:r>
      <w:r w:rsidR="000E21C7" w:rsidRPr="00B1213E">
        <w:rPr>
          <w:rFonts w:ascii="Times New Roman" w:hAnsi="Times New Roman" w:cs="Times New Roman"/>
          <w:sz w:val="24"/>
          <w:szCs w:val="24"/>
        </w:rPr>
        <w:t>s</w:t>
      </w:r>
      <w:r w:rsidRPr="00B1213E">
        <w:rPr>
          <w:rFonts w:ascii="Times New Roman" w:hAnsi="Times New Roman" w:cs="Times New Roman"/>
          <w:sz w:val="24"/>
          <w:szCs w:val="24"/>
        </w:rPr>
        <w:t xml:space="preserve">ed to help ease the inflammatory response from DOMS </w:t>
      </w:r>
      <w:r w:rsidR="002D6254"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{"citationID":"LczVpFTE","properties":{"formattedCitation":"(Myburgh, 2014; Qamar et al., 2019; Schoenfeld, 2012)","plainCitation":"(Myburgh, 2014; Qamar et al., 2019; Schoenfeld, 2012)","noteIndex":0},"citationItems":[{"id":93,"uris":["http://zotero.org/users/local/7vKBzLRM/items/ICBKDD63"],"itemData":{"id":93,"type":"article-journal","abstract":"Eccentric exercises are being used widely as a strategy to manage sarcopenia. However, eccentric exercises are linked to increased risk of myofibre damage and delayed recovery. There is elevated muscle soreness, decrease muscle strength and increased levels of muscle-specific circulatory protein. There is a huge variation in the severity of the symptoms after eccentric exercise. Several factors affect the degree and severity of muscle soreness. It includes exercise intensity, duration, mode, muscle group, age, gender, genetics and nutritional status. Therefore, designing a specific individual exercise plan is required to overcome injuries, myofibre damage and muscle soreness. At present, we still do not have enough knowledge about the exact sources and factors that trigger muscle soreness linked with strenuous exercise. Deep insight and identification of the risk factors which predispose individuals at an increased risk of muscle soreness after unaccustomed exercises may be a key to help them by prescribing personalised exercise therapy to speed up recovery and adaptation. Non-steroidal anti-inflammatory drugs are being used widely to manage muscle soreness, pain and tenderness linked with post exercise complications. But there is more to it than just treating pain. Is there any substantive gain besides pain relief? Can they improve muscle function? Could they prevent muscle soreness or speed up recovery? The current narrative review was planned to discuss the sources and factors that trigger exercise-induced muscle damage. Furthermore, it also provides a comprehensive analysis of the literature concerning the effectiveness of non-steroidal anti-inflammatory drugs in reducing symptom and improving muscle function in exercise induced muscle soreness.","container-title":"JPMA. The Journal of the Pakistan Medical Association","DOI":"10.5455/JPMA.301636.","ISSN":"0030-9982","issue":"11","journalAbbreviation":"J Pak Med Assoc","language":"eng","note":"PMID: 31740879","page":"1682-1686","source":"PubMed","title":"Beat the exercise-induced muscle damage","volume":"69","author":[{"family":"Qamar","given":"Muhammad Mustafa"},{"family":"Javed","given":"Muhammad Shahid"},{"family":"Dogar","given":"Muhammad Zahoor Ul Hassan"},{"family":"Basharat","given":"Ayesha"}],"issued":{"date-parts":[["2019",11]]}}},{"id":100,"uris":["http://zotero.org/users/local/7vKBzLRM/items/7ZZKRU8G"],"itemData":{"id":100,"type":"article-journal","abstract":"Exercise-induced muscle damage (EIMD) is a common condition resulting from a bout of vigorous exercise, particularly if the individual is unaccustomed to performance of the given movement. Symptoms of EIMD include delayed-onset muscle soreness (DOMS) and a loss of physical function. Nonsteroidal anti-inflammatory drugs (NSAIDs) are routinely prescribed post-exercise to alleviate these symptoms and restore normal physical function. Of potential concern for those who use NSAIDs to treat EIMD is the possibility that they may impair the adaptive response to exercise. Specifically, there is emerging evidence that the action of cyclo-oxygenase (COX) enzymes, and COX-2 in particular, are important and even necessary to achieve maximal skeletal muscle hypertrophy in response to functional overload. Given that NSAIDs exert their actions by blocking COX and thus suppressing prostaglandin production, a theoretical rationale exists whereby these drugs may have detrimental effects on muscle regeneration and supercompensation. Therefore, the purpose of this article is to extensively review the literature and evaluate the effects of NSAIDs on muscle growth and development. Based on current evidence, there is little reason to believe that the occasional use of NSAIDs will negatively affect muscle growth, although the efficacy for their use in alleviating inflammatory symptoms remains questionable. Evidence on the hypertrophic effects of the chronic use of NSAIDs is less clear. In those who are untrained, it does not appear that regular NSAID use will impede growth in the short term, and at least one study indicates that it may in fact have a positive impact. Given their reported impairment of satellite cell activity, however, longer-term NSAID use may well be detrimental, particularly in those who possess greater growth potential.","container-title":"Sports Medicine (Auckland, N.Z.)","DOI":"10.1007/BF03262309","ISSN":"1179-2035","issue":"12","journalAbbreviation":"Sports Med","language":"eng","note":"PMID: 23013520","page":"1017-1028","source":"PubMed","title":"The use of nonsteroidal anti-inflammatory drugs for exercise-induced muscle damage: implications for skeletal muscle development","title-short":"The use of nonsteroidal anti-inflammatory drugs for exercise-induced muscle damage","volume":"42","author":[{"family":"Schoenfeld","given":"Brad J."}],"issued":{"date-parts":[["2012",12,1]]}}},{"id":67,"uris":["http://zotero.org/users/local/7vKBzLRM/items/XVQSRVHK"],"itemData":{"id":67,"type":"article-journal","abstract":"Supplement use among athletes is widespread, including non-traditional and biological compounds. Despite increasing research, a comprehensive and critical review on polyphenol supplementation and exercise is still lacking. This review is relevant for researchers directly involved in the topic, as well as those with a broad interest in athletic performance enhancement and sports nutrition. The purpose of this review is to present background information on groups of polyphenols and their derivatives because their differing chemical structures influence mechanisms of action; to discuss the potential of plant, fruit and vegetable-based biological supplements, high in polyphenol content, to affect exercise performance and biomarkers of oxidative stress and exercise-induced muscle damage; and to critically discuss the exercise studies and biomarkers used. Subjects in the studies reviewed were either sedentary, healthy individuals, or active, recreationally trained or well-trained athletes. Polyphenol supplementation in exercise studies included mainly extracts (multicomponent or purified), juices, infusions or an increased intake of polyphenol-rich foods. This review includes details of supplement doses and exercise test protocols. Many studies considered only the performance or one or two selected biomarkers of antioxidant capacity instead of a comprehensive choice of biomarkers to assess damage to lipids or proteins. Evidence is insufficient to make recommendations for or against the use of polyphenol supplementation (neither specific polyphenols nor specific doses) for either recreational, competitive or elite athletes. Polyphenols have multiple biological effects, and future exercise studies must be designed appropriately and specifically to determine physiological interactions between exercise and the selected supplement, rather than considering performance alone.","container-title":"Sports Medicine (Auckland, N.Z.)","DOI":"10.1007/s40279-014-0151-4","ISSN":"1179-2035","issue":"Suppl 1","journalAbbreviation":"Sports Med","language":"eng","note":"PMID: 24791917\nPMCID: PMC4008802","page":"S57-70","source":"PubMed","title":"Polyphenol supplementation: benefits for exercise performance or oxidative stress?","title-short":"Polyphenol supplementation","volume":"44 Suppl 1","author":[{"family":"Myburgh","given":"Kathryn H."}],"issued":{"date-parts":[["2014",5]]}}}],"schema":"https://github.com/citation-style-language/schema/raw/master/csl-citation.json"} </w:instrText>
      </w:r>
      <w:r w:rsidR="002D6254"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(Myburgh, 2014; Qamar et al., 2019; Schoenfeld, 2012)</w:t>
      </w:r>
      <w:r w:rsidR="002D6254"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However, long-term use of such drugs may inhibit adaptation </w:t>
      </w:r>
      <w:r w:rsidR="00782F7A" w:rsidRPr="00B1213E">
        <w:rPr>
          <w:rFonts w:ascii="Times New Roman" w:hAnsi="Times New Roman" w:cs="Times New Roman"/>
          <w:sz w:val="24"/>
          <w:szCs w:val="24"/>
        </w:rPr>
        <w:t>by inhibiting the initial stages of healing</w:t>
      </w:r>
      <w:r w:rsidRPr="00B1213E">
        <w:rPr>
          <w:rFonts w:ascii="Times New Roman" w:hAnsi="Times New Roman" w:cs="Times New Roman"/>
          <w:sz w:val="24"/>
          <w:szCs w:val="24"/>
        </w:rPr>
        <w:t xml:space="preserve"> of the cyclooxygenase (COX) 1 and 2 pathway</w:t>
      </w:r>
      <w:r w:rsidR="00782F7A" w:rsidRPr="00B1213E">
        <w:rPr>
          <w:rFonts w:ascii="Times New Roman" w:hAnsi="Times New Roman" w:cs="Times New Roman"/>
          <w:sz w:val="24"/>
          <w:szCs w:val="24"/>
        </w:rPr>
        <w:t>s</w:t>
      </w:r>
      <w:r w:rsidRPr="00B1213E">
        <w:rPr>
          <w:rFonts w:ascii="Times New Roman" w:hAnsi="Times New Roman" w:cs="Times New Roman"/>
          <w:sz w:val="24"/>
          <w:szCs w:val="24"/>
        </w:rPr>
        <w:t xml:space="preserve"> and reduction in </w:t>
      </w:r>
      <w:r w:rsidR="6AD8192C" w:rsidRPr="00B1213E">
        <w:rPr>
          <w:rFonts w:ascii="Times New Roman" w:hAnsi="Times New Roman" w:cs="Times New Roman"/>
          <w:sz w:val="24"/>
          <w:szCs w:val="24"/>
        </w:rPr>
        <w:t>Prostaglandin 2 (</w:t>
      </w:r>
      <w:r w:rsidRPr="00B1213E">
        <w:rPr>
          <w:rFonts w:ascii="Times New Roman" w:hAnsi="Times New Roman" w:cs="Times New Roman"/>
          <w:sz w:val="24"/>
          <w:szCs w:val="24"/>
        </w:rPr>
        <w:t>PG2</w:t>
      </w:r>
      <w:r w:rsidR="62450D52" w:rsidRPr="00B1213E">
        <w:rPr>
          <w:rFonts w:ascii="Times New Roman" w:hAnsi="Times New Roman" w:cs="Times New Roman"/>
          <w:sz w:val="24"/>
          <w:szCs w:val="24"/>
        </w:rPr>
        <w:t>)</w:t>
      </w:r>
      <w:r w:rsidRPr="00B1213E">
        <w:rPr>
          <w:rFonts w:ascii="Times New Roman" w:hAnsi="Times New Roman" w:cs="Times New Roman"/>
          <w:sz w:val="24"/>
          <w:szCs w:val="24"/>
        </w:rPr>
        <w:t xml:space="preserve"> production</w:t>
      </w:r>
      <w:r w:rsidR="004462B5" w:rsidRPr="00B1213E">
        <w:rPr>
          <w:rFonts w:ascii="Times New Roman" w:hAnsi="Times New Roman" w:cs="Times New Roman"/>
          <w:sz w:val="24"/>
          <w:szCs w:val="24"/>
        </w:rPr>
        <w:t xml:space="preserve">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{"citationID":"nYYBEnvY","properties":{"formattedCitation":"(Auriel et al., 2014)","plainCitation":"(Auriel et al., 2014)","noteIndex":0},"citationItems":[{"id":6,"uris":["http://zotero.org/users/local/7vKBzLRM/items/T8EXMJK9"],"itemData":{"id":6,"type":"article-journal","abstract":"Nonsteroidal anti-inflammatory drugs (NSAIDs) are among the most commonly used agents in clinical practice. They are employed as anti-inflammatory, analgesic, and antipyretic agents for a wide spectrum of clinical conditions. Their anti-inflammatory properties are primarily due to inhibition of prostaglandin synthesis. In this paper we review the neurological effects associated with the use of NSAIDs. Acute CNS toxicity related to NSAID use is pervasive and varied. A prospective study looking at ibuprofen overdose noted that 30% of patients experience CNS effects ranging from drowsiness to coma. Case reports have identified numerous neurologic sequelae including ataxia, vertigo, dizziness, recurrent falls, nystagmus, headache, encephalopathy, and disorientation. Seizures have also been reported, mostly after overdose ingestions, but even therapeutic doses have occasionally been associated with seizures. One of the important neurologic side-effects attributed to the use of NSAIDs is aseptic meningitis. The clinical signs of drug-induced meningitis are similar to those of infectious meningitis and include fever, headache, photophobia, and stiff neck. The laboratory findings are also similar, including cerebrospinal fluid (CSF) pleocytosis of several hundred or thousand cells, mainly neutrophils, elevated levels of protein, normal or low glucose levels and negative cultures. Drug-induced meningitis is a transient disorder with an excellent prognosis. Most or all drugs used for the treatment of headache, including NSAIDs, may cause a condition known as medication overuse headache - a refractory chronic daily headache that tends to resolve following discontinuation of the analgesics. Reye's syndrome is a rare severe illness occurring mainly in children and adolescents and characterized by abnormal liver function, vomiting, and encephalopathy, with a mortality rate approaching 40%. The pathogenesis is currently unknown, but commonly the syndrome is preceded by a viral episode, with an intermediate latent period of 3-5 days. An association with aspirin use is strongly suggested. Aspirin, the classic and most commonly used NSAID, has a well-documented effect in inhibiting intravascular clotting, thus reducing the occurrence of ischemic strokes and other vascular events. NSAIDs, however, have a double impact on coagulation. On the one hand, most agents inhibit the synthesis of thromboxane in the platelets, thereby inhibiting coagulation. On the other hand, they also inhibit the production of prostacyclin by endothelial cells, resulting in a prothrombotic state. Selective inhibition of COX-2 by drugs such as rofecoxib (Vioxx) and valdecoxib (Bextra) results in specific inhibition of synthesis of prostaglandins participating in inflammation and was found to lead to vascular complications including an increased risk for stroke. The connection between inflammation and neuronal degeneration is well established. Most studies, including the prospective Rotterdam study, have found an inverse correlation between the use of NSAIDs and the risk for dementia. Two meta-analyses have found 40% and 25% reduction, respectively, in the risk of Alzheimer's disease among NSAID users. However, some large, well designed studies failed to confirm these results, and some even found that NSAID use is associated with cognitive decline. The clinical impact of NSAIDs on Parkinson's disease (PD) remains unclear. While some studies showed that chronic NSAID use is protective against PD, other studies could not confirm the existence of a significant relationship. A recent meta-analysis indicated that the use of non-aspirin NSAID, particularly ibuprofen, reduces the risk of PD by 15% while the use of aspirin did not show any effect.","container-title":"Handbook of Clinical Neurology","DOI":"10.1016/B978-0-7020-4086-3.00038-2","ISSN":"0072-9752","journalAbbreviation":"Handb Clin Neurol","language":"eng","note":"PMID: 24365321","page":"577-584","source":"PubMed","title":"Nonsteroidal anti-inflammatory drugs exposure and the central nervous system","volume":"119","author":[{"family":"Auriel","given":"Eitan"},{"family":"Regev","given":"Keren"},{"family":"Korczyn","given":"Amos D."}],"issued":{"date-parts":[["2014"]]}}}],"schema":"https://github.com/citation-style-language/schema/raw/master/csl-citation.json"}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(Auriel et al., 2014)</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Polyphenol supplements such as curcumin may offer a substitute strategy</w:t>
      </w:r>
      <w:r w:rsidR="00795906" w:rsidRPr="00B1213E">
        <w:rPr>
          <w:rFonts w:ascii="Times New Roman" w:hAnsi="Times New Roman" w:cs="Times New Roman"/>
          <w:sz w:val="24"/>
          <w:szCs w:val="24"/>
        </w:rPr>
        <w:t xml:space="preserve"> to this problem</w:t>
      </w:r>
      <w:r w:rsidRPr="00B1213E">
        <w:rPr>
          <w:rFonts w:ascii="Times New Roman" w:hAnsi="Times New Roman" w:cs="Times New Roman"/>
          <w:sz w:val="24"/>
          <w:szCs w:val="24"/>
        </w:rPr>
        <w:t xml:space="preserve">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{"citationID":"6z9ByDoB","properties":{"formattedCitation":"(Schiborr et al., 2014)","plainCitation":"(Schiborr et al., 2014)","noteIndex":0},"citationItems":[{"id":98,"uris":["http://zotero.org/users/local/7vKBzLRM/items/UULI65KD"],"itemData":{"id":98,"type":"article-journal","abstract":"SCOPE: Curcumin revealed various health-beneficial properties in numerous studies. However its bioavailability is low due to its limited intestinal uptake and rapid metabolism. The aim of our project was to develop novel curcumin formulations with improved oral bioavailability and to study their safety as well as potential sex-differences.\nMETHODS AND RESULTS: In this crossover study, healthy subjects (13 women, 10 men) took, in random order, a single oral dose of 500 mg curcuminoids as native powder, micronized powder, or liquid micelles. Blood and urine samples were collected for 24 h and total curcuminoids and safety parameters were quantified. Based on the area under the plasma concentration-time curve (AUC), the micronized curcumin was 14-, 5-, and 9-fold and micellar curcumin 277-, 114-, and 185-fold better bioavailable than native curcumin in women, men, and all subjects, respectively. Thus, women absorbed curcumin more efficiently than men. All safety parameters remained within the reference ranges following the consumption of all formulations.\nCONCLUSION: Both, the micronized powder and in particular the liquid micellar formulation of curcumin significantly improved its oral bioavailability without altering safety parameters and may thus be ideally suited to deliver curcumin in human intervention trials. The observed sex differences in curcumin absorption warrant further investigation.","container-title":"Molecular Nutrition &amp; Food Research","DOI":"10.1002/mnfr.201300724","ISSN":"1613-4133","issue":"3","journalAbbreviation":"Mol Nutr Food Res","language":"eng","note":"PMID: 24402825","page":"516-527","source":"PubMed","title":"The oral bioavailability of curcumin from micronized powder and liquid micelles is significantly increased in healthy humans and differs between sexes","volume":"58","author":[{"family":"Schiborr","given":"Christina"},{"family":"Kocher","given":"Alexa"},{"family":"Behnam","given":"Dariush"},{"family":"Jandasek","given":"Josef"},{"family":"Toelstede","given":"Simone"},{"family":"Frank","given":"Jan"}],"issued":{"date-parts":[["2014",3]]}}}],"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(Schiborr et al., 2014)</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Curcumin is a highly pleiotropic molecule that has been found to interact with multiple anti-inflammatory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{"citationID":"ZFasAAcT","properties":{"formattedCitation":"(Shehzad &amp; Lee, 2013)","plainCitation":"(Shehzad &amp; Lee, 2013)","noteIndex":0},"citationItems":[{"id":108,"uris":["http://zotero.org/users/local/7vKBzLRM/items/R9B6T7DT"],"itemData":{"id":108,"type":"article-journal","abstract":"Chemoprevention represents one of the most highly effective anti-cancer strategies and is accompanied by minimal secondary effects as compared to conventional chemotherapies. Many new anti-inflammatory and anti-cancer drug candidates have been derived from chemical scaffolds engineered from natural products discovered just a few decades ago. This approach is widely utilized in drug discovery in order to produce novel molecular entities with enhanced drug activities mediated through various signal transduction pathways for the treatment of different diseases. Curcumin, a polyphenolic derivative of turmeric, is a naturally occurring compound isolated from Curcuma longa that suppresses and inverts carcinogenesis via multifaceted molecular targets. Several reports have demonstrated that curcumin inhibits animal and human cancers, suggesting that it may serve as a chemopreventive agent. Numerous in vitro and in vivo experimental models have also revealed that curcumin regulates several molecules in cell signal transduction pathway including NF-κB, Akt, MAPK, p53, Nrf2, Notch-1, JAK/STAT, β-catenin, and AMPK. Modulation of cell signaling pathways through the pleiotropic effects of curcumin likely activate cell death signals and induce apoptosis in cancer cells, thereby inhibiting the progression of disease. This article provides insights into the natural chemopreventive role of curcumin via cellular transduction pathways and provides an in depth assessment of its physiological activities in the management of diseases.","container-title":"BioFactors (Oxford, England)","DOI":"10.1002/biof.1065","ISSN":"1872-8081","issue":"1","journalAbbreviation":"Biofactors","language":"eng","note":"PMID: 23303697","page":"27-36","source":"PubMed","title":"Molecular mechanisms of curcumin action: signal transduction","title-short":"Molecular mechanisms of curcumin action","volume":"39","author":[{"family":"Shehzad","given":"Adeeb"},{"family":"Lee","given":"Young Sup"}],"issued":{"date-parts":[["2013"]]}}}],"schema":"https://github.com/citation-style-language/schema/raw/master/csl-citation.json"}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(Shehzad &amp; Lee, 2013)</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and antioxidant pathways</w:t>
      </w:r>
      <w:r w:rsidR="004462B5" w:rsidRPr="00B1213E">
        <w:rPr>
          <w:rFonts w:ascii="Times New Roman" w:hAnsi="Times New Roman" w:cs="Times New Roman"/>
          <w:sz w:val="24"/>
          <w:szCs w:val="24"/>
        </w:rPr>
        <w:t xml:space="preserve">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{"citationID":"Si1mQZ55","properties":{"formattedCitation":"(Kocaadam &amp; \\uc0\\u350{}anlier, 2017)","plainCitation":"(Kocaadam &amp; Şanlier, 2017)","noteIndex":0},"citationItems":[{"id":49,"uris":["http://zotero.org/users/local/7vKBzLRM/items/J6EDURFZ"],"itemData":{"id":49,"type":"article-journal","abstract":"Turmeric (Curcuma longa) is a type of herb belonging to ginger family, which is widely grown in southern and south western tropical Asia region. Turmeric, which has an importance place in the cuisines of Iran, Malesia, India, China, Polynesia, and Thailand, is often used as spice and has an effect on the nature, color, and taste of foods. Turmeric is also known to have been used for centuries in India and China for the medical treatments of illnesses such as dermatologic diseases, infection, stress, and depression. Turmeric's effects on health are generally centered upon an orange-yellow colored, lipophilic polyphenol substance called \"curcumin,\" which is acquired from the rhizomes of the herb. Curcumin is known recently to have antioxidant, anti-inflammatory, anticancer effects and, thanks to these effects, to have an important role in prevention and treatment of various illnesses ranging notably from cancer to autoimmune, neurological, cardiovascular diseases, and diabetic. Furthermore, it is aimed to increase the biological activity and physiological effects of the curcumin on the body by synthesizing curcumin analogues. This article reviews the history, chemical and physical features, analogues, metabolites, mechanisms of its physiological activities, and effects on health of curcumin.","container-title":"Critical Reviews in Food Science and Nutrition","DOI":"10.1080/10408398.2015.1077195","ISSN":"1549-7852","issue":"13","journalAbbreviation":"Crit Rev Food Sci Nutr","language":"eng","note":"PMID: 26528921","page":"2889-2895","source":"PubMed","title":"Curcumin, an active component of turmeric (Curcuma longa), and its effects on health","volume":"57","author":[{"family":"Kocaadam","given":"Betül"},{"family":"Şanlier","given":"Nevin"}],"issued":{"date-parts":[["2017",9,2]]}}}],"schema":"https://github.com/citation-style-language/schema/raw/master/csl-citation.json"}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(Kocaadam &amp; Şanlier, 2017)</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Interest in curcumin has grown due to its potential to act through mechanisms similar to NSAIDs, though with less pronounced anti-inflammatory effects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{"citationID":"fM0deDXu","properties":{"formattedCitation":"(Mallard et al., 2021; McFarlin et al., 2016)","plainCitation":"(Mallard et al., 2021; McFarlin et al., 2016)","noteIndex":0},"citationItems":[{"id":61,"uris":["http://zotero.org/users/local/7vKBzLRM/items/AKMN998C"],"itemData":{"id":61,"type":"article-journal","abstract":"BACKGROUND: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W."}],"issued":{"date-parts":[["2016",6]]}}},{"id":58,"uris":["http://zotero.org/users/local/7vKBzLRM/items/FWIKTBV3"],"itemData":{"id":58,"type":"article-journal","abstract":"The efficacy of curcumin supplementation is traditionally limited due to its poor bioavailability. Despite this, curcumin has previously been shown to improve biomarkers of muscle damage. The addition of a novel drug delivery system that improves bioavailability could improve exercise recovery. The purpose of this randomized double-blind placebo-controlled study was to assess the effect of curcumin (combined with LipiSperse) when consumed as a drink on exercise recovery in recreationally trained healthy males aged 18-35 yrs. The study included 28 young healthy males with strength training experience. The participants undertook lower limb resistance exercise to exhaustion. Fourteen participants received curcumin dispersed in water pre and postexercise and 14 received a matched placebo drink. Pain (visual analogue scale), thigh circumference (TC), lactate, creatine kinase, lactate dehydrogenase, high sensitivity C-reactive protein, myoglobin, interleukin-6, interleukin-10, and tumor necrosis factor-alpha were assessed pre, postexercise and 1, 2, 3, 24, 48, and 72 h postexercise. There was less appearance of postexercise capillary lactate in the curcumin group compared to placebo (7.4 vs 8.8 mmol/L). The placebo group rated overall muscle pain as higher compared to the curcumin group at 48- and 72-h postexercise. TC was reduced in the curcumin group compared to the placebo group at 24- and 48-h postexercise. The results suggest curcumin may facilitate a quicker return to exercise training and/or allow a higher training intensity than a placebo by reducing postexercise pain, modulating inflammatory pathways and reducing lactate accumulation in an exercising population.","container-title":"Journal of Dietary Supplements","DOI":"10.1080/19390211.2020.1796885","ISSN":"1939-022X","issue":"5","journalAbbreviation":"J Diet Suppl","language":"eng","note":"PMID: 32705925","page":"531-542","source":"PubMed","title":"Curcumin Improves Delayed Onset Muscle Soreness and Postexercise Lactate Accumulation","volume":"18","author":[{"family":"Mallard","given":"Alistair R."},{"family":"Briskey","given":"David"},{"family":"Richards BExSSc","given":"Andrew"},{"family":"Rao","given":"Amanda"}],"issued":{"date-parts":[["2021"]]}}}],"schema":"https://github.com/citation-style-language/schema/raw/master/csl-citation.json"}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(Mallard et al., 2021; McFarlin et al., 2016)</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Curcumin may significantly influence various inflammation regulators, leading to the inhibition of </w:t>
      </w:r>
      <w:r w:rsidRPr="00B1213E">
        <w:rPr>
          <w:rFonts w:ascii="Times New Roman" w:hAnsi="Times New Roman" w:cs="Times New Roman"/>
          <w:sz w:val="24"/>
          <w:szCs w:val="24"/>
        </w:rPr>
        <w:lastRenderedPageBreak/>
        <w:t xml:space="preserve">transcription factor Nuclear Factor Kappa-B (NF-kB) activation, a reduction in Activator Protein-1 (AP-1) binding to DNA, and suppression of the COX-2 pathway </w:t>
      </w:r>
      <w:r w:rsidR="004462B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{"citationID":"p3LR8ot5","properties":{"formattedCitation":"(Liu et al., 2024)","plainCitation":"(Liu et al., 2024)","noteIndex":0},"citationItems":[{"id":51,"uris":["http://zotero.org/users/local/7vKBzLRM/items/JQ8Q8RZX"],"itemData":{"id":51,"type":"article-journal","abstract":"Curcumin is a strong substance derived from turmeric, a popular spice, renowned for its antioxidant and anti-inflammatory abilities. The study delved deeply into a thorough examination of various sources to evaluate the impact of both regular curcumin and nano-formulated curcumin on elements that impact physical performance, including muscular strain, discomfort, swelling, and oxidative tension. While engaging in exercise, the body experiences a rise in reactive oxygen species and inflammation. As a result, it is important to ensure a proper balance between internal and external sources of antioxidants to maintain stability in the skeletal muscle. Without this balance, there is a risk of muscle soreness, damage, and ultimately, a decline in exercise performance. Curcumin possesses the ability to enhance physical performance and reduce the symptoms of muscle fatigue and injury by virtue of its antioxidative and anti-inflammatory properties. Including curcumin supplements appears to have advantageous effects on various aspects of exercise, such as enhancing performance, assisting with recovery, lessening muscle damage and discomfort, and lowering levels of inflammation and oxidative stress. However, a thorough assessment is necessary to precisely gauge the healing advantages of curcumin in enhancing exercise ability and reducing recovery time.","container-title":"Cell Biochemistry and Function","DOI":"10.1002/cbf.4061","ISSN":"1099-0844","issue":"4","journalAbbreviation":"Cell Biochem Funct","language":"eng","note":"PMID: 38812287","page":"e4061","source":"PubMed","title":"Curcumin and its nano-formulations combined with exercise: From molecular mechanisms to clinic","title-short":"Curcumin and its nano-formulations combined with exercise","volume":"42","author":[{"family":"Liu","given":"Qian"},{"family":"Wang","given":"Chengyu"},{"family":"Guo","given":"Xinyan"},{"family":"Du","given":"Qiankun"},{"family":"Keshavarzi","given":"Maryam"}],"issued":{"date-parts":[["2024",6]]}}}],"schema":"https://github.com/citation-style-language/schema/raw/master/csl-citation.json"} </w:instrText>
      </w:r>
      <w:r w:rsidR="004462B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(Liu et al., 2024)</w:t>
      </w:r>
      <w:r w:rsidR="004462B5"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For a detailed review </w:t>
      </w:r>
      <w:r w:rsidR="00782F7A" w:rsidRPr="00B1213E">
        <w:rPr>
          <w:rFonts w:ascii="Times New Roman" w:hAnsi="Times New Roman" w:cs="Times New Roman"/>
          <w:sz w:val="24"/>
          <w:szCs w:val="24"/>
        </w:rPr>
        <w:t>of</w:t>
      </w:r>
      <w:r w:rsidRPr="00B1213E">
        <w:rPr>
          <w:rFonts w:ascii="Times New Roman" w:hAnsi="Times New Roman" w:cs="Times New Roman"/>
          <w:sz w:val="24"/>
          <w:szCs w:val="24"/>
        </w:rPr>
        <w:t xml:space="preserve"> the molecular targets of curcumin see Liu et al. </w:t>
      </w:r>
      <w:r w:rsidR="000A6D3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{"citationID":"SkAW9Vut","properties":{"formattedCitation":"(Liu et al., 2024)","plainCitation":"(Liu et al., 2024)","noteIndex":0},"citationItems":[{"id":51,"uris":["http://zotero.org/users/local/7vKBzLRM/items/JQ8Q8RZX"],"itemData":{"id":51,"type":"article-journal","abstract":"Curcumin is a strong substance derived from turmeric, a popular spice, renowned for its antioxidant and anti-inflammatory abilities. The study delved deeply into a thorough examination of various sources to evaluate the impact of both regular curcumin and nano-formulated curcumin on elements that impact physical performance, including muscular strain, discomfort, swelling, and oxidative tension. While engaging in exercise, the body experiences a rise in reactive oxygen species and inflammation. As a result, it is important to ensure a proper balance between internal and external sources of antioxidants to maintain stability in the skeletal muscle. Without this balance, there is a risk of muscle soreness, damage, and ultimately, a decline in exercise performance. Curcumin possesses the ability to enhance physical performance and reduce the symptoms of muscle fatigue and injury by virtue of its antioxidative and anti-inflammatory properties. Including curcumin supplements appears to have advantageous effects on various aspects of exercise, such as enhancing performance, assisting with recovery, lessening muscle damage and discomfort, and lowering levels of inflammation and oxidative stress. However, a thorough assessment is necessary to precisely gauge the healing advantages of curcumin in enhancing exercise ability and reducing recovery time.","container-title":"Cell Biochemistry and Function","DOI":"10.1002/cbf.4061","ISSN":"1099-0844","issue":"4","journalAbbreviation":"Cell Biochem Funct","language":"eng","note":"PMID: 38812287","page":"e4061","source":"PubMed","title":"Curcumin and its nano-formulations combined with exercise: From molecular mechanisms to clinic","title-short":"Curcumin and its nano-formulations combined with exercise","volume":"42","author":[{"family":"Liu","given":"Qian"},{"family":"Wang","given":"Chengyu"},{"family":"Guo","given":"Xinyan"},{"family":"Du","given":"Qiankun"},{"family":"Keshavarzi","given":"Maryam"}],"issued":{"date-parts":[["2024",6]]}}}],"schema":"https://github.com/citation-style-language/schema/raw/master/csl-citation.json"} </w:instrText>
      </w:r>
      <w:r w:rsidR="000A6D3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(Liu et al., 2024)</w:t>
      </w:r>
      <w:r w:rsidR="000A6D3B" w:rsidRPr="00B1213E">
        <w:rPr>
          <w:rFonts w:ascii="Times New Roman" w:hAnsi="Times New Roman" w:cs="Times New Roman"/>
          <w:sz w:val="24"/>
          <w:szCs w:val="24"/>
        </w:rPr>
        <w:fldChar w:fldCharType="end"/>
      </w:r>
      <w:r w:rsidRPr="00B1213E">
        <w:rPr>
          <w:rFonts w:ascii="Times New Roman" w:hAnsi="Times New Roman" w:cs="Times New Roman"/>
          <w:sz w:val="24"/>
          <w:szCs w:val="24"/>
        </w:rPr>
        <w:t>.</w:t>
      </w:r>
    </w:p>
    <w:p w14:paraId="49B9A5D7" w14:textId="77777777" w:rsidR="00901DB6" w:rsidRPr="00B1213E" w:rsidRDefault="00901DB6" w:rsidP="00901DB6">
      <w:pPr>
        <w:shd w:val="clear" w:color="auto" w:fill="FFFFFF" w:themeFill="background1"/>
        <w:spacing w:after="0" w:line="360" w:lineRule="auto"/>
        <w:ind w:firstLine="720"/>
        <w:jc w:val="both"/>
        <w:rPr>
          <w:rFonts w:ascii="Times New Roman" w:hAnsi="Times New Roman" w:cs="Times New Roman"/>
          <w:sz w:val="24"/>
          <w:szCs w:val="24"/>
        </w:rPr>
      </w:pPr>
    </w:p>
    <w:p w14:paraId="5B9EEA98" w14:textId="0E87FD7F" w:rsidR="00980377" w:rsidRPr="00B1213E" w:rsidRDefault="00795906" w:rsidP="00FE44BD">
      <w:pPr>
        <w:shd w:val="clear" w:color="auto" w:fill="FFFFFF" w:themeFill="background1"/>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Furthermore</w:t>
      </w:r>
      <w:r w:rsidR="3D9FB09B" w:rsidRPr="00B1213E">
        <w:rPr>
          <w:rFonts w:ascii="Times New Roman" w:hAnsi="Times New Roman" w:cs="Times New Roman"/>
          <w:sz w:val="24"/>
          <w:szCs w:val="24"/>
        </w:rPr>
        <w:t xml:space="preserve">, positive effects on inflammatory cytokines have been observed when curcumin is consumed prior to exercise </w:t>
      </w:r>
      <w:r w:rsidR="001E6650"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{"citationID":"yWYBVS6C","properties":{"formattedCitation":"(McFarlin et al., 2016; Tanabe et al., 2019)","plainCitation":"(McFarlin et al., 2016; Tanabe et al., 2019)","noteIndex":0},"citationItems":[{"id":61,"uris":["http://zotero.org/users/local/7vKBzLRM/items/AKMN998C"],"itemData":{"id":61,"type":"article-journal","abstract":"BACKGROUND: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W."}],"issued":{"date-parts":[["2016",6]]}}},{"id":118,"uris":["http://zotero.org/users/local/7vKBzLRM/items/WVVLJE36"],"itemData":{"id":118,"type":"article-journal","abstract":"We examined the effect of curcumin (CUR) ingestion before or after exercise on changes in muscle damage and inflammatory responses after exercise. We conducted two parallel experiments with different CUR ingestion timings using a double-blind crossover. In Exp. 1, ten healthy men ingested 180 mg d-1 of CUR or placebo (PLA) 7 days before exercise. In Exp. 2, ten other healthy men ingested 180 mg d-1 of CUR or PLA 7 days after exercise. They performed 30 maximal isokinetic (120°s-1 ) eccentric contractions of the elbow flexors using an isokinetic dynamometer, and this was repeated with the other arm ≥4 weeks later. Maximal voluntary contraction (MVC) torque of the elbow flexors, elbow joint range of motion (ROM), muscle soreness, and serum creatine kinase (CK) activity were measured before, immediately after, and 1-7 days after exercise. Plasma interleukin-8 (IL-8) was measured before, immediately after, 12 hours after, and 1-7 days after exercise. The changes were compared over time. In Exp. 1, no significant differences were found between CUR and PLA subjects for each parameter. However, increases in IL-8 were significantly reduced 12 hours after exercise when CUR was ingested before exercise. In Exp. 2, compared to the PLA subjects, MVC torque and ROM were higher 3-7 days and 2-7 days after exercise (P &lt; 0.05), respectively, whereas muscle soreness and CK activity were lower 3-6 days and 5-7 days after exercise (P &lt; 0.05), respectively, in CUR subjects. CUR ingestion before exercise could attenuate acute inflammation, and after exercise could attenuate muscle damage and facilitate faster recovery.","container-title":"Scandinavian Journal of Medicine &amp; Science in Sports","DOI":"10.1111/sms.13373","ISSN":"1600-0838","issue":"4","journalAbbreviation":"Scand J Med Sci Sports","language":"eng","note":"PMID: 30566760","page":"524-534","source":"PubMed","title":"Effects of oral curcumin ingested before or after eccentric exercise on markers of muscle damage and inflammation","volume":"29","author":[{"family":"Tanabe","given":"Yoko"},{"family":"Chino","given":"Kentaro"},{"family":"Ohnishi","given":"Takahiro"},{"family":"Ozawa","given":"Hitomi"},{"family":"Sagayama","given":"Hiroyuki"},{"family":"Maeda","given":"Seiji"},{"family":"Takahashi","given":"Hideyuki"}],"issued":{"date-parts":[["2019",4]]}}}],"schema":"https://github.com/citation-style-language/schema/raw/master/csl-citation.json"} </w:instrText>
      </w:r>
      <w:r w:rsidR="001E6650"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(McFarlin et al., 2016; Tanabe et al., 2019)</w:t>
      </w:r>
      <w:r w:rsidR="001E6650"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Nevertheless, there are few data regarding what might constitute the ideal dose of curcumin on recovery markers post</w:t>
      </w:r>
      <w:r w:rsidR="006241CA"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muscle damage. A range of doses ha</w:t>
      </w:r>
      <w:r w:rsidR="006444B0" w:rsidRPr="00B1213E">
        <w:rPr>
          <w:rFonts w:ascii="Times New Roman" w:hAnsi="Times New Roman" w:cs="Times New Roman"/>
          <w:sz w:val="24"/>
          <w:szCs w:val="24"/>
        </w:rPr>
        <w:t>s</w:t>
      </w:r>
      <w:r w:rsidR="3D9FB09B" w:rsidRPr="00B1213E">
        <w:rPr>
          <w:rFonts w:ascii="Times New Roman" w:hAnsi="Times New Roman" w:cs="Times New Roman"/>
          <w:sz w:val="24"/>
          <w:szCs w:val="24"/>
        </w:rPr>
        <w:t xml:space="preserve"> been studied, ranging from 150</w:t>
      </w:r>
      <w:r w:rsidR="00EC3D1C"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mg/day to 2000 mg/day </w:t>
      </w:r>
      <w:r w:rsidR="001E6650"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{"citationID":"IrgeZWAd","properties":{"formattedCitation":"(Ms et al., 2020)","plainCitation":"(Ms et al., 2020)","noteIndex":0},"citationItems":[{"id":136,"uris":["http://zotero.org/users/local/7vKBzLRM/items/KICGHF3U"],"itemData":{"id":136,"type":"article-journal","abstract":"Curcumin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1E6650"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(Ms et al., 2020)</w:t>
      </w:r>
      <w:r w:rsidR="001E6650"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The minimum effective dose and the ideal dosage for achieving maximum benefits from curcumin have not been established </w:t>
      </w:r>
      <w:r w:rsidR="006444B0" w:rsidRPr="00B1213E">
        <w:rPr>
          <w:rFonts w:ascii="Times New Roman" w:hAnsi="Times New Roman" w:cs="Times New Roman"/>
          <w:sz w:val="24"/>
          <w:szCs w:val="24"/>
        </w:rPr>
        <w:t>in</w:t>
      </w:r>
      <w:r w:rsidR="3D9FB09B" w:rsidRPr="00B1213E">
        <w:rPr>
          <w:rFonts w:ascii="Times New Roman" w:hAnsi="Times New Roman" w:cs="Times New Roman"/>
          <w:sz w:val="24"/>
          <w:szCs w:val="24"/>
        </w:rPr>
        <w:t xml:space="preserve"> studies</w:t>
      </w:r>
      <w:r w:rsidR="634D6CFB" w:rsidRPr="00B1213E">
        <w:rPr>
          <w:rFonts w:ascii="Times New Roman" w:hAnsi="Times New Roman" w:cs="Times New Roman"/>
          <w:sz w:val="24"/>
          <w:szCs w:val="24"/>
        </w:rPr>
        <w:t>.</w:t>
      </w:r>
      <w:r w:rsidR="3D9FB09B" w:rsidRPr="00B1213E">
        <w:rPr>
          <w:rFonts w:ascii="Times New Roman" w:hAnsi="Times New Roman" w:cs="Times New Roman"/>
          <w:sz w:val="24"/>
          <w:szCs w:val="24"/>
        </w:rPr>
        <w:t xml:space="preserve"> However, the effect of curcumin on reducing</w:t>
      </w:r>
      <w:r w:rsidR="3D9FB09B" w:rsidRPr="00B1213E">
        <w:t xml:space="preserve"> </w:t>
      </w:r>
      <w:r w:rsidR="00937947" w:rsidRPr="00B1213E">
        <w:rPr>
          <w:rFonts w:ascii="Times New Roman" w:hAnsi="Times New Roman" w:cs="Times New Roman"/>
          <w:sz w:val="24"/>
          <w:szCs w:val="24"/>
        </w:rPr>
        <w:t>tumour</w:t>
      </w:r>
      <w:r w:rsidR="3D9FB09B" w:rsidRPr="00B1213E">
        <w:rPr>
          <w:rFonts w:ascii="Times New Roman" w:hAnsi="Times New Roman" w:cs="Times New Roman"/>
          <w:sz w:val="24"/>
          <w:szCs w:val="24"/>
        </w:rPr>
        <w:t xml:space="preserve"> necrosis factor-α (TNF-α) was not different when taking 150</w:t>
      </w:r>
      <w:r w:rsidR="00EC3D1C"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mg/day</w:t>
      </w:r>
      <w:r w:rsidR="001E6650" w:rsidRPr="00B1213E">
        <w:rPr>
          <w:rFonts w:ascii="Times New Roman" w:hAnsi="Times New Roman" w:cs="Times New Roman"/>
          <w:sz w:val="24"/>
          <w:szCs w:val="24"/>
        </w:rPr>
        <w:t xml:space="preserve"> </w:t>
      </w:r>
      <w:r w:rsidR="001E6650"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{"citationID":"hRPhBkOx","properties":{"formattedCitation":"(Tanabe et al., 2015)","plainCitation":"(Tanabe et al., 2015)","noteIndex":0},"citationItems":[{"id":115,"uris":["http://zotero.org/users/local/7vKBzLRM/items/IE5DLGZT"],"itemData":{"id":115,"type":"article-journal","abstract":"PURPOSE: Polyphenolic curcumin is known to have potent anti-inflammatory effects; thus the present study investigated the hypothesis that curcumin ingestion would attenuate muscle damage after eccentric exercise.\nMETHODS: Fourteen untrained young men (24 ± 1 years) performed 50 maximal isokinetic (120°/s) eccentric contractions of the elbow flexors of one arm on an isokinetic dynamometer and the same exercise with the other arm 4 weeks later. They took 150 mg of curcumin (theracurmin) or placebo (starch) orally before and 12 h after each eccentric exercise bout in a randomised, crossover design. Maximal voluntary contraction (MVC) torque of the elbow flexors, range of motion of the elbow joint, upper-arm circumference, muscle soreness, serum creatine kinase (CK) activity, and plasma interleukin-6 (IL-6) and tumor necrosis factor-α (TNF-α) concentration were measured before, immediately after, and 24, 48, 72 and 96 h after each eccentric exercise. Changes in these variables over time were compared between curcumin and placebo conditions by two-way repeated measures ANOVA.\nRESULTS: MVC torque decreased smaller and recovered faster (e.g., 4 days post-exercise: -31 ± 13 % vs. -15 ± 15 %), and peak serum CK activity was smaller (peak: 7684 ± 8959 IU/L vs. 3398 ± 3562 IU/L) for curcumin than placebo condition (P &lt; 0.05). However, no significant differences between conditions were evident for other variables, and no significant changes in IL-6 and TNF-α were evident after exercise.\nCONCLUSION: It is concluded that theracurmin ingestion attenuates some aspects of muscle damage such as MVC loss and CK activity increase.","container-title":"European Journal of Applied Physiology","DOI":"10.1007/s00421-015-3170-4","ISSN":"1439-6327","issue":"9","journalAbbreviation":"Eur J Appl Physiol","language":"eng","note":"PMID: 25921600\nPMCID: PMC4536282","page":"1949-1957","source":"PubMed","title":"Attenuation of indirect markers of eccentric exercise-induced muscle damage by curcumin","volume":"115","author":[{"family":"Tanabe","given":"Yoko"},{"family":"Maeda","given":"Seiji"},{"family":"Akazawa","given":"Nobuhiko"},{"family":"Zempo-Miyaki","given":"Asako"},{"family":"Choi","given":"Youngju"},{"family":"Ra","given":"Song-Gyu"},{"family":"Imaizumi","given":"Atsushi"},{"family":"Otsuka","given":"Yoshihiko"},{"family":"Nosaka","given":"Kazunori"}],"issued":{"date-parts":[["2015",9]]}}}],"schema":"https://github.com/citation-style-language/schema/raw/master/csl-citation.json"} </w:instrText>
      </w:r>
      <w:r w:rsidR="001E6650"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(Tanabe et al., 2015)</w:t>
      </w:r>
      <w:r w:rsidR="001E6650"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or 180 mg/day</w:t>
      </w:r>
      <w:r w:rsidR="003E7FDB" w:rsidRPr="00B1213E">
        <w:rPr>
          <w:rFonts w:ascii="Times New Roman" w:hAnsi="Times New Roman" w:cs="Times New Roman"/>
          <w:sz w:val="24"/>
          <w:szCs w:val="24"/>
        </w:rPr>
        <w:t xml:space="preserve"> </w:t>
      </w:r>
      <w:r w:rsidR="003E7FD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{"citationID":"vhpYQBPZ","properties":{"formattedCitation":"(Tanabe et al., 2019)","plainCitation":"(Tanabe et al., 2019)","noteIndex":0},"citationItems":[{"id":118,"uris":["http://zotero.org/users/local/7vKBzLRM/items/WVVLJE36"],"itemData":{"id":118,"type":"article-journal","abstract":"We examined the effect of curcumin (CUR) ingestion before or after exercise on changes in muscle damage and inflammatory responses after exercise. We conducted two parallel experiments with different CUR ingestion timings using a double-blind crossover. In Exp. 1, ten healthy men ingested 180 mg d-1 of CUR or placebo (PLA) 7 days before exercise. In Exp. 2, ten other healthy men ingested 180 mg d-1 of CUR or PLA 7 days after exercise. They performed 30 maximal isokinetic (120°s-1 ) eccentric contractions of the elbow flexors using an isokinetic dynamometer, and this was repeated with the other arm ≥4 weeks later. Maximal voluntary contraction (MVC) torque of the elbow flexors, elbow joint range of motion (ROM), muscle soreness, and serum creatine kinase (CK) activity were measured before, immediately after, and 1-7 days after exercise. Plasma interleukin-8 (IL-8) was measured before, immediately after, 12 hours after, and 1-7 days after exercise. The changes were compared over time. In Exp. 1, no significant differences were found between CUR and PLA subjects for each parameter. However, increases in IL-8 were significantly reduced 12 hours after exercise when CUR was ingested before exercise. In Exp. 2, compared to the PLA subjects, MVC torque and ROM were higher 3-7 days and 2-7 days after exercise (P &lt; 0.05), respectively, whereas muscle soreness and CK activity were lower 3-6 days and 5-7 days after exercise (P &lt; 0.05), respectively, in CUR subjects. CUR ingestion before exercise could attenuate acute inflammation, and after exercise could attenuate muscle damage and facilitate faster recovery.","container-title":"Scandinavian Journal of Medicine &amp; Science in Sports","DOI":"10.1111/sms.13373","ISSN":"1600-0838","issue":"4","journalAbbreviation":"Scand J Med Sci Sports","language":"eng","note":"PMID: 30566760","page":"524-534","source":"PubMed","title":"Effects of oral curcumin ingested before or after eccentric exercise on markers of muscle damage and inflammation","volume":"29","author":[{"family":"Tanabe","given":"Yoko"},{"family":"Chino","given":"Kentaro"},{"family":"Ohnishi","given":"Takahiro"},{"family":"Ozawa","given":"Hitomi"},{"family":"Sagayama","given":"Hiroyuki"},{"family":"Maeda","given":"Seiji"},{"family":"Takahashi","given":"Hideyuki"}],"issued":{"date-parts":[["2019",4]]}}}],"schema":"https://github.com/citation-style-language/schema/raw/master/csl-citation.json"} </w:instrText>
      </w:r>
      <w:r w:rsidR="003E7FD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(Tanabe et al., 2019)</w:t>
      </w:r>
      <w:r w:rsidR="003E7FD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w:t>
      </w:r>
      <w:r w:rsidR="7FE58D73" w:rsidRPr="00B1213E">
        <w:rPr>
          <w:rFonts w:ascii="Times New Roman" w:hAnsi="Times New Roman" w:cs="Times New Roman"/>
          <w:sz w:val="24"/>
          <w:szCs w:val="24"/>
        </w:rPr>
        <w:t>Moreover,</w:t>
      </w:r>
      <w:r w:rsidR="3D9FB09B" w:rsidRPr="00B1213E">
        <w:rPr>
          <w:rFonts w:ascii="Times New Roman" w:hAnsi="Times New Roman" w:cs="Times New Roman"/>
          <w:sz w:val="24"/>
          <w:szCs w:val="24"/>
        </w:rPr>
        <w:t xml:space="preserve"> McFarlin et al. </w:t>
      </w:r>
      <w:r w:rsidR="00884382" w:rsidRPr="00B1213E">
        <w:rPr>
          <w:rFonts w:ascii="Times New Roman" w:hAnsi="Times New Roman" w:cs="Times New Roman"/>
          <w:sz w:val="24"/>
          <w:szCs w:val="24"/>
        </w:rPr>
        <w:t>(2016)</w:t>
      </w:r>
      <w:r w:rsidR="3D9FB09B" w:rsidRPr="00B1213E">
        <w:rPr>
          <w:rFonts w:ascii="Times New Roman" w:hAnsi="Times New Roman" w:cs="Times New Roman"/>
          <w:sz w:val="24"/>
          <w:szCs w:val="24"/>
        </w:rPr>
        <w:t xml:space="preserve"> showed the consumption of 400 mg/day of curcumin, both immediately preceding and up to four days post</w:t>
      </w:r>
      <w:r w:rsidR="006241CA"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EIMD, led to a reduction in muscle damage (CK) and inflammation (TNF-α) by 25-47% compared to a placebo. </w:t>
      </w:r>
      <w:r w:rsidR="003508AF" w:rsidRPr="00B1213E">
        <w:rPr>
          <w:rFonts w:ascii="Times New Roman" w:hAnsi="Times New Roman" w:cs="Times New Roman"/>
          <w:sz w:val="24"/>
          <w:szCs w:val="24"/>
        </w:rPr>
        <w:t>Additionally</w:t>
      </w:r>
      <w:r w:rsidR="3D9FB09B" w:rsidRPr="00B1213E">
        <w:rPr>
          <w:rFonts w:ascii="Times New Roman" w:hAnsi="Times New Roman" w:cs="Times New Roman"/>
          <w:sz w:val="24"/>
          <w:szCs w:val="24"/>
        </w:rPr>
        <w:t xml:space="preserve">, Nicol et al. </w:t>
      </w:r>
      <w:r w:rsidR="00884382" w:rsidRPr="00B1213E">
        <w:rPr>
          <w:rFonts w:ascii="Times New Roman" w:hAnsi="Times New Roman" w:cs="Times New Roman"/>
          <w:sz w:val="24"/>
          <w:szCs w:val="24"/>
        </w:rPr>
        <w:t>(2015)</w:t>
      </w:r>
      <w:r w:rsidR="3D9FB09B" w:rsidRPr="00B1213E">
        <w:rPr>
          <w:rFonts w:ascii="Times New Roman" w:hAnsi="Times New Roman" w:cs="Times New Roman"/>
          <w:sz w:val="24"/>
          <w:szCs w:val="24"/>
        </w:rPr>
        <w:t xml:space="preserve"> reported that a curcumin dose of 500 mg/day significantly mitigated muscle soreness, while McFarlin et al. </w:t>
      </w:r>
      <w:r w:rsidR="000A6D3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{"citationID":"xRIIDx1N","properties":{"formattedCitation":"(McFarlin et al., 2016)","plainCitation":"(McFarlin et al., 2016)","noteIndex":0},"citationItems":[{"id":61,"uris":["http://zotero.org/users/local/7vKBzLRM/items/AKMN998C"],"itemData":{"id":61,"type":"article-journal","abstract":"BACKGROUND: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W."}],"issued":{"date-parts":[["2016",6]]}}}],"schema":"https://github.com/citation-style-language/schema/raw/master/csl-citation.json"} </w:instrText>
      </w:r>
      <w:r w:rsidR="000A6D3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(McFarlin et al., 2016)</w:t>
      </w:r>
      <w:r w:rsidR="000A6D3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observed no discernible difference with a dose of 400 mg/day. This suggests there may be a dose-response with larger dosages of ≥ 400</w:t>
      </w:r>
      <w:r w:rsidR="00A43F4A"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mg/day </w:t>
      </w:r>
      <w:r w:rsidR="003E7FD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{"citationID":"SJeOsqdj","properties":{"formattedCitation":"(Drobnic et al., 2014; Ms et al., 2020)","plainCitation":"(Drobnic et al., 2014; Ms et al., 2020)","noteIndex":0},"citationItems":[{"id":25,"uris":["http://zotero.org/users/local/7vKBzLRM/items/HA6PNPWC"],"itemData":{"id":25,"type":"article-journal","abstract":"BACKGROUND: Delayed onset muscle soreness (DOMS) due to eccentric muscle activity is associated with inflammatory responses and production of reactive oxygen species (ROS) that sustain both inflammation and oxidative stress. Curcumin, a powerful promoter of anti-oxidant response, is one of the best-investigated natural products, and is now commercially available as a lecithin delivery system (Meriva®, Indena SpA, Milan) with improved bio-availability. The aim of this study was to test whether curcumin could attenuate damage from oxidative stress and inflammation related to acute muscle injury induced by eccentric continuous exercise.\nMETHODS: This was a randomised, placebo-controlled, single-blind pilot trial. Twenty male healthy, moderately active volunteers were randomised to curcumin given as the Phytosome® delivery system 1 g twice daily (200 mg curcumin b.i.d.) or matching placebo. Supplementation was initiated 48 hours prior to a downhill running test and was continued for 24 hours after the test (4 days in total). Muscle damage was quantified by magnetic resonance imaging, laboratory tests and histological analyses on muscle samples obtained 48 hours after the test. Patient-reported pain intensity was also recorded.\nRESULTS: Subjects in the curcumin group reported less pain in the lower limb as compared with subjects in the placebo group, although significant differences were observed only for the right and left anterior thighs. Significantly fewer subjects in the curcumin group had MRI evidence of muscle injury in the posterior or medial compartment of both thighs. Increases in markers of muscle damage and inflammation tended to be lower in the curcumin group, but significant differences were only observed for interleukin-8 at 2 h after exercise. No differences in markers of oxidative stress and muscle histology were observed.\nCONCLUSIONS: Curcumin has the potential for preventing DOMS, as suggested by its effects on pain intensity and muscle injury. Larger studies are needed to confirm these results and further clarify the mechanism of action of curcumin.","container-title":"Journal of the International Society of Sports Nutrition","DOI":"10.1186/1550-2783-11-31","ISSN":"1550-2783","journalAbbreviation":"J Int Soc Sports Nutr","language":"eng","note":"PMID: 24982601\nPMCID: PMC4074833","page":"31","source":"PubMed","title":"Reduction of delayed onset muscle soreness by a novel curcumin delivery system (Meriva®): a randomised, placebo-controlled trial","title-short":"Reduction of delayed onset muscle soreness by a novel curcumin delivery system (Meriva®)","volume":"11","author":[{"family":"Drobnic","given":"Franchek"},{"family":"Riera","given":"Joan"},{"family":"Appendino","given":"Giovanni"},{"family":"Togni","given":"Stefano"},{"family":"Franceschi","given":"Federico"},{"family":"Valle","given":"Xavier"},{"family":"Pons","given":"Antoni"},{"family":"Tur","given":"Josep"}],"issued":{"date-parts":[["2014"]]}}},{"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3E7FD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(Drobnic et al., 2014; Ms et al., 2020)</w:t>
      </w:r>
      <w:r w:rsidR="003E7FD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though an optimum dose is yet to be established. One explanation could be the low bioavailability of natural curcumin, leading to relatively low plasma concentrations despite high oral intake, thereby limiting its impact </w:t>
      </w:r>
      <w:r w:rsidR="003E7FD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{"citationID":"4eVhmsSo","properties":{"formattedCitation":"(Obrenovich et al., 2022)","plainCitation":"(Obrenovich et al., 2022)","noteIndex":0},"citationItems":[{"id":75,"uris":["http://zotero.org/users/local/7vKBzLRM/items/FDI8NNXR"],"itemData":{"id":75,"type":"article-journal","abstract":"Polyphenols and representative small phenolic acids and molecules derived from larger constituents are dietary antioxidants from fruits, vegetables and largely other plant-based sources that have ability to scavenge free radicals. What is often neglected in polyphenol metabolism is bioavailability and the role of the gut microbiota (GMB), which has an essential role in health and disease and participates in co-metabolism with the host. The composition of the gut microbiota is in constant flux and is modified by multiple intrinsic and extrinsic factors, including antibiotics. Dietary or other factors are key modulators of the host gut milieu. In this review, we explore the role of polyphenols and select phenolic compounds as metabolic or intrinsic biochemistry regulators and explore this relationship in the context of the microbiota-gut-target organ axis in health and disease.","container-title":"Current Issues in Molecular Biology","DOI":"10.3390/cimb44090285","ISSN":"1467-3045","issue":"9","journalAbbreviation":"Curr Issues Mol Biol","language":"eng","note":"PMID: 36135197\nPMCID: PMC9498149","page":"4152-4166","source":"PubMed","title":"Polyphenols and Small Phenolic Acids as Cellular Metabolic Regulators","volume":"44","author":[{"family":"Obrenovich","given":"Mark"},{"family":"Li","given":"Yi"},{"family":"Tayahi","given":"Moncef"},{"family":"Reddy","given":"V. Prakash"}],"issued":{"date-parts":[["2022",9,9]]}}}],"schema":"https://github.com/citation-style-language/schema/raw/master/csl-citation.json"} </w:instrText>
      </w:r>
      <w:r w:rsidR="003E7FD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(Obrenovich et al., 2022)</w:t>
      </w:r>
      <w:r w:rsidR="003E7FD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w:t>
      </w:r>
      <w:r w:rsidR="3BC5CF12"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To combat the poor absorption of curcumin, which is largely due to its water insolubility and poor metabolism in the small intestine, studies have investigated different curcumin formulations to improve plasma levels </w:t>
      </w:r>
      <w:r w:rsidR="003E7FD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{"citationID":"wO4pkxpJ","properties":{"formattedCitation":"(Heger et al., 2014)","plainCitation":"(Heger et al., 2014)","noteIndex":0},"citationItems":[{"id":44,"uris":["http://zotero.org/users/local/7vKBzLRM/items/TBAAY7VW"],"itemData":{"id":44,"type":"article-journal","abstract":"This review addresses the oncopharmacological properties of curcumin at the molecular level. First, the interactions between curcumin and its molecular targets are addressed on the basis of curcumin's distinct chemical properties, which include H-bond donating and accepting capacity of the β-dicarbonyl moiety and the phenylic hydroxyl groups, H-bond accepting capacity of the methoxy ethers, multivalent metal and nonmetal cation binding properties, high partition coefficient, rotamerization around multiple C-C bonds, and the ability to act as a Michael acceptor. Next, the in vitro chemical stability of curcumin is elaborated in the context of its susceptibility to photochemical and chemical modification and degradation (e.g., alkaline hydrolysis). Specific modification and degradatory pathways are provided, which mainly entail radical-based intermediates, and the in vitro catabolites are identified. The implications of curcumin's (photo)chemical instability are addressed in light of pharmaceutical curcumin preparations, the use of curcumin analogues, and implementation of nanoparticulate drug delivery systems. Furthermore, the pharmacokinetics of curcumin and its most important degradation products are detailed in light of curcumin's poor bioavailability. Particular emphasis is placed on xenobiotic phase I and II metabolism as well as excretion of curcumin in the intestines (first pass), the liver (second pass), and other organs in addition to the pharmacokinetics of curcumin metabolites and their systemic clearance. Lastly, a summary is provided of the clinical pharmacodynamics of curcumin followed by a detailed account of curcumin's direct molecular targets, whereby the phenotypical/biological changes induced in cancer cells upon completion of the curcumin-triggered signaling cascade(s) are addressed in the framework of the hallmarks of cancer. The direct molecular targets include the ErbB family of receptors, protein kinase C, enzymes involved in prostaglandin synthesis, vitamin D receptor, and DNA.","container-title":"Pharmacological Reviews","DOI":"10.1124/pr.110.004044","ISSN":"1521-0081","issue":"1","journalAbbreviation":"Pharmacol Rev","language":"eng","note":"PMID: 24368738","page":"222-307","source":"PubMed","title":"The molecular basis for the pharmacokinetics and pharmacodynamics of curcumin and its metabolites in relation to cancer","volume":"66","author":[{"family":"Heger","given":"Michal"},{"family":"Golen","given":"Rowan F.","non-dropping-particle":"van"},{"family":"Broekgaarden","given":"Mans"},{"family":"Michel","given":"Martin C."}],"issued":{"date-parts":[["2014"]]}}}],"schema":"https://github.com/citation-style-language/schema/raw/master/csl-citation.json"} </w:instrText>
      </w:r>
      <w:r w:rsidR="003E7FD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(Heger et al., 2014)</w:t>
      </w:r>
      <w:r w:rsidR="003E7FD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One method that is yet to be investigated with recovery is curcumin in a hydrolysed (liposomal) form.</w:t>
      </w:r>
      <w:r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This formulation increase</w:t>
      </w:r>
      <w:r w:rsidR="00884382" w:rsidRPr="00B1213E">
        <w:rPr>
          <w:rFonts w:ascii="Times New Roman" w:hAnsi="Times New Roman" w:cs="Times New Roman"/>
          <w:sz w:val="24"/>
          <w:szCs w:val="24"/>
        </w:rPr>
        <w:t>s</w:t>
      </w:r>
      <w:r w:rsidR="3D9FB09B" w:rsidRPr="00B1213E">
        <w:rPr>
          <w:rFonts w:ascii="Times New Roman" w:hAnsi="Times New Roman" w:cs="Times New Roman"/>
          <w:sz w:val="24"/>
          <w:szCs w:val="24"/>
        </w:rPr>
        <w:t xml:space="preserve"> curcumin bioavailability through enhancing its water solubility, thus increasing plasma curcumin </w:t>
      </w:r>
      <w:r w:rsidR="003E7FD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{"citationID":"1iCDisam","properties":{"formattedCitation":"(Schiborr et al., 2014)","plainCitation":"(Schiborr et al., 2014)","noteIndex":0},"citationItems":[{"id":98,"uris":["http://zotero.org/users/local/7vKBzLRM/items/UULI65KD"],"itemData":{"id":98,"type":"article-journal","abstract":"SCOPE: Curcumin revealed various health-beneficial properties in numerous studies. However its bioavailability is low due to its limited intestinal uptake and rapid metabolism. The aim of our project was to develop novel curcumin formulations with improved oral bioavailability and to study their safety as well as potential sex-differences.\nMETHODS AND RESULTS: In this crossover study, healthy subjects (13 women, 10 men) took, in random order, a single oral dose of 500 mg curcuminoids as native powder, micronized powder, or liquid micelles. Blood and urine samples were collected for 24 h and total curcuminoids and safety parameters were quantified. Based on the area under the plasma concentration-time curve (AUC), the micronized curcumin was 14-, 5-, and 9-fold and micellar curcumin 277-, 114-, and 185-fold better bioavailable than native curcumin in women, men, and all subjects, respectively. Thus, women absorbed curcumin more efficiently than men. All safety parameters remained within the reference ranges following the consumption of all formulations.\nCONCLUSION: Both, the micronized powder and in particular the liquid micellar formulation of curcumin significantly improved its oral bioavailability without altering safety parameters and may thus be ideally suited to deliver curcumin in human intervention trials. The observed sex differences in curcumin absorption warrant further investigation.","container-title":"Molecular Nutrition &amp; Food Research","DOI":"10.1002/mnfr.201300724","ISSN":"1613-4133","issue":"3","journalAbbreviation":"Mol Nutr Food Res","language":"eng","note":"PMID: 24402825","page":"516-527","source":"PubMed","title":"The oral bioavailability of curcumin from micronized powder and liquid micelles is significantly increased in healthy humans and differs between sexes","volume":"58","author":[{"family":"Schiborr","given":"Christina"},{"family":"Kocher","given":"Alexa"},{"family":"Behnam","given":"Dariush"},{"family":"Jandasek","given":"Josef"},{"family":"Toelstede","given":"Simone"},{"family":"Frank","given":"Jan"}],"issued":{"date-parts":[["2014",3]]}}}],"schema":"https://github.com/citation-style-language/schema/raw/master/csl-citation.json"} </w:instrText>
      </w:r>
      <w:r w:rsidR="003E7FD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(Schiborr et al., 2014)</w:t>
      </w:r>
      <w:r w:rsidR="003E7FDB"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w:t>
      </w:r>
    </w:p>
    <w:p w14:paraId="4AD1BFDD" w14:textId="53CC4296" w:rsidR="3D9FB09B" w:rsidRPr="00B1213E" w:rsidRDefault="3D9FB09B" w:rsidP="3D9FB09B">
      <w:pPr>
        <w:shd w:val="clear" w:color="auto" w:fill="FFFFFF" w:themeFill="background1"/>
        <w:spacing w:after="0" w:line="360" w:lineRule="auto"/>
        <w:ind w:firstLine="720"/>
        <w:jc w:val="both"/>
        <w:rPr>
          <w:rFonts w:ascii="Times New Roman" w:hAnsi="Times New Roman" w:cs="Times New Roman"/>
          <w:sz w:val="24"/>
          <w:szCs w:val="24"/>
        </w:rPr>
      </w:pPr>
    </w:p>
    <w:p w14:paraId="6F2E720D" w14:textId="51C03CC9" w:rsidR="4A0E2DAA" w:rsidRPr="00B1213E" w:rsidRDefault="3D9FB09B" w:rsidP="00B91D9E">
      <w:pPr>
        <w:shd w:val="clear" w:color="auto" w:fill="FFFFFF" w:themeFill="background1"/>
        <w:spacing w:after="0" w:line="360" w:lineRule="auto"/>
        <w:ind w:firstLine="720"/>
        <w:jc w:val="both"/>
      </w:pPr>
      <w:r w:rsidRPr="00B1213E">
        <w:rPr>
          <w:rFonts w:ascii="Times New Roman" w:hAnsi="Times New Roman" w:cs="Times New Roman"/>
          <w:sz w:val="24"/>
          <w:szCs w:val="24"/>
        </w:rPr>
        <w:t>The aim of this study was to examine the effect two doses (750 and 1500 mg/day) of hydrolysed curcumin on physiological recovery following EIMD, through the assessment of indirect and direct markers of muscle function, damage, inflammation and oxidative stress. We hypothesi</w:t>
      </w:r>
      <w:r w:rsidR="000E21C7" w:rsidRPr="00B1213E">
        <w:rPr>
          <w:rFonts w:ascii="Times New Roman" w:hAnsi="Times New Roman" w:cs="Times New Roman"/>
          <w:sz w:val="24"/>
          <w:szCs w:val="24"/>
        </w:rPr>
        <w:t>s</w:t>
      </w:r>
      <w:r w:rsidRPr="00B1213E">
        <w:rPr>
          <w:rFonts w:ascii="Times New Roman" w:hAnsi="Times New Roman" w:cs="Times New Roman"/>
          <w:sz w:val="24"/>
          <w:szCs w:val="24"/>
        </w:rPr>
        <w:t xml:space="preserve">ed that: (a) participants in both curcumin groups would exhibit enhanced functional recovery and reduced perceived muscle soreness compared to placebo; (b) pro-inflammatory </w:t>
      </w:r>
      <w:r w:rsidRPr="00B1213E">
        <w:rPr>
          <w:rFonts w:ascii="Times New Roman" w:hAnsi="Times New Roman" w:cs="Times New Roman"/>
          <w:sz w:val="24"/>
          <w:szCs w:val="24"/>
        </w:rPr>
        <w:lastRenderedPageBreak/>
        <w:t>and oxidative stress markers would be lower in both curcumin groups compared to the placebo group; and (c) the 1500 mg curcumin dose would provoke greater effects than the 750 mg dose.</w:t>
      </w:r>
      <w:r w:rsidR="4A0E2DAA" w:rsidRPr="00B1213E">
        <w:br w:type="page"/>
      </w:r>
    </w:p>
    <w:p w14:paraId="538DC1AB" w14:textId="04FDB648" w:rsidR="00720961" w:rsidRPr="00B1213E" w:rsidRDefault="00D77C80" w:rsidP="00027419">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 xml:space="preserve">MATERIALS AND </w:t>
      </w:r>
      <w:r w:rsidR="00720961" w:rsidRPr="00B1213E">
        <w:rPr>
          <w:rFonts w:ascii="Times New Roman" w:hAnsi="Times New Roman" w:cs="Times New Roman"/>
          <w:b/>
          <w:bCs/>
          <w:sz w:val="24"/>
          <w:szCs w:val="24"/>
        </w:rPr>
        <w:t>M</w:t>
      </w:r>
      <w:r w:rsidR="008447D9" w:rsidRPr="00B1213E">
        <w:rPr>
          <w:rFonts w:ascii="Times New Roman" w:hAnsi="Times New Roman" w:cs="Times New Roman"/>
          <w:b/>
          <w:bCs/>
          <w:sz w:val="24"/>
          <w:szCs w:val="24"/>
        </w:rPr>
        <w:t>ETHODS</w:t>
      </w:r>
    </w:p>
    <w:p w14:paraId="70555CBE" w14:textId="77777777" w:rsidR="00720961" w:rsidRPr="00B1213E" w:rsidRDefault="00720961" w:rsidP="00027419">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 xml:space="preserve">Participants </w:t>
      </w:r>
    </w:p>
    <w:p w14:paraId="15D3D040" w14:textId="2EAE5F21" w:rsidR="00720961" w:rsidRPr="00B1213E" w:rsidRDefault="3D9FB09B" w:rsidP="008D4ACD">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Thirty-four recreationally active male participants (age range 18-41 years) volunteered for the study. </w:t>
      </w:r>
      <w:r w:rsidR="00266CFC" w:rsidRPr="00B1213E">
        <w:rPr>
          <w:rFonts w:ascii="Times New Roman" w:hAnsi="Times New Roman" w:cs="Times New Roman"/>
          <w:sz w:val="24"/>
          <w:szCs w:val="24"/>
        </w:rPr>
        <w:t>All had similar training histor</w:t>
      </w:r>
      <w:r w:rsidR="008D4ACD" w:rsidRPr="00B1213E">
        <w:rPr>
          <w:rFonts w:ascii="Times New Roman" w:hAnsi="Times New Roman" w:cs="Times New Roman"/>
          <w:sz w:val="24"/>
          <w:szCs w:val="24"/>
        </w:rPr>
        <w:t>ies</w:t>
      </w:r>
      <w:r w:rsidR="00AD41CD" w:rsidRPr="00B1213E">
        <w:rPr>
          <w:rFonts w:ascii="Times New Roman" w:hAnsi="Times New Roman" w:cs="Times New Roman"/>
          <w:sz w:val="24"/>
          <w:szCs w:val="24"/>
        </w:rPr>
        <w:t xml:space="preserve"> and were familiar with the leg press machine</w:t>
      </w:r>
      <w:r w:rsidR="00266CFC" w:rsidRPr="00B1213E">
        <w:rPr>
          <w:rFonts w:ascii="Times New Roman" w:hAnsi="Times New Roman" w:cs="Times New Roman"/>
          <w:sz w:val="24"/>
          <w:szCs w:val="24"/>
        </w:rPr>
        <w:t>, s</w:t>
      </w:r>
      <w:r w:rsidRPr="00B1213E">
        <w:rPr>
          <w:rFonts w:ascii="Times New Roman" w:hAnsi="Times New Roman" w:cs="Times New Roman"/>
          <w:sz w:val="24"/>
          <w:szCs w:val="24"/>
        </w:rPr>
        <w:t xml:space="preserve">ee </w:t>
      </w:r>
      <w:r w:rsidRPr="00B1213E">
        <w:rPr>
          <w:rFonts w:ascii="Times New Roman" w:hAnsi="Times New Roman" w:cs="Times New Roman"/>
          <w:b/>
          <w:bCs/>
          <w:sz w:val="24"/>
          <w:szCs w:val="24"/>
        </w:rPr>
        <w:t>Table 1</w:t>
      </w:r>
      <w:r w:rsidRPr="00B1213E">
        <w:rPr>
          <w:rFonts w:ascii="Times New Roman" w:hAnsi="Times New Roman" w:cs="Times New Roman"/>
          <w:sz w:val="24"/>
          <w:szCs w:val="24"/>
        </w:rPr>
        <w:t xml:space="preserve"> for participant characteristics. Participants were asked to refrain from exercise, alcohol and pharmacological substances/supplements for 48 h </w:t>
      </w:r>
      <w:r w:rsidR="00E423A3" w:rsidRPr="00B1213E">
        <w:rPr>
          <w:rFonts w:ascii="Times New Roman" w:hAnsi="Times New Roman" w:cs="Times New Roman"/>
          <w:sz w:val="24"/>
          <w:szCs w:val="24"/>
        </w:rPr>
        <w:t xml:space="preserve">prior to </w:t>
      </w:r>
      <w:r w:rsidRPr="00B1213E">
        <w:rPr>
          <w:rFonts w:ascii="Times New Roman" w:hAnsi="Times New Roman" w:cs="Times New Roman"/>
          <w:sz w:val="24"/>
          <w:szCs w:val="24"/>
        </w:rPr>
        <w:t xml:space="preserve">and during the protocol. Caffeine consumption was ceased 12 h before each trial. </w:t>
      </w:r>
      <w:r w:rsidR="00131F4D" w:rsidRPr="00B1213E">
        <w:rPr>
          <w:rFonts w:ascii="Times New Roman" w:hAnsi="Times New Roman" w:cs="Times New Roman"/>
          <w:sz w:val="24"/>
          <w:szCs w:val="24"/>
        </w:rPr>
        <w:t xml:space="preserve">Participants confirmed they </w:t>
      </w:r>
      <w:r w:rsidR="008D30F7" w:rsidRPr="00B1213E">
        <w:rPr>
          <w:rFonts w:ascii="Times New Roman" w:hAnsi="Times New Roman" w:cs="Times New Roman"/>
          <w:sz w:val="24"/>
          <w:szCs w:val="24"/>
        </w:rPr>
        <w:t>did</w:t>
      </w:r>
      <w:r w:rsidR="00131F4D" w:rsidRPr="00B1213E">
        <w:rPr>
          <w:rFonts w:ascii="Times New Roman" w:hAnsi="Times New Roman" w:cs="Times New Roman"/>
          <w:sz w:val="24"/>
          <w:szCs w:val="24"/>
        </w:rPr>
        <w:t xml:space="preserve"> not consuming turmeric regularly, either as a supplement or through their diet and were </w:t>
      </w:r>
      <w:r w:rsidR="008D30F7" w:rsidRPr="00B1213E">
        <w:rPr>
          <w:rFonts w:ascii="Times New Roman" w:hAnsi="Times New Roman" w:cs="Times New Roman"/>
          <w:sz w:val="24"/>
          <w:szCs w:val="24"/>
        </w:rPr>
        <w:t>instructed</w:t>
      </w:r>
      <w:r w:rsidR="00131F4D" w:rsidRPr="00B1213E">
        <w:rPr>
          <w:rFonts w:ascii="Times New Roman" w:hAnsi="Times New Roman" w:cs="Times New Roman"/>
          <w:sz w:val="24"/>
          <w:szCs w:val="24"/>
        </w:rPr>
        <w:t xml:space="preserve"> to</w:t>
      </w:r>
      <w:r w:rsidRPr="00B1213E">
        <w:rPr>
          <w:rFonts w:ascii="Times New Roman" w:hAnsi="Times New Roman" w:cs="Times New Roman"/>
          <w:sz w:val="24"/>
          <w:szCs w:val="24"/>
        </w:rPr>
        <w:t xml:space="preserve"> discontinue dietary</w:t>
      </w:r>
      <w:r w:rsidR="548FEDBB" w:rsidRPr="00B1213E">
        <w:rPr>
          <w:rFonts w:ascii="Times New Roman" w:hAnsi="Times New Roman" w:cs="Times New Roman"/>
          <w:sz w:val="24"/>
          <w:szCs w:val="24"/>
        </w:rPr>
        <w:t xml:space="preserve"> or supplementary</w:t>
      </w:r>
      <w:r w:rsidRPr="00B1213E">
        <w:rPr>
          <w:rFonts w:ascii="Times New Roman" w:hAnsi="Times New Roman" w:cs="Times New Roman"/>
          <w:sz w:val="24"/>
          <w:szCs w:val="24"/>
        </w:rPr>
        <w:t xml:space="preserve"> turmeric consumption in the week leading up to the trial through to the end of the experimental protocol, while otherwise maintaining their usual dietary habits throughout the study. Participants were excluded if they had </w:t>
      </w:r>
      <w:r w:rsidR="00456EE6" w:rsidRPr="00B1213E">
        <w:rPr>
          <w:rFonts w:ascii="Times New Roman" w:hAnsi="Times New Roman" w:cs="Times New Roman"/>
          <w:sz w:val="24"/>
          <w:szCs w:val="24"/>
        </w:rPr>
        <w:t>sustained an injury within the previous six months</w:t>
      </w:r>
      <w:r w:rsidRPr="00B1213E">
        <w:rPr>
          <w:rFonts w:ascii="Times New Roman" w:hAnsi="Times New Roman" w:cs="Times New Roman"/>
          <w:sz w:val="24"/>
          <w:szCs w:val="24"/>
        </w:rPr>
        <w:t xml:space="preserve">. Ethics approval was granted by the University Ethics Committee </w:t>
      </w:r>
      <w:r w:rsidRPr="00B1213E">
        <w:rPr>
          <w:rFonts w:ascii="Times New Roman" w:eastAsia="Times New Roman" w:hAnsi="Times New Roman" w:cs="Times New Roman"/>
          <w:sz w:val="24"/>
          <w:szCs w:val="24"/>
        </w:rPr>
        <w:t>(SMU_ETHICS_2021-22_218).</w:t>
      </w:r>
      <w:r w:rsidR="00534920">
        <w:rPr>
          <w:rFonts w:ascii="Times New Roman" w:eastAsia="Times New Roman" w:hAnsi="Times New Roman" w:cs="Times New Roman"/>
          <w:sz w:val="24"/>
          <w:szCs w:val="24"/>
        </w:rPr>
        <w:t xml:space="preserve"> </w:t>
      </w:r>
      <w:r w:rsidR="00534920" w:rsidRPr="00534920">
        <w:rPr>
          <w:rFonts w:ascii="Times New Roman" w:eastAsia="Times New Roman" w:hAnsi="Times New Roman" w:cs="Times New Roman"/>
          <w:sz w:val="24"/>
          <w:szCs w:val="24"/>
        </w:rPr>
        <w:t xml:space="preserve">All procedures were conducted in accordance with the Declaration of Helsinki. </w:t>
      </w:r>
      <w:r w:rsidRPr="00B1213E">
        <w:rPr>
          <w:rFonts w:ascii="Times New Roman" w:hAnsi="Times New Roman" w:cs="Times New Roman"/>
          <w:sz w:val="24"/>
          <w:szCs w:val="24"/>
        </w:rPr>
        <w:t xml:space="preserve">Written informed consent was obtained from all participants. Upon </w:t>
      </w:r>
      <w:r w:rsidR="00456EE6" w:rsidRPr="00B1213E">
        <w:rPr>
          <w:rFonts w:ascii="Times New Roman" w:hAnsi="Times New Roman" w:cs="Times New Roman"/>
          <w:sz w:val="24"/>
          <w:szCs w:val="24"/>
        </w:rPr>
        <w:t>study completion</w:t>
      </w:r>
      <w:r w:rsidRPr="00B1213E">
        <w:rPr>
          <w:rFonts w:ascii="Times New Roman" w:hAnsi="Times New Roman" w:cs="Times New Roman"/>
          <w:sz w:val="24"/>
          <w:szCs w:val="24"/>
        </w:rPr>
        <w:t>, one participant exhibited implausible biomarker values</w:t>
      </w:r>
      <w:r w:rsidR="00456EE6" w:rsidRPr="00B1213E">
        <w:rPr>
          <w:rFonts w:ascii="Times New Roman" w:hAnsi="Times New Roman" w:cs="Times New Roman"/>
          <w:sz w:val="24"/>
          <w:szCs w:val="24"/>
        </w:rPr>
        <w:t xml:space="preserve"> and was therefore excluded from analysis, reducing the LOW groups sample size to</w:t>
      </w:r>
      <w:r w:rsidRPr="00B1213E">
        <w:rPr>
          <w:rFonts w:ascii="Times New Roman" w:hAnsi="Times New Roman" w:cs="Times New Roman"/>
          <w:sz w:val="24"/>
          <w:szCs w:val="24"/>
        </w:rPr>
        <w:t xml:space="preserve"> n = 11.</w:t>
      </w:r>
    </w:p>
    <w:p w14:paraId="4E81D61D" w14:textId="77777777" w:rsidR="00244476" w:rsidRPr="00B1213E" w:rsidRDefault="00244476" w:rsidP="3D9FB09B">
      <w:pPr>
        <w:spacing w:after="0" w:line="360" w:lineRule="auto"/>
        <w:ind w:firstLine="720"/>
        <w:jc w:val="both"/>
        <w:rPr>
          <w:rFonts w:ascii="Times New Roman" w:hAnsi="Times New Roman" w:cs="Times New Roman"/>
          <w:sz w:val="24"/>
          <w:szCs w:val="24"/>
        </w:rPr>
      </w:pPr>
    </w:p>
    <w:p w14:paraId="14C2FEB9" w14:textId="77777777" w:rsidR="00244476" w:rsidRPr="00B1213E" w:rsidRDefault="00244476" w:rsidP="00244476">
      <w:pPr>
        <w:spacing w:after="0" w:line="360" w:lineRule="auto"/>
        <w:jc w:val="both"/>
        <w:rPr>
          <w:rFonts w:ascii="Times New Roman" w:hAnsi="Times New Roman" w:cs="Times New Roman"/>
          <w:sz w:val="24"/>
          <w:szCs w:val="24"/>
        </w:rPr>
      </w:pPr>
      <w:r w:rsidRPr="00B1213E">
        <w:rPr>
          <w:rFonts w:ascii="Times New Roman" w:hAnsi="Times New Roman" w:cs="Times New Roman"/>
          <w:b/>
          <w:bCs/>
          <w:sz w:val="24"/>
          <w:szCs w:val="24"/>
        </w:rPr>
        <w:t>Table 1.</w:t>
      </w:r>
      <w:r w:rsidRPr="00B1213E">
        <w:rPr>
          <w:rFonts w:ascii="Times New Roman" w:hAnsi="Times New Roman" w:cs="Times New Roman"/>
          <w:sz w:val="24"/>
          <w:szCs w:val="24"/>
        </w:rPr>
        <w:t xml:space="preserve"> Participant characteristics for the placebo group (PLA), single dose group (LOW), and double dose group (HIGH) (Mean ± SD). </w:t>
      </w:r>
    </w:p>
    <w:p w14:paraId="17B2CE8F" w14:textId="77777777" w:rsidR="00244476" w:rsidRPr="00B1213E" w:rsidRDefault="00244476" w:rsidP="00244476">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1RM, one repetition maximum.</w:t>
      </w:r>
    </w:p>
    <w:tbl>
      <w:tblPr>
        <w:tblW w:w="9435" w:type="dxa"/>
        <w:jc w:val="center"/>
        <w:tblLook w:val="04A0" w:firstRow="1" w:lastRow="0" w:firstColumn="1" w:lastColumn="0" w:noHBand="0" w:noVBand="1"/>
      </w:tblPr>
      <w:tblGrid>
        <w:gridCol w:w="1891"/>
        <w:gridCol w:w="1836"/>
        <w:gridCol w:w="1853"/>
        <w:gridCol w:w="1530"/>
        <w:gridCol w:w="2325"/>
      </w:tblGrid>
      <w:tr w:rsidR="00B1213E" w:rsidRPr="00B1213E" w14:paraId="22558197" w14:textId="77777777" w:rsidTr="006A2877">
        <w:trPr>
          <w:trHeight w:val="592"/>
          <w:jc w:val="center"/>
        </w:trPr>
        <w:tc>
          <w:tcPr>
            <w:tcW w:w="1891" w:type="dxa"/>
            <w:tcBorders>
              <w:top w:val="single" w:sz="8" w:space="0" w:color="auto"/>
              <w:left w:val="nil"/>
              <w:bottom w:val="single" w:sz="8" w:space="0" w:color="auto"/>
              <w:right w:val="nil"/>
            </w:tcBorders>
            <w:vAlign w:val="center"/>
            <w:hideMark/>
          </w:tcPr>
          <w:p w14:paraId="4451CB2E"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bookmarkStart w:id="3" w:name="_Hlk199238926"/>
            <w:r w:rsidRPr="00B1213E">
              <w:rPr>
                <w:rFonts w:ascii="Times New Roman" w:eastAsia="Times New Roman" w:hAnsi="Times New Roman" w:cs="Times New Roman"/>
                <w:sz w:val="24"/>
                <w:szCs w:val="24"/>
                <w:lang w:eastAsia="en-GB"/>
              </w:rPr>
              <w:t>Group</w:t>
            </w:r>
          </w:p>
        </w:tc>
        <w:tc>
          <w:tcPr>
            <w:tcW w:w="1836" w:type="dxa"/>
            <w:tcBorders>
              <w:top w:val="single" w:sz="8" w:space="0" w:color="auto"/>
              <w:left w:val="nil"/>
              <w:bottom w:val="single" w:sz="8" w:space="0" w:color="auto"/>
              <w:right w:val="nil"/>
            </w:tcBorders>
            <w:vAlign w:val="center"/>
            <w:hideMark/>
          </w:tcPr>
          <w:p w14:paraId="10EC7BAE"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Age (y)</w:t>
            </w:r>
          </w:p>
        </w:tc>
        <w:tc>
          <w:tcPr>
            <w:tcW w:w="1853" w:type="dxa"/>
            <w:tcBorders>
              <w:top w:val="single" w:sz="8" w:space="0" w:color="auto"/>
              <w:left w:val="nil"/>
              <w:bottom w:val="single" w:sz="8" w:space="0" w:color="auto"/>
              <w:right w:val="nil"/>
            </w:tcBorders>
            <w:vAlign w:val="center"/>
            <w:hideMark/>
          </w:tcPr>
          <w:p w14:paraId="5B517F20"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Height (cm)</w:t>
            </w:r>
          </w:p>
        </w:tc>
        <w:tc>
          <w:tcPr>
            <w:tcW w:w="1530" w:type="dxa"/>
            <w:tcBorders>
              <w:top w:val="single" w:sz="8" w:space="0" w:color="auto"/>
              <w:left w:val="nil"/>
              <w:bottom w:val="single" w:sz="8" w:space="0" w:color="auto"/>
              <w:right w:val="nil"/>
            </w:tcBorders>
            <w:vAlign w:val="center"/>
            <w:hideMark/>
          </w:tcPr>
          <w:p w14:paraId="6086E250"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Weight (kg)</w:t>
            </w:r>
          </w:p>
        </w:tc>
        <w:tc>
          <w:tcPr>
            <w:tcW w:w="2325" w:type="dxa"/>
            <w:tcBorders>
              <w:top w:val="single" w:sz="8" w:space="0" w:color="auto"/>
              <w:left w:val="nil"/>
              <w:bottom w:val="single" w:sz="8" w:space="0" w:color="auto"/>
              <w:right w:val="nil"/>
            </w:tcBorders>
            <w:vAlign w:val="center"/>
            <w:hideMark/>
          </w:tcPr>
          <w:p w14:paraId="31A50249"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1RM Leg Press (kg)</w:t>
            </w:r>
          </w:p>
        </w:tc>
      </w:tr>
      <w:tr w:rsidR="00B1213E" w:rsidRPr="00B1213E" w14:paraId="4B83EF97" w14:textId="77777777" w:rsidTr="006A2877">
        <w:trPr>
          <w:trHeight w:val="620"/>
          <w:jc w:val="center"/>
        </w:trPr>
        <w:tc>
          <w:tcPr>
            <w:tcW w:w="1891" w:type="dxa"/>
            <w:tcBorders>
              <w:top w:val="nil"/>
              <w:left w:val="nil"/>
              <w:bottom w:val="nil"/>
              <w:right w:val="nil"/>
            </w:tcBorders>
            <w:vAlign w:val="center"/>
            <w:hideMark/>
          </w:tcPr>
          <w:p w14:paraId="455933E1"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PLA (n = 10)</w:t>
            </w:r>
          </w:p>
        </w:tc>
        <w:tc>
          <w:tcPr>
            <w:tcW w:w="1836" w:type="dxa"/>
            <w:tcBorders>
              <w:top w:val="nil"/>
              <w:left w:val="nil"/>
              <w:bottom w:val="nil"/>
              <w:right w:val="nil"/>
            </w:tcBorders>
            <w:vAlign w:val="center"/>
            <w:hideMark/>
          </w:tcPr>
          <w:p w14:paraId="0A281728"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27 ± 6</w:t>
            </w:r>
          </w:p>
        </w:tc>
        <w:tc>
          <w:tcPr>
            <w:tcW w:w="1853" w:type="dxa"/>
            <w:tcBorders>
              <w:top w:val="nil"/>
              <w:left w:val="nil"/>
              <w:bottom w:val="nil"/>
              <w:right w:val="nil"/>
            </w:tcBorders>
            <w:vAlign w:val="center"/>
            <w:hideMark/>
          </w:tcPr>
          <w:p w14:paraId="3F0D19E5"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181.9 ± 8.6</w:t>
            </w:r>
          </w:p>
        </w:tc>
        <w:tc>
          <w:tcPr>
            <w:tcW w:w="1530" w:type="dxa"/>
            <w:tcBorders>
              <w:top w:val="nil"/>
              <w:left w:val="nil"/>
              <w:bottom w:val="nil"/>
              <w:right w:val="nil"/>
            </w:tcBorders>
            <w:vAlign w:val="center"/>
            <w:hideMark/>
          </w:tcPr>
          <w:p w14:paraId="74A74127"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84.2 ± 13.1</w:t>
            </w:r>
          </w:p>
        </w:tc>
        <w:tc>
          <w:tcPr>
            <w:tcW w:w="2325" w:type="dxa"/>
            <w:tcBorders>
              <w:top w:val="nil"/>
              <w:left w:val="nil"/>
              <w:bottom w:val="nil"/>
              <w:right w:val="nil"/>
            </w:tcBorders>
            <w:vAlign w:val="center"/>
            <w:hideMark/>
          </w:tcPr>
          <w:p w14:paraId="4F7B62A3"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232 ± 49.4</w:t>
            </w:r>
          </w:p>
        </w:tc>
      </w:tr>
      <w:tr w:rsidR="00B1213E" w:rsidRPr="00B1213E" w14:paraId="0C91E074" w14:textId="77777777" w:rsidTr="006A2877">
        <w:trPr>
          <w:trHeight w:val="620"/>
          <w:jc w:val="center"/>
        </w:trPr>
        <w:tc>
          <w:tcPr>
            <w:tcW w:w="1891" w:type="dxa"/>
            <w:tcBorders>
              <w:top w:val="nil"/>
              <w:left w:val="nil"/>
              <w:bottom w:val="nil"/>
              <w:right w:val="nil"/>
            </w:tcBorders>
            <w:vAlign w:val="center"/>
            <w:hideMark/>
          </w:tcPr>
          <w:p w14:paraId="1F8B4EAC"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LOW (n = 11)</w:t>
            </w:r>
          </w:p>
        </w:tc>
        <w:tc>
          <w:tcPr>
            <w:tcW w:w="1836" w:type="dxa"/>
            <w:tcBorders>
              <w:top w:val="nil"/>
              <w:left w:val="nil"/>
              <w:bottom w:val="nil"/>
              <w:right w:val="nil"/>
            </w:tcBorders>
            <w:vAlign w:val="center"/>
            <w:hideMark/>
          </w:tcPr>
          <w:p w14:paraId="3E55D5A8"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 xml:space="preserve">27 ± 6 </w:t>
            </w:r>
          </w:p>
        </w:tc>
        <w:tc>
          <w:tcPr>
            <w:tcW w:w="1853" w:type="dxa"/>
            <w:tcBorders>
              <w:top w:val="nil"/>
              <w:left w:val="nil"/>
              <w:bottom w:val="nil"/>
              <w:right w:val="nil"/>
            </w:tcBorders>
            <w:vAlign w:val="center"/>
            <w:hideMark/>
          </w:tcPr>
          <w:p w14:paraId="7DF25835"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178.37 ± 5.8</w:t>
            </w:r>
          </w:p>
        </w:tc>
        <w:tc>
          <w:tcPr>
            <w:tcW w:w="1530" w:type="dxa"/>
            <w:tcBorders>
              <w:top w:val="nil"/>
              <w:left w:val="nil"/>
              <w:bottom w:val="nil"/>
              <w:right w:val="nil"/>
            </w:tcBorders>
            <w:vAlign w:val="center"/>
            <w:hideMark/>
          </w:tcPr>
          <w:p w14:paraId="552EE2B6"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83.9 ± 9.2</w:t>
            </w:r>
          </w:p>
        </w:tc>
        <w:tc>
          <w:tcPr>
            <w:tcW w:w="2325" w:type="dxa"/>
            <w:tcBorders>
              <w:top w:val="nil"/>
              <w:left w:val="nil"/>
              <w:bottom w:val="nil"/>
              <w:right w:val="nil"/>
            </w:tcBorders>
            <w:vAlign w:val="center"/>
            <w:hideMark/>
          </w:tcPr>
          <w:p w14:paraId="02BC4AE5"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268 ± 55.4</w:t>
            </w:r>
          </w:p>
        </w:tc>
      </w:tr>
      <w:tr w:rsidR="00244476" w:rsidRPr="00B1213E" w14:paraId="456BBF69" w14:textId="77777777" w:rsidTr="006A2877">
        <w:trPr>
          <w:trHeight w:val="631"/>
          <w:jc w:val="center"/>
        </w:trPr>
        <w:tc>
          <w:tcPr>
            <w:tcW w:w="1891" w:type="dxa"/>
            <w:tcBorders>
              <w:top w:val="nil"/>
              <w:left w:val="nil"/>
              <w:bottom w:val="single" w:sz="8" w:space="0" w:color="auto"/>
              <w:right w:val="nil"/>
            </w:tcBorders>
            <w:vAlign w:val="center"/>
            <w:hideMark/>
          </w:tcPr>
          <w:p w14:paraId="535C6A87"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 xml:space="preserve">HIGH (n = 12) </w:t>
            </w:r>
          </w:p>
        </w:tc>
        <w:tc>
          <w:tcPr>
            <w:tcW w:w="1836" w:type="dxa"/>
            <w:tcBorders>
              <w:top w:val="nil"/>
              <w:left w:val="nil"/>
              <w:bottom w:val="single" w:sz="8" w:space="0" w:color="auto"/>
              <w:right w:val="nil"/>
            </w:tcBorders>
            <w:vAlign w:val="center"/>
            <w:hideMark/>
          </w:tcPr>
          <w:p w14:paraId="1B6FAA35"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27 ± 7</w:t>
            </w:r>
          </w:p>
        </w:tc>
        <w:tc>
          <w:tcPr>
            <w:tcW w:w="1853" w:type="dxa"/>
            <w:tcBorders>
              <w:top w:val="nil"/>
              <w:left w:val="nil"/>
              <w:bottom w:val="single" w:sz="8" w:space="0" w:color="auto"/>
              <w:right w:val="nil"/>
            </w:tcBorders>
            <w:vAlign w:val="center"/>
            <w:hideMark/>
          </w:tcPr>
          <w:p w14:paraId="25E17066"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179 ± 8</w:t>
            </w:r>
          </w:p>
        </w:tc>
        <w:tc>
          <w:tcPr>
            <w:tcW w:w="1530" w:type="dxa"/>
            <w:tcBorders>
              <w:top w:val="nil"/>
              <w:left w:val="nil"/>
              <w:bottom w:val="single" w:sz="8" w:space="0" w:color="auto"/>
              <w:right w:val="nil"/>
            </w:tcBorders>
            <w:vAlign w:val="center"/>
            <w:hideMark/>
          </w:tcPr>
          <w:p w14:paraId="54A1B4EC"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81 ± 12.9</w:t>
            </w:r>
          </w:p>
        </w:tc>
        <w:tc>
          <w:tcPr>
            <w:tcW w:w="2325" w:type="dxa"/>
            <w:tcBorders>
              <w:top w:val="nil"/>
              <w:left w:val="nil"/>
              <w:bottom w:val="single" w:sz="8" w:space="0" w:color="auto"/>
              <w:right w:val="nil"/>
            </w:tcBorders>
            <w:vAlign w:val="center"/>
            <w:hideMark/>
          </w:tcPr>
          <w:p w14:paraId="5AA6A098" w14:textId="77777777" w:rsidR="00244476" w:rsidRPr="00B1213E" w:rsidRDefault="00244476" w:rsidP="006A2877">
            <w:pPr>
              <w:spacing w:after="0" w:line="360" w:lineRule="auto"/>
              <w:jc w:val="center"/>
              <w:rPr>
                <w:rFonts w:ascii="Times New Roman" w:eastAsia="Times New Roman" w:hAnsi="Times New Roman" w:cs="Times New Roman"/>
                <w:sz w:val="24"/>
                <w:szCs w:val="24"/>
                <w:lang w:eastAsia="en-GB"/>
              </w:rPr>
            </w:pPr>
            <w:r w:rsidRPr="00B1213E">
              <w:rPr>
                <w:rFonts w:ascii="Times New Roman" w:eastAsia="Times New Roman" w:hAnsi="Times New Roman" w:cs="Times New Roman"/>
                <w:sz w:val="24"/>
                <w:szCs w:val="24"/>
                <w:lang w:eastAsia="en-GB"/>
              </w:rPr>
              <w:t>272.3 ± 7</w:t>
            </w:r>
          </w:p>
        </w:tc>
      </w:tr>
      <w:bookmarkEnd w:id="3"/>
    </w:tbl>
    <w:p w14:paraId="40D949C4" w14:textId="77777777" w:rsidR="00244476" w:rsidRPr="00B1213E" w:rsidRDefault="00244476" w:rsidP="00027419">
      <w:pPr>
        <w:spacing w:after="0" w:line="360" w:lineRule="auto"/>
        <w:jc w:val="both"/>
        <w:rPr>
          <w:rFonts w:ascii="Times New Roman" w:hAnsi="Times New Roman" w:cs="Times New Roman"/>
          <w:sz w:val="24"/>
          <w:szCs w:val="24"/>
        </w:rPr>
      </w:pPr>
    </w:p>
    <w:p w14:paraId="545874CF" w14:textId="77777777" w:rsidR="00114877" w:rsidRPr="00B1213E" w:rsidRDefault="00114877" w:rsidP="00027419">
      <w:pPr>
        <w:spacing w:after="0" w:line="360" w:lineRule="auto"/>
        <w:ind w:firstLine="720"/>
        <w:jc w:val="both"/>
        <w:rPr>
          <w:rFonts w:ascii="Times New Roman" w:hAnsi="Times New Roman" w:cs="Times New Roman"/>
          <w:sz w:val="24"/>
          <w:szCs w:val="24"/>
        </w:rPr>
      </w:pPr>
    </w:p>
    <w:p w14:paraId="2E2E7B76" w14:textId="77777777" w:rsidR="00147E1A" w:rsidRPr="00B1213E" w:rsidRDefault="00147E1A" w:rsidP="00027419">
      <w:pPr>
        <w:spacing w:after="0" w:line="360" w:lineRule="auto"/>
        <w:ind w:firstLine="720"/>
        <w:jc w:val="both"/>
        <w:rPr>
          <w:rFonts w:ascii="Times New Roman" w:hAnsi="Times New Roman" w:cs="Times New Roman"/>
          <w:sz w:val="24"/>
          <w:szCs w:val="24"/>
        </w:rPr>
      </w:pPr>
    </w:p>
    <w:p w14:paraId="76157C1D" w14:textId="77777777" w:rsidR="00147E1A" w:rsidRPr="00B1213E" w:rsidRDefault="00147E1A" w:rsidP="00027419">
      <w:pPr>
        <w:spacing w:after="0" w:line="360" w:lineRule="auto"/>
        <w:ind w:firstLine="720"/>
        <w:jc w:val="both"/>
        <w:rPr>
          <w:rFonts w:ascii="Times New Roman" w:hAnsi="Times New Roman" w:cs="Times New Roman"/>
          <w:sz w:val="24"/>
          <w:szCs w:val="24"/>
        </w:rPr>
      </w:pPr>
    </w:p>
    <w:p w14:paraId="65B3A292" w14:textId="77777777" w:rsidR="00720961" w:rsidRPr="00B1213E" w:rsidRDefault="00720961" w:rsidP="00027419">
      <w:pPr>
        <w:tabs>
          <w:tab w:val="right" w:pos="9026"/>
        </w:tabs>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Experimental Overview</w:t>
      </w:r>
      <w:r w:rsidRPr="00B1213E">
        <w:rPr>
          <w:rFonts w:ascii="Times New Roman" w:hAnsi="Times New Roman" w:cs="Times New Roman"/>
          <w:i/>
          <w:iCs/>
          <w:sz w:val="24"/>
          <w:szCs w:val="24"/>
        </w:rPr>
        <w:tab/>
      </w:r>
    </w:p>
    <w:p w14:paraId="766DDD80" w14:textId="061F03E6" w:rsidR="00720961" w:rsidRPr="00B1213E" w:rsidRDefault="3D9FB09B" w:rsidP="00EB7198">
      <w:pPr>
        <w:spacing w:after="0" w:line="360" w:lineRule="auto"/>
        <w:ind w:firstLine="720"/>
        <w:jc w:val="both"/>
        <w:rPr>
          <w:rFonts w:ascii="Times New Roman" w:hAnsi="Times New Roman" w:cs="Times New Roman"/>
          <w:b/>
          <w:bCs/>
          <w:sz w:val="24"/>
          <w:szCs w:val="24"/>
        </w:rPr>
      </w:pPr>
      <w:r w:rsidRPr="00B1213E">
        <w:rPr>
          <w:rFonts w:ascii="Times New Roman" w:hAnsi="Times New Roman" w:cs="Times New Roman"/>
          <w:sz w:val="24"/>
          <w:szCs w:val="24"/>
        </w:rPr>
        <w:t>This study employed a double-blind, randomised, placebo-controlled, counterbalanced</w:t>
      </w:r>
      <w:r w:rsidR="00D95A9F" w:rsidRPr="00B1213E">
        <w:rPr>
          <w:rFonts w:ascii="Times New Roman" w:hAnsi="Times New Roman" w:cs="Times New Roman"/>
          <w:sz w:val="24"/>
          <w:szCs w:val="24"/>
        </w:rPr>
        <w:t>,</w:t>
      </w:r>
      <w:r w:rsidRPr="00B1213E">
        <w:rPr>
          <w:rFonts w:ascii="Times New Roman" w:hAnsi="Times New Roman" w:cs="Times New Roman"/>
          <w:sz w:val="24"/>
          <w:szCs w:val="24"/>
        </w:rPr>
        <w:t xml:space="preserve"> independent</w:t>
      </w:r>
      <w:r w:rsidR="00D95A9F" w:rsidRPr="00B1213E">
        <w:rPr>
          <w:rFonts w:ascii="Times New Roman" w:hAnsi="Times New Roman" w:cs="Times New Roman"/>
          <w:sz w:val="24"/>
          <w:szCs w:val="24"/>
        </w:rPr>
        <w:t>-</w:t>
      </w:r>
      <w:r w:rsidRPr="00B1213E">
        <w:rPr>
          <w:rFonts w:ascii="Times New Roman" w:hAnsi="Times New Roman" w:cs="Times New Roman"/>
          <w:sz w:val="24"/>
          <w:szCs w:val="24"/>
        </w:rPr>
        <w:t>group</w:t>
      </w:r>
      <w:r w:rsidR="00D95A9F" w:rsidRPr="00B1213E">
        <w:rPr>
          <w:rFonts w:ascii="Times New Roman" w:hAnsi="Times New Roman" w:cs="Times New Roman"/>
          <w:sz w:val="24"/>
          <w:szCs w:val="24"/>
        </w:rPr>
        <w:t>s</w:t>
      </w:r>
      <w:r w:rsidRPr="00B1213E">
        <w:rPr>
          <w:rFonts w:ascii="Times New Roman" w:hAnsi="Times New Roman" w:cs="Times New Roman"/>
          <w:sz w:val="24"/>
          <w:szCs w:val="24"/>
        </w:rPr>
        <w:t xml:space="preserve"> design</w:t>
      </w:r>
      <w:bookmarkStart w:id="4" w:name="_Hlk112997166"/>
      <w:r w:rsidRPr="00B1213E">
        <w:rPr>
          <w:rFonts w:ascii="Times New Roman" w:hAnsi="Times New Roman" w:cs="Times New Roman"/>
          <w:sz w:val="24"/>
          <w:szCs w:val="24"/>
        </w:rPr>
        <w:t xml:space="preserve">. </w:t>
      </w:r>
      <w:bookmarkEnd w:id="4"/>
      <w:r w:rsidRPr="00B1213E">
        <w:rPr>
          <w:rFonts w:ascii="Times New Roman" w:hAnsi="Times New Roman" w:cs="Times New Roman"/>
          <w:sz w:val="24"/>
          <w:szCs w:val="24"/>
        </w:rPr>
        <w:t xml:space="preserve">All participants were required to visit the human performance </w:t>
      </w:r>
      <w:r w:rsidRPr="00B1213E">
        <w:rPr>
          <w:rFonts w:ascii="Times New Roman" w:hAnsi="Times New Roman" w:cs="Times New Roman"/>
          <w:sz w:val="24"/>
          <w:szCs w:val="24"/>
        </w:rPr>
        <w:lastRenderedPageBreak/>
        <w:t xml:space="preserve">laboratory on five occasions, the first being a familiarisation trial </w:t>
      </w:r>
      <w:r w:rsidR="00D95A9F" w:rsidRPr="00B1213E">
        <w:rPr>
          <w:rFonts w:ascii="Times New Roman" w:hAnsi="Times New Roman" w:cs="Times New Roman"/>
          <w:sz w:val="24"/>
          <w:szCs w:val="24"/>
        </w:rPr>
        <w:t>at least</w:t>
      </w:r>
      <w:r w:rsidRPr="00B1213E">
        <w:rPr>
          <w:rFonts w:ascii="Times New Roman" w:hAnsi="Times New Roman" w:cs="Times New Roman"/>
          <w:sz w:val="24"/>
          <w:szCs w:val="24"/>
        </w:rPr>
        <w:t xml:space="preserve"> 96 h before the EIMD protocol (day one). </w:t>
      </w:r>
      <w:r w:rsidR="00D95A9F" w:rsidRPr="00B1213E">
        <w:rPr>
          <w:rFonts w:ascii="Times New Roman" w:hAnsi="Times New Roman" w:cs="Times New Roman"/>
          <w:sz w:val="24"/>
          <w:szCs w:val="24"/>
        </w:rPr>
        <w:t>Participants</w:t>
      </w:r>
      <w:r w:rsidRPr="00B1213E">
        <w:rPr>
          <w:rFonts w:ascii="Times New Roman" w:hAnsi="Times New Roman" w:cs="Times New Roman"/>
          <w:sz w:val="24"/>
          <w:szCs w:val="24"/>
        </w:rPr>
        <w:t xml:space="preserve"> then attended the laboratory on four consecutive days</w:t>
      </w:r>
      <w:r w:rsidR="00D95A9F" w:rsidRPr="00B1213E">
        <w:rPr>
          <w:rFonts w:ascii="Times New Roman" w:hAnsi="Times New Roman" w:cs="Times New Roman"/>
          <w:sz w:val="24"/>
          <w:szCs w:val="24"/>
        </w:rPr>
        <w:t>:</w:t>
      </w:r>
      <w:r w:rsidRPr="00B1213E">
        <w:rPr>
          <w:rFonts w:ascii="Times New Roman" w:hAnsi="Times New Roman" w:cs="Times New Roman"/>
          <w:sz w:val="24"/>
          <w:szCs w:val="24"/>
        </w:rPr>
        <w:t xml:space="preserve"> the first for the EIMD protocol and the following 24</w:t>
      </w:r>
      <w:r w:rsidR="00192BFE" w:rsidRPr="00B1213E">
        <w:rPr>
          <w:rFonts w:ascii="Times New Roman" w:hAnsi="Times New Roman" w:cs="Times New Roman"/>
          <w:sz w:val="24"/>
          <w:szCs w:val="24"/>
        </w:rPr>
        <w:t>-</w:t>
      </w:r>
      <w:r w:rsidRPr="00B1213E">
        <w:rPr>
          <w:rFonts w:ascii="Times New Roman" w:hAnsi="Times New Roman" w:cs="Times New Roman"/>
          <w:sz w:val="24"/>
          <w:szCs w:val="24"/>
        </w:rPr>
        <w:t>, 48</w:t>
      </w:r>
      <w:r w:rsidR="00192BFE" w:rsidRPr="00B1213E">
        <w:rPr>
          <w:rFonts w:ascii="Times New Roman" w:hAnsi="Times New Roman" w:cs="Times New Roman"/>
          <w:sz w:val="24"/>
          <w:szCs w:val="24"/>
        </w:rPr>
        <w:t>-</w:t>
      </w:r>
      <w:r w:rsidRPr="00B1213E">
        <w:rPr>
          <w:rFonts w:ascii="Times New Roman" w:hAnsi="Times New Roman" w:cs="Times New Roman"/>
          <w:sz w:val="24"/>
          <w:szCs w:val="24"/>
        </w:rPr>
        <w:t>, and 72</w:t>
      </w:r>
      <w:r w:rsidR="00192BFE" w:rsidRPr="00B1213E">
        <w:rPr>
          <w:rFonts w:ascii="Times New Roman" w:hAnsi="Times New Roman" w:cs="Times New Roman"/>
          <w:sz w:val="24"/>
          <w:szCs w:val="24"/>
        </w:rPr>
        <w:t>-</w:t>
      </w:r>
      <w:r w:rsidRPr="00B1213E">
        <w:rPr>
          <w:rFonts w:ascii="Times New Roman" w:hAnsi="Times New Roman" w:cs="Times New Roman"/>
          <w:sz w:val="24"/>
          <w:szCs w:val="24"/>
        </w:rPr>
        <w:t>h for post</w:t>
      </w:r>
      <w:r w:rsidR="00F510D8"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EIMD measurements. Indirect and direct markers of muscle damage and recovery were measured </w:t>
      </w:r>
      <w:r w:rsidR="00D95A9F" w:rsidRPr="00B1213E">
        <w:rPr>
          <w:rFonts w:ascii="Times New Roman" w:hAnsi="Times New Roman" w:cs="Times New Roman"/>
          <w:sz w:val="24"/>
          <w:szCs w:val="24"/>
        </w:rPr>
        <w:t xml:space="preserve">at </w:t>
      </w:r>
      <w:r w:rsidRPr="00B1213E">
        <w:rPr>
          <w:rFonts w:ascii="Times New Roman" w:hAnsi="Times New Roman" w:cs="Times New Roman"/>
          <w:sz w:val="24"/>
          <w:szCs w:val="24"/>
        </w:rPr>
        <w:t xml:space="preserve">all time points.  The order of tests is outlined in </w:t>
      </w:r>
      <w:r w:rsidRPr="00B1213E">
        <w:rPr>
          <w:rFonts w:ascii="Times New Roman" w:hAnsi="Times New Roman" w:cs="Times New Roman"/>
          <w:b/>
          <w:bCs/>
          <w:sz w:val="24"/>
          <w:szCs w:val="24"/>
        </w:rPr>
        <w:t>Figure 1</w:t>
      </w:r>
      <w:r w:rsidRPr="00B1213E">
        <w:rPr>
          <w:rFonts w:ascii="Times New Roman" w:hAnsi="Times New Roman" w:cs="Times New Roman"/>
          <w:sz w:val="24"/>
          <w:szCs w:val="24"/>
        </w:rPr>
        <w:t xml:space="preserve">. Each visit took place the same time of day (± 2 h) to minimise physiological </w:t>
      </w:r>
      <w:r w:rsidR="000D4CD2" w:rsidRPr="00B1213E">
        <w:rPr>
          <w:rFonts w:ascii="Times New Roman" w:hAnsi="Times New Roman" w:cs="Times New Roman"/>
          <w:sz w:val="24"/>
          <w:szCs w:val="24"/>
        </w:rPr>
        <w:t>variations</w:t>
      </w:r>
      <w:r w:rsidRPr="00B1213E">
        <w:rPr>
          <w:rFonts w:ascii="Times New Roman" w:hAnsi="Times New Roman" w:cs="Times New Roman"/>
          <w:sz w:val="24"/>
          <w:szCs w:val="24"/>
        </w:rPr>
        <w:t xml:space="preserve"> due to circadian rhythms </w:t>
      </w:r>
      <w:r w:rsidR="0067298C"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{"citationID":"1mZWkma0","properties":{"formattedCitation":"(Bumgarner et al., 2021)","plainCitation":"(Bumgarner et al., 2021)","noteIndex":0},"citationItems":[{"id":15,"uris":["http://zotero.org/users/local/7vKBzLRM/items/MG5EKK6P"],"itemData":{"id":15,"type":"article-journal","abstract":"The goal of this review is to provide a perspective on the nature and importance of the relationship between the circadian and pain systems. We provide: 1) An overview of the circadian and pain systems, 2) a review of direct and correlative evidence that demonstrates diurnal and circadian rhythms within the pain system; 3) a perspective highlighting the need to consider the role of a proposed feedback loop of circadian rhythm disruption and maladaptive pain; 4) a perspective on the nature of the relationship between circadian rhythms and pain. In summary, we propose that there is no single locus responsible for producing the circadian rhythms of the pain system. Instead, circadian rhythms of pain are a complex result of the distributed rhythms present throughout the pain system, especially those of the descending pain modulatory system, and the rhythms of the systems with which it interacts, including the opioid, endocrine, and immune systems.","container-title":"Neuroscience &amp; Biobehavioral Reviews","DOI":"10.1016/j.neubiorev.2021.08.004","ISSN":"0149-7634","journalAbbreviation":"Neuroscience &amp; Biobehavioral Reviews","page":"296-306","source":"ScienceDirect","title":"Circadian rhythms and pain","volume":"129","author":[{"family":"Bumgarner","given":"Jacob R."},{"family":"Walker","given":"William H."},{"family":"Nelson","given":"Randy J."}],"issued":{"date-parts":[["2021",10,1]]}}}],"schema":"https://github.com/citation-style-language/schema/raw/master/csl-citation.json"} </w:instrText>
      </w:r>
      <w:r w:rsidR="0067298C"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(Bumgarner et al., 2021)</w:t>
      </w:r>
      <w:r w:rsidR="0067298C" w:rsidRPr="00B1213E">
        <w:rPr>
          <w:rFonts w:ascii="Times New Roman" w:hAnsi="Times New Roman" w:cs="Times New Roman"/>
          <w:sz w:val="24"/>
          <w:szCs w:val="24"/>
        </w:rPr>
        <w:fldChar w:fldCharType="end"/>
      </w:r>
      <w:r w:rsidRPr="00B1213E">
        <w:rPr>
          <w:rFonts w:ascii="Times New Roman" w:hAnsi="Times New Roman" w:cs="Times New Roman"/>
          <w:sz w:val="24"/>
          <w:szCs w:val="24"/>
        </w:rPr>
        <w:t>.</w:t>
      </w:r>
    </w:p>
    <w:p w14:paraId="6FD76F15" w14:textId="66C7B524" w:rsidR="00720961" w:rsidRPr="00B1213E" w:rsidRDefault="00720961" w:rsidP="00027419">
      <w:pPr>
        <w:spacing w:after="0" w:line="360" w:lineRule="auto"/>
        <w:jc w:val="both"/>
        <w:rPr>
          <w:rFonts w:ascii="Times New Roman" w:hAnsi="Times New Roman" w:cs="Times New Roman"/>
          <w:b/>
          <w:bCs/>
          <w:sz w:val="24"/>
          <w:szCs w:val="24"/>
        </w:rPr>
      </w:pPr>
    </w:p>
    <w:p w14:paraId="5CE87DE4" w14:textId="48E1CDDA" w:rsidR="00AB2A56" w:rsidRPr="00B1213E" w:rsidRDefault="00D76C01" w:rsidP="00027419">
      <w:pPr>
        <w:spacing w:after="0" w:line="360" w:lineRule="auto"/>
        <w:jc w:val="both"/>
        <w:rPr>
          <w:rFonts w:ascii="Times New Roman" w:hAnsi="Times New Roman" w:cs="Times New Roman"/>
          <w:bCs/>
          <w:sz w:val="24"/>
          <w:szCs w:val="24"/>
        </w:rPr>
      </w:pPr>
      <w:r w:rsidRPr="00B1213E">
        <w:rPr>
          <w:rFonts w:ascii="Times New Roman" w:hAnsi="Times New Roman" w:cs="Times New Roman"/>
          <w:bCs/>
          <w:noProof/>
          <w:sz w:val="24"/>
          <w:szCs w:val="24"/>
        </w:rPr>
        <w:drawing>
          <wp:inline distT="0" distB="0" distL="0" distR="0" wp14:anchorId="19A2F0DA" wp14:editId="137B0A51">
            <wp:extent cx="5731510" cy="4011930"/>
            <wp:effectExtent l="0" t="0" r="2540" b="7620"/>
            <wp:docPr id="1292092080" name="Picture 19" descr="A diagram of a test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2080" name="Picture 19" descr="A diagram of a test schedule&#10;&#10;AI-generated content may be incorrect."/>
                    <pic:cNvPicPr/>
                  </pic:nvPicPr>
                  <pic:blipFill>
                    <a:blip r:embed="rId15"/>
                    <a:stretch>
                      <a:fillRect/>
                    </a:stretch>
                  </pic:blipFill>
                  <pic:spPr>
                    <a:xfrm>
                      <a:off x="0" y="0"/>
                      <a:ext cx="5731510" cy="4011930"/>
                    </a:xfrm>
                    <a:prstGeom prst="rect">
                      <a:avLst/>
                    </a:prstGeom>
                  </pic:spPr>
                </pic:pic>
              </a:graphicData>
            </a:graphic>
          </wp:inline>
        </w:drawing>
      </w:r>
    </w:p>
    <w:p w14:paraId="2FFACCF1" w14:textId="77777777" w:rsidR="00075DA4" w:rsidRPr="00B1213E" w:rsidRDefault="00075DA4" w:rsidP="00075DA4">
      <w:pPr>
        <w:spacing w:after="0" w:line="360" w:lineRule="auto"/>
        <w:jc w:val="both"/>
        <w:rPr>
          <w:rFonts w:ascii="Times New Roman" w:hAnsi="Times New Roman" w:cs="Times New Roman"/>
          <w:sz w:val="24"/>
          <w:szCs w:val="24"/>
        </w:rPr>
      </w:pPr>
      <w:r w:rsidRPr="00B1213E">
        <w:rPr>
          <w:rFonts w:ascii="Times New Roman" w:hAnsi="Times New Roman" w:cs="Times New Roman"/>
          <w:b/>
          <w:bCs/>
          <w:sz w:val="24"/>
          <w:szCs w:val="24"/>
        </w:rPr>
        <w:t>Figure 1.</w:t>
      </w:r>
      <w:r w:rsidRPr="00B1213E">
        <w:rPr>
          <w:rFonts w:ascii="Times New Roman" w:hAnsi="Times New Roman" w:cs="Times New Roman"/>
          <w:sz w:val="24"/>
          <w:szCs w:val="24"/>
        </w:rPr>
        <w:t xml:space="preserve"> Overview of the experimental design. EIMD, exercise induced muscle damage; FAM, familiarisation.</w:t>
      </w:r>
    </w:p>
    <w:p w14:paraId="61617B8C" w14:textId="77777777" w:rsidR="001D52DD" w:rsidRPr="00B1213E" w:rsidRDefault="001D52DD" w:rsidP="00027419">
      <w:pPr>
        <w:spacing w:after="0" w:line="360" w:lineRule="auto"/>
        <w:jc w:val="both"/>
        <w:rPr>
          <w:rFonts w:ascii="Times New Roman" w:hAnsi="Times New Roman" w:cs="Times New Roman"/>
          <w:bCs/>
          <w:i/>
          <w:iCs/>
          <w:sz w:val="24"/>
          <w:szCs w:val="24"/>
        </w:rPr>
      </w:pPr>
    </w:p>
    <w:p w14:paraId="4FE1E0FC" w14:textId="77777777" w:rsidR="00075DA4" w:rsidRPr="00B1213E" w:rsidRDefault="00075DA4" w:rsidP="00027419">
      <w:pPr>
        <w:spacing w:after="0" w:line="360" w:lineRule="auto"/>
        <w:jc w:val="both"/>
        <w:rPr>
          <w:rFonts w:ascii="Times New Roman" w:hAnsi="Times New Roman" w:cs="Times New Roman"/>
          <w:bCs/>
          <w:i/>
          <w:iCs/>
          <w:sz w:val="24"/>
          <w:szCs w:val="24"/>
        </w:rPr>
      </w:pPr>
    </w:p>
    <w:p w14:paraId="27EC3969" w14:textId="277209A3" w:rsidR="00720961" w:rsidRPr="00B1213E" w:rsidRDefault="00720961" w:rsidP="00027419">
      <w:pPr>
        <w:spacing w:after="0" w:line="360" w:lineRule="auto"/>
        <w:jc w:val="both"/>
        <w:rPr>
          <w:rFonts w:ascii="Times New Roman" w:hAnsi="Times New Roman" w:cs="Times New Roman"/>
          <w:bCs/>
          <w:i/>
          <w:iCs/>
          <w:sz w:val="24"/>
          <w:szCs w:val="24"/>
        </w:rPr>
      </w:pPr>
      <w:r w:rsidRPr="00B1213E">
        <w:rPr>
          <w:rFonts w:ascii="Times New Roman" w:hAnsi="Times New Roman" w:cs="Times New Roman"/>
          <w:bCs/>
          <w:i/>
          <w:iCs/>
          <w:sz w:val="24"/>
          <w:szCs w:val="24"/>
        </w:rPr>
        <w:t>Familiarisation and 1RM Leg Press</w:t>
      </w:r>
    </w:p>
    <w:p w14:paraId="4E1057E0" w14:textId="4D31EC99" w:rsidR="00720961" w:rsidRPr="00B1213E" w:rsidRDefault="3D9FB09B" w:rsidP="4A0E2DAA">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Approximately 96 h prior to the muscle damage protocol, participants reported to the laboratory where they were familiarised with all tests. After a 5-min dynamic warm up using a self-selected load on a cycle ergometer (80 revolutions per minute and rating of perceived exertion of 11/20), participants were introduced to the leg press machine. Whilst keeping their heel in contact, participants were instructed to place their feet to the lowest depth on the plate, each rep had a minimal end position of 90</w:t>
      </w:r>
      <w:r w:rsidRPr="00B1213E">
        <w:rPr>
          <w:rFonts w:ascii="Times New Roman" w:hAnsi="Times New Roman" w:cs="Times New Roman"/>
          <w:sz w:val="24"/>
          <w:szCs w:val="24"/>
          <w:vertAlign w:val="superscript"/>
        </w:rPr>
        <w:t>o</w:t>
      </w:r>
      <w:r w:rsidRPr="00B1213E">
        <w:rPr>
          <w:rFonts w:ascii="Times New Roman" w:hAnsi="Times New Roman" w:cs="Times New Roman"/>
          <w:sz w:val="24"/>
          <w:szCs w:val="24"/>
        </w:rPr>
        <w:t xml:space="preserve"> knee flexion.</w:t>
      </w:r>
      <w:r w:rsidR="00B3597A" w:rsidRPr="00B1213E">
        <w:rPr>
          <w:rFonts w:ascii="Times New Roman" w:hAnsi="Times New Roman" w:cs="Times New Roman"/>
          <w:sz w:val="24"/>
          <w:szCs w:val="24"/>
        </w:rPr>
        <w:t xml:space="preserve"> </w:t>
      </w:r>
      <w:r w:rsidR="00C90AEE" w:rsidRPr="00B1213E">
        <w:rPr>
          <w:rFonts w:ascii="Times New Roman" w:hAnsi="Times New Roman" w:cs="Times New Roman"/>
          <w:sz w:val="24"/>
          <w:szCs w:val="24"/>
        </w:rPr>
        <w:t xml:space="preserve">The one repetition max (1RM) </w:t>
      </w:r>
      <w:r w:rsidR="00B3597A" w:rsidRPr="00B1213E">
        <w:rPr>
          <w:rFonts w:ascii="Times New Roman" w:hAnsi="Times New Roman" w:cs="Times New Roman"/>
          <w:sz w:val="24"/>
          <w:szCs w:val="24"/>
        </w:rPr>
        <w:lastRenderedPageBreak/>
        <w:t>predictions were made based off the participant</w:t>
      </w:r>
      <w:r w:rsidR="005220C7" w:rsidRPr="00B1213E">
        <w:rPr>
          <w:rFonts w:ascii="Times New Roman" w:hAnsi="Times New Roman" w:cs="Times New Roman"/>
          <w:sz w:val="24"/>
          <w:szCs w:val="24"/>
        </w:rPr>
        <w:t>’</w:t>
      </w:r>
      <w:r w:rsidR="00B3597A" w:rsidRPr="00B1213E">
        <w:rPr>
          <w:rFonts w:ascii="Times New Roman" w:hAnsi="Times New Roman" w:cs="Times New Roman"/>
          <w:sz w:val="24"/>
          <w:szCs w:val="24"/>
        </w:rPr>
        <w:t>s experience with the leg press and overall resistance background.</w:t>
      </w:r>
      <w:r w:rsidRPr="00B1213E">
        <w:rPr>
          <w:rFonts w:ascii="Times New Roman" w:hAnsi="Times New Roman" w:cs="Times New Roman"/>
          <w:sz w:val="24"/>
          <w:szCs w:val="24"/>
        </w:rPr>
        <w:t xml:space="preserve"> After a gradual warm</w:t>
      </w:r>
      <w:r w:rsidR="00AF25D4" w:rsidRPr="00B1213E">
        <w:rPr>
          <w:rFonts w:ascii="Times New Roman" w:hAnsi="Times New Roman" w:cs="Times New Roman"/>
          <w:sz w:val="24"/>
          <w:szCs w:val="24"/>
        </w:rPr>
        <w:t>-</w:t>
      </w:r>
      <w:r w:rsidRPr="00B1213E">
        <w:rPr>
          <w:rFonts w:ascii="Times New Roman" w:hAnsi="Times New Roman" w:cs="Times New Roman"/>
          <w:sz w:val="24"/>
          <w:szCs w:val="24"/>
        </w:rPr>
        <w:t xml:space="preserve">up </w:t>
      </w:r>
      <w:r w:rsidR="33508E4C" w:rsidRPr="00B1213E">
        <w:rPr>
          <w:rFonts w:ascii="Times New Roman" w:hAnsi="Times New Roman" w:cs="Times New Roman"/>
          <w:sz w:val="24"/>
          <w:szCs w:val="24"/>
        </w:rPr>
        <w:t>at</w:t>
      </w:r>
      <w:r w:rsidRPr="00B1213E">
        <w:rPr>
          <w:rFonts w:ascii="Times New Roman" w:hAnsi="Times New Roman" w:cs="Times New Roman"/>
          <w:sz w:val="24"/>
          <w:szCs w:val="24"/>
        </w:rPr>
        <w:t xml:space="preserve"> 50, 70, and 90</w:t>
      </w:r>
      <w:r w:rsidR="00AF25D4"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 of their predicted 1RM, participants </w:t>
      </w:r>
      <w:r w:rsidR="00AF25D4" w:rsidRPr="00B1213E">
        <w:rPr>
          <w:rFonts w:ascii="Times New Roman" w:hAnsi="Times New Roman" w:cs="Times New Roman"/>
          <w:sz w:val="24"/>
          <w:szCs w:val="24"/>
        </w:rPr>
        <w:t>rested for</w:t>
      </w:r>
      <w:r w:rsidRPr="00B1213E">
        <w:rPr>
          <w:rFonts w:ascii="Times New Roman" w:hAnsi="Times New Roman" w:cs="Times New Roman"/>
          <w:sz w:val="24"/>
          <w:szCs w:val="24"/>
        </w:rPr>
        <w:t xml:space="preserve"> 5-min</w:t>
      </w:r>
      <w:r w:rsidR="00AF68E8" w:rsidRPr="00B1213E">
        <w:rPr>
          <w:rFonts w:ascii="Times New Roman" w:hAnsi="Times New Roman" w:cs="Times New Roman"/>
          <w:sz w:val="24"/>
          <w:szCs w:val="24"/>
        </w:rPr>
        <w:t xml:space="preserve"> </w:t>
      </w:r>
      <w:r w:rsidRPr="00B1213E">
        <w:rPr>
          <w:rFonts w:ascii="Times New Roman" w:hAnsi="Times New Roman" w:cs="Times New Roman"/>
          <w:sz w:val="24"/>
          <w:szCs w:val="24"/>
        </w:rPr>
        <w:t>before attempting their maximal efforts. Increments of 5</w:t>
      </w:r>
      <w:r w:rsidR="008B47DC" w:rsidRPr="00B1213E">
        <w:rPr>
          <w:rFonts w:ascii="Times New Roman" w:hAnsi="Times New Roman" w:cs="Times New Roman"/>
          <w:sz w:val="24"/>
          <w:szCs w:val="24"/>
        </w:rPr>
        <w:t>–</w:t>
      </w:r>
      <w:r w:rsidRPr="00B1213E">
        <w:rPr>
          <w:rFonts w:ascii="Times New Roman" w:hAnsi="Times New Roman" w:cs="Times New Roman"/>
          <w:sz w:val="24"/>
          <w:szCs w:val="24"/>
        </w:rPr>
        <w:t xml:space="preserve">10 kg were added after a 5-min rest </w:t>
      </w:r>
      <w:r w:rsidR="008A023A" w:rsidRPr="00B1213E">
        <w:rPr>
          <w:rFonts w:ascii="Times New Roman" w:hAnsi="Times New Roman" w:cs="Times New Roman"/>
          <w:sz w:val="24"/>
          <w:szCs w:val="24"/>
        </w:rPr>
        <w:t>between</w:t>
      </w:r>
      <w:r w:rsidRPr="00B1213E">
        <w:rPr>
          <w:rFonts w:ascii="Times New Roman" w:hAnsi="Times New Roman" w:cs="Times New Roman"/>
          <w:sz w:val="24"/>
          <w:szCs w:val="24"/>
        </w:rPr>
        <w:t xml:space="preserve"> each effort, with the test continuing until failure. After the 1RM was established, </w:t>
      </w:r>
      <w:r w:rsidR="0084032D" w:rsidRPr="00B1213E">
        <w:rPr>
          <w:rFonts w:ascii="Times New Roman" w:hAnsi="Times New Roman" w:cs="Times New Roman"/>
          <w:sz w:val="24"/>
          <w:szCs w:val="24"/>
        </w:rPr>
        <w:t>participants rested for 2 min</w:t>
      </w:r>
      <w:r w:rsidRPr="00B1213E">
        <w:rPr>
          <w:rFonts w:ascii="Times New Roman" w:hAnsi="Times New Roman" w:cs="Times New Roman"/>
          <w:sz w:val="24"/>
          <w:szCs w:val="24"/>
        </w:rPr>
        <w:t xml:space="preserve"> before they were familiarised with the timings of the EIMD protocol (5-second eccentric phase) at 70% of their 1RM for 5 repetitions.</w:t>
      </w:r>
    </w:p>
    <w:p w14:paraId="576E2C7F" w14:textId="72394131" w:rsidR="003C13C2" w:rsidRPr="00B1213E" w:rsidRDefault="003C13C2" w:rsidP="00027419">
      <w:pPr>
        <w:spacing w:after="0" w:line="360" w:lineRule="auto"/>
        <w:ind w:firstLine="720"/>
        <w:jc w:val="both"/>
        <w:rPr>
          <w:rFonts w:ascii="Times New Roman" w:hAnsi="Times New Roman" w:cs="Times New Roman"/>
          <w:sz w:val="24"/>
          <w:szCs w:val="24"/>
        </w:rPr>
      </w:pPr>
    </w:p>
    <w:p w14:paraId="4BB78A10" w14:textId="3246FE55" w:rsidR="003C13C2" w:rsidRPr="00B1213E" w:rsidRDefault="003C13C2" w:rsidP="00027419">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Supplementation</w:t>
      </w:r>
    </w:p>
    <w:p w14:paraId="6B169C94" w14:textId="6C6EE47B" w:rsidR="00720961" w:rsidRPr="00B1213E" w:rsidRDefault="00720961" w:rsidP="4A0E2DAA">
      <w:pPr>
        <w:spacing w:after="0" w:line="360" w:lineRule="auto"/>
        <w:ind w:firstLine="720"/>
        <w:jc w:val="both"/>
        <w:rPr>
          <w:rFonts w:ascii="Times New Roman" w:hAnsi="Times New Roman" w:cs="Times New Roman"/>
          <w:i/>
          <w:iCs/>
          <w:sz w:val="24"/>
          <w:szCs w:val="24"/>
        </w:rPr>
      </w:pPr>
      <w:r w:rsidRPr="00B1213E">
        <w:rPr>
          <w:rFonts w:ascii="Times New Roman" w:hAnsi="Times New Roman" w:cs="Times New Roman"/>
          <w:sz w:val="24"/>
          <w:szCs w:val="24"/>
        </w:rPr>
        <w:t>A commercially available hydrolysed curcumin product</w:t>
      </w:r>
      <w:r w:rsidR="00D856AF"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was </w:t>
      </w:r>
      <w:r w:rsidR="00D856AF" w:rsidRPr="00B1213E">
        <w:rPr>
          <w:rFonts w:ascii="Times New Roman" w:hAnsi="Times New Roman" w:cs="Times New Roman"/>
          <w:sz w:val="24"/>
          <w:szCs w:val="24"/>
        </w:rPr>
        <w:t xml:space="preserve">provided </w:t>
      </w:r>
      <w:r w:rsidRPr="00B1213E">
        <w:rPr>
          <w:rFonts w:ascii="Times New Roman" w:hAnsi="Times New Roman" w:cs="Times New Roman"/>
          <w:sz w:val="24"/>
          <w:szCs w:val="24"/>
        </w:rPr>
        <w:t xml:space="preserve">by the manufacturer </w:t>
      </w:r>
      <w:r w:rsidR="3D9FB09B" w:rsidRPr="00B1213E">
        <w:rPr>
          <w:rFonts w:ascii="Times New Roman" w:hAnsi="Times New Roman" w:cs="Times New Roman"/>
          <w:sz w:val="24"/>
          <w:szCs w:val="24"/>
        </w:rPr>
        <w:t>(</w:t>
      </w:r>
      <w:proofErr w:type="spellStart"/>
      <w:r w:rsidR="3D9FB09B" w:rsidRPr="00B1213E">
        <w:rPr>
          <w:rFonts w:ascii="Times New Roman" w:hAnsi="Times New Roman" w:cs="Times New Roman"/>
          <w:sz w:val="24"/>
          <w:szCs w:val="24"/>
        </w:rPr>
        <w:t>Zooki</w:t>
      </w:r>
      <w:proofErr w:type="spellEnd"/>
      <w:r w:rsidR="3D9FB09B" w:rsidRPr="00B1213E">
        <w:rPr>
          <w:rFonts w:ascii="Times New Roman" w:hAnsi="Times New Roman" w:cs="Times New Roman"/>
          <w:sz w:val="24"/>
          <w:szCs w:val="24"/>
        </w:rPr>
        <w:t>, Lancashire, UK)</w:t>
      </w:r>
      <w:r w:rsidR="00D34D49" w:rsidRPr="00B1213E">
        <w:rPr>
          <w:rFonts w:ascii="Times New Roman" w:hAnsi="Times New Roman" w:cs="Times New Roman"/>
          <w:sz w:val="24"/>
          <w:szCs w:val="24"/>
        </w:rPr>
        <w:t xml:space="preserve">. </w:t>
      </w:r>
      <w:r w:rsidR="00D856AF" w:rsidRPr="00B1213E">
        <w:rPr>
          <w:rFonts w:ascii="Times New Roman" w:hAnsi="Times New Roman" w:cs="Times New Roman"/>
          <w:sz w:val="24"/>
          <w:szCs w:val="24"/>
        </w:rPr>
        <w:t>Supplements</w:t>
      </w:r>
      <w:r w:rsidR="00654F9E" w:rsidRPr="00B1213E">
        <w:rPr>
          <w:rFonts w:ascii="Times New Roman" w:hAnsi="Times New Roman" w:cs="Times New Roman"/>
          <w:sz w:val="24"/>
          <w:szCs w:val="24"/>
        </w:rPr>
        <w:t xml:space="preserve"> were packaged</w:t>
      </w:r>
      <w:r w:rsidR="00D856AF" w:rsidRPr="00B1213E">
        <w:rPr>
          <w:rFonts w:ascii="Times New Roman" w:hAnsi="Times New Roman" w:cs="Times New Roman"/>
          <w:sz w:val="24"/>
          <w:szCs w:val="24"/>
        </w:rPr>
        <w:t xml:space="preserve"> </w:t>
      </w:r>
      <w:r w:rsidR="00BE2729" w:rsidRPr="00B1213E">
        <w:rPr>
          <w:rFonts w:ascii="Times New Roman" w:hAnsi="Times New Roman" w:cs="Times New Roman"/>
          <w:sz w:val="24"/>
          <w:szCs w:val="24"/>
        </w:rPr>
        <w:t xml:space="preserve">in </w:t>
      </w:r>
      <w:r w:rsidR="003604D7" w:rsidRPr="00B1213E">
        <w:rPr>
          <w:rFonts w:ascii="Times New Roman" w:hAnsi="Times New Roman" w:cs="Times New Roman"/>
          <w:sz w:val="24"/>
          <w:szCs w:val="24"/>
        </w:rPr>
        <w:t>15</w:t>
      </w:r>
      <w:r w:rsidR="0084032D" w:rsidRPr="00B1213E">
        <w:rPr>
          <w:rFonts w:ascii="Times New Roman" w:hAnsi="Times New Roman" w:cs="Times New Roman"/>
          <w:sz w:val="24"/>
          <w:szCs w:val="24"/>
        </w:rPr>
        <w:t xml:space="preserve"> </w:t>
      </w:r>
      <w:r w:rsidR="003604D7" w:rsidRPr="00B1213E">
        <w:rPr>
          <w:rFonts w:ascii="Times New Roman" w:hAnsi="Times New Roman" w:cs="Times New Roman"/>
          <w:sz w:val="24"/>
          <w:szCs w:val="24"/>
        </w:rPr>
        <w:t>m</w:t>
      </w:r>
      <w:r w:rsidR="0057634E" w:rsidRPr="00B1213E">
        <w:rPr>
          <w:rFonts w:ascii="Times New Roman" w:hAnsi="Times New Roman" w:cs="Times New Roman"/>
          <w:sz w:val="24"/>
          <w:szCs w:val="24"/>
        </w:rPr>
        <w:t>L</w:t>
      </w:r>
      <w:r w:rsidR="003604D7" w:rsidRPr="00B1213E">
        <w:rPr>
          <w:rFonts w:ascii="Times New Roman" w:hAnsi="Times New Roman" w:cs="Times New Roman"/>
          <w:sz w:val="24"/>
          <w:szCs w:val="24"/>
        </w:rPr>
        <w:t xml:space="preserve"> sachets</w:t>
      </w:r>
      <w:r w:rsidR="009547BA" w:rsidRPr="00B1213E">
        <w:rPr>
          <w:rFonts w:ascii="Times New Roman" w:hAnsi="Times New Roman" w:cs="Times New Roman"/>
          <w:sz w:val="24"/>
          <w:szCs w:val="24"/>
        </w:rPr>
        <w:t>,</w:t>
      </w:r>
      <w:r w:rsidR="003604D7" w:rsidRPr="00B1213E">
        <w:rPr>
          <w:rFonts w:ascii="Times New Roman" w:hAnsi="Times New Roman" w:cs="Times New Roman"/>
          <w:sz w:val="24"/>
          <w:szCs w:val="24"/>
        </w:rPr>
        <w:t xml:space="preserve"> </w:t>
      </w:r>
      <w:r w:rsidR="00BE2729" w:rsidRPr="00B1213E">
        <w:rPr>
          <w:rFonts w:ascii="Times New Roman" w:hAnsi="Times New Roman" w:cs="Times New Roman"/>
          <w:sz w:val="24"/>
          <w:szCs w:val="24"/>
        </w:rPr>
        <w:t>each containing</w:t>
      </w:r>
      <w:r w:rsidR="00D856AF" w:rsidRPr="00B1213E">
        <w:rPr>
          <w:rFonts w:ascii="Times New Roman" w:hAnsi="Times New Roman" w:cs="Times New Roman"/>
          <w:sz w:val="24"/>
          <w:szCs w:val="24"/>
        </w:rPr>
        <w:t xml:space="preserve"> </w:t>
      </w:r>
      <w:r w:rsidR="00BE2729" w:rsidRPr="00B1213E">
        <w:rPr>
          <w:rFonts w:ascii="Times New Roman" w:hAnsi="Times New Roman" w:cs="Times New Roman"/>
          <w:sz w:val="24"/>
          <w:szCs w:val="24"/>
        </w:rPr>
        <w:t>750</w:t>
      </w:r>
      <w:r w:rsidR="00CB160E" w:rsidRPr="00B1213E">
        <w:rPr>
          <w:rFonts w:ascii="Times New Roman" w:hAnsi="Times New Roman" w:cs="Times New Roman"/>
          <w:sz w:val="24"/>
          <w:szCs w:val="24"/>
        </w:rPr>
        <w:t>-</w:t>
      </w:r>
      <w:r w:rsidR="00BE2729" w:rsidRPr="00B1213E">
        <w:rPr>
          <w:rFonts w:ascii="Times New Roman" w:hAnsi="Times New Roman" w:cs="Times New Roman"/>
          <w:sz w:val="24"/>
          <w:szCs w:val="24"/>
        </w:rPr>
        <w:t xml:space="preserve">mg </w:t>
      </w:r>
      <w:r w:rsidR="0084032D" w:rsidRPr="00B1213E">
        <w:rPr>
          <w:rFonts w:ascii="Times New Roman" w:hAnsi="Times New Roman" w:cs="Times New Roman"/>
          <w:sz w:val="24"/>
          <w:szCs w:val="24"/>
        </w:rPr>
        <w:t xml:space="preserve">of </w:t>
      </w:r>
      <w:r w:rsidR="00BE2729" w:rsidRPr="00B1213E">
        <w:rPr>
          <w:rFonts w:ascii="Times New Roman" w:hAnsi="Times New Roman" w:cs="Times New Roman"/>
          <w:sz w:val="24"/>
          <w:szCs w:val="24"/>
        </w:rPr>
        <w:t>liposomal curcumin</w:t>
      </w:r>
      <w:r w:rsidR="007E662A" w:rsidRPr="00B1213E">
        <w:rPr>
          <w:rFonts w:ascii="Times New Roman" w:hAnsi="Times New Roman" w:cs="Times New Roman"/>
          <w:sz w:val="24"/>
          <w:szCs w:val="24"/>
        </w:rPr>
        <w:t xml:space="preserve"> (</w:t>
      </w:r>
      <w:r w:rsidR="009C28EC" w:rsidRPr="00B1213E">
        <w:rPr>
          <w:rFonts w:ascii="Times New Roman" w:hAnsi="Times New Roman" w:cs="Times New Roman"/>
          <w:sz w:val="24"/>
          <w:szCs w:val="24"/>
        </w:rPr>
        <w:t>f</w:t>
      </w:r>
      <w:r w:rsidR="007E662A" w:rsidRPr="00B1213E">
        <w:rPr>
          <w:rFonts w:ascii="Times New Roman" w:hAnsi="Times New Roman" w:cs="Times New Roman"/>
          <w:sz w:val="24"/>
          <w:szCs w:val="24"/>
        </w:rPr>
        <w:t xml:space="preserve">ull ingredient list: purified water, </w:t>
      </w:r>
      <w:r w:rsidR="546BA2F4" w:rsidRPr="00B1213E">
        <w:rPr>
          <w:rFonts w:ascii="Times New Roman" w:hAnsi="Times New Roman" w:cs="Times New Roman"/>
          <w:sz w:val="24"/>
          <w:szCs w:val="24"/>
        </w:rPr>
        <w:t>lipid</w:t>
      </w:r>
      <w:r w:rsidR="007E662A" w:rsidRPr="00B1213E">
        <w:rPr>
          <w:rFonts w:ascii="Times New Roman" w:hAnsi="Times New Roman" w:cs="Times New Roman"/>
          <w:sz w:val="24"/>
          <w:szCs w:val="24"/>
        </w:rPr>
        <w:t xml:space="preserve"> curcumin Complex (containing curcumin from turmeric and sunflower oil rich in vitamin E in the form of d-alpha tocopherol), xylitol, orange seed oil, beta carotene</w:t>
      </w:r>
      <w:r w:rsidR="00EB55E5" w:rsidRPr="00B1213E">
        <w:rPr>
          <w:rFonts w:ascii="Times New Roman" w:hAnsi="Times New Roman" w:cs="Times New Roman"/>
          <w:sz w:val="24"/>
          <w:szCs w:val="24"/>
        </w:rPr>
        <w:t xml:space="preserve">, potassium bicarbonate, oleic acid, </w:t>
      </w:r>
      <w:r w:rsidR="007E662A" w:rsidRPr="00B1213E">
        <w:rPr>
          <w:rFonts w:ascii="Times New Roman" w:hAnsi="Times New Roman" w:cs="Times New Roman"/>
          <w:sz w:val="24"/>
          <w:szCs w:val="24"/>
        </w:rPr>
        <w:t xml:space="preserve">and </w:t>
      </w:r>
      <w:r w:rsidR="00CF140E" w:rsidRPr="00B1213E">
        <w:rPr>
          <w:rFonts w:ascii="Times New Roman" w:hAnsi="Times New Roman" w:cs="Times New Roman"/>
          <w:sz w:val="24"/>
          <w:szCs w:val="24"/>
        </w:rPr>
        <w:t>citric acid)</w:t>
      </w:r>
      <w:r w:rsidR="00D856AF" w:rsidRPr="00B1213E">
        <w:rPr>
          <w:rFonts w:ascii="Times New Roman" w:hAnsi="Times New Roman" w:cs="Times New Roman"/>
          <w:sz w:val="24"/>
          <w:szCs w:val="24"/>
        </w:rPr>
        <w:t>.</w:t>
      </w:r>
      <w:r w:rsidRPr="00B1213E">
        <w:rPr>
          <w:rFonts w:ascii="Times New Roman" w:hAnsi="Times New Roman" w:cs="Times New Roman"/>
          <w:sz w:val="24"/>
          <w:szCs w:val="24"/>
        </w:rPr>
        <w:t xml:space="preserve"> The placebo sachets (also produced by the same manufacturer) </w:t>
      </w:r>
      <w:r w:rsidR="0025277D" w:rsidRPr="00B1213E">
        <w:rPr>
          <w:rFonts w:ascii="Times New Roman" w:hAnsi="Times New Roman" w:cs="Times New Roman"/>
          <w:sz w:val="24"/>
          <w:szCs w:val="24"/>
        </w:rPr>
        <w:t xml:space="preserve">were made to match </w:t>
      </w:r>
      <w:r w:rsidRPr="00B1213E">
        <w:rPr>
          <w:rFonts w:ascii="Times New Roman" w:hAnsi="Times New Roman" w:cs="Times New Roman"/>
          <w:sz w:val="24"/>
          <w:szCs w:val="24"/>
        </w:rPr>
        <w:t>for</w:t>
      </w:r>
      <w:r w:rsidR="00CF140E" w:rsidRPr="00B1213E">
        <w:rPr>
          <w:rFonts w:ascii="Times New Roman" w:hAnsi="Times New Roman" w:cs="Times New Roman"/>
          <w:sz w:val="24"/>
          <w:szCs w:val="24"/>
        </w:rPr>
        <w:t xml:space="preserve"> flavour and colour</w:t>
      </w:r>
      <w:r w:rsidR="00654F9E" w:rsidRPr="00B1213E">
        <w:rPr>
          <w:rFonts w:ascii="Times New Roman" w:hAnsi="Times New Roman" w:cs="Times New Roman"/>
          <w:sz w:val="24"/>
          <w:szCs w:val="24"/>
        </w:rPr>
        <w:t xml:space="preserve"> </w:t>
      </w:r>
      <w:r w:rsidR="00CF140E" w:rsidRPr="00B1213E">
        <w:rPr>
          <w:rFonts w:ascii="Times New Roman" w:hAnsi="Times New Roman" w:cs="Times New Roman"/>
          <w:sz w:val="24"/>
          <w:szCs w:val="24"/>
        </w:rPr>
        <w:t>(</w:t>
      </w:r>
      <w:r w:rsidR="002E464F" w:rsidRPr="00B1213E">
        <w:rPr>
          <w:rFonts w:ascii="Times New Roman" w:hAnsi="Times New Roman" w:cs="Times New Roman"/>
          <w:sz w:val="24"/>
          <w:szCs w:val="24"/>
          <w:shd w:val="clear" w:color="auto" w:fill="FFFFFF"/>
        </w:rPr>
        <w:t xml:space="preserve">Full ingredient list: purified water, sunflower oil, organic </w:t>
      </w:r>
      <w:proofErr w:type="spellStart"/>
      <w:r w:rsidR="002E464F" w:rsidRPr="00B1213E">
        <w:rPr>
          <w:rFonts w:ascii="Times New Roman" w:hAnsi="Times New Roman" w:cs="Times New Roman"/>
          <w:sz w:val="24"/>
          <w:szCs w:val="24"/>
          <w:shd w:val="clear" w:color="auto" w:fill="FFFFFF"/>
        </w:rPr>
        <w:t>glycerin</w:t>
      </w:r>
      <w:proofErr w:type="spellEnd"/>
      <w:r w:rsidR="002E464F" w:rsidRPr="00B1213E">
        <w:rPr>
          <w:rFonts w:ascii="Times New Roman" w:hAnsi="Times New Roman" w:cs="Times New Roman"/>
          <w:sz w:val="24"/>
          <w:szCs w:val="24"/>
          <w:shd w:val="clear" w:color="auto" w:fill="FFFFFF"/>
        </w:rPr>
        <w:t>, xylitol, carrot extract, celery extract, annatto extract, natural citrus oil</w:t>
      </w:r>
      <w:r w:rsidR="002E464F" w:rsidRPr="00B1213E">
        <w:rPr>
          <w:rFonts w:ascii="Times New Roman" w:hAnsi="Times New Roman" w:cs="Times New Roman"/>
          <w:sz w:val="24"/>
          <w:szCs w:val="24"/>
        </w:rPr>
        <w:t>,</w:t>
      </w:r>
      <w:r w:rsidR="002E464F" w:rsidRPr="00B1213E">
        <w:rPr>
          <w:rFonts w:ascii="Times New Roman" w:hAnsi="Times New Roman" w:cs="Times New Roman"/>
          <w:sz w:val="24"/>
          <w:szCs w:val="24"/>
          <w:shd w:val="clear" w:color="auto" w:fill="FFFFFF"/>
        </w:rPr>
        <w:t xml:space="preserve"> </w:t>
      </w:r>
      <w:r w:rsidR="00654F9E" w:rsidRPr="00B1213E">
        <w:rPr>
          <w:rFonts w:ascii="Times New Roman" w:hAnsi="Times New Roman" w:cs="Times New Roman"/>
          <w:sz w:val="24"/>
          <w:szCs w:val="24"/>
          <w:shd w:val="clear" w:color="auto" w:fill="FFFFFF"/>
        </w:rPr>
        <w:t>potassium bicarbonate, oleic acid, citric acid, vitamin E (d-alpha tocopherol), and gum acacia</w:t>
      </w:r>
      <w:r w:rsidR="002E464F" w:rsidRPr="00B1213E">
        <w:rPr>
          <w:rFonts w:ascii="Times New Roman" w:hAnsi="Times New Roman" w:cs="Times New Roman"/>
          <w:sz w:val="24"/>
          <w:szCs w:val="24"/>
          <w:shd w:val="clear" w:color="auto" w:fill="FFFFFF"/>
        </w:rPr>
        <w:t>).</w:t>
      </w:r>
      <w:r w:rsidRPr="00B1213E">
        <w:rPr>
          <w:rFonts w:ascii="Times New Roman" w:hAnsi="Times New Roman" w:cs="Times New Roman"/>
          <w:sz w:val="24"/>
          <w:szCs w:val="24"/>
        </w:rPr>
        <w:t xml:space="preserve"> </w:t>
      </w:r>
      <w:r w:rsidR="0074331B" w:rsidRPr="00B1213E">
        <w:rPr>
          <w:rFonts w:ascii="Times New Roman" w:hAnsi="Times New Roman" w:cs="Times New Roman"/>
          <w:sz w:val="24"/>
          <w:szCs w:val="24"/>
        </w:rPr>
        <w:t>Participants were randomly assigned to one of</w:t>
      </w:r>
      <w:r w:rsidRPr="00B1213E">
        <w:rPr>
          <w:rFonts w:ascii="Times New Roman" w:hAnsi="Times New Roman" w:cs="Times New Roman"/>
          <w:sz w:val="24"/>
          <w:szCs w:val="24"/>
        </w:rPr>
        <w:t xml:space="preserve"> the</w:t>
      </w:r>
      <w:r w:rsidR="00D856AF" w:rsidRPr="00B1213E">
        <w:rPr>
          <w:rFonts w:ascii="Times New Roman" w:hAnsi="Times New Roman" w:cs="Times New Roman"/>
          <w:sz w:val="24"/>
          <w:szCs w:val="24"/>
        </w:rPr>
        <w:t xml:space="preserve"> three experimental group</w:t>
      </w:r>
      <w:r w:rsidR="00377450" w:rsidRPr="00B1213E">
        <w:rPr>
          <w:rFonts w:ascii="Times New Roman" w:hAnsi="Times New Roman" w:cs="Times New Roman"/>
          <w:sz w:val="24"/>
          <w:szCs w:val="24"/>
        </w:rPr>
        <w:t>s</w:t>
      </w:r>
      <w:r w:rsidR="00292053" w:rsidRPr="00B1213E">
        <w:rPr>
          <w:rFonts w:ascii="Times New Roman" w:hAnsi="Times New Roman" w:cs="Times New Roman"/>
          <w:sz w:val="24"/>
          <w:szCs w:val="24"/>
        </w:rPr>
        <w:t>:</w:t>
      </w:r>
      <w:r w:rsidR="00377450" w:rsidRPr="00B1213E">
        <w:rPr>
          <w:rFonts w:ascii="Times New Roman" w:hAnsi="Times New Roman" w:cs="Times New Roman"/>
          <w:sz w:val="24"/>
          <w:szCs w:val="24"/>
        </w:rPr>
        <w:t xml:space="preserve"> either consuming a double dose of curcumin</w:t>
      </w:r>
      <w:r w:rsidR="00D856AF" w:rsidRPr="00B1213E">
        <w:rPr>
          <w:rFonts w:ascii="Times New Roman" w:hAnsi="Times New Roman" w:cs="Times New Roman"/>
          <w:sz w:val="24"/>
          <w:szCs w:val="24"/>
        </w:rPr>
        <w:t xml:space="preserve"> (HIGH)</w:t>
      </w:r>
      <w:r w:rsidR="00377450" w:rsidRPr="00B1213E">
        <w:rPr>
          <w:rFonts w:ascii="Times New Roman" w:hAnsi="Times New Roman" w:cs="Times New Roman"/>
          <w:sz w:val="24"/>
          <w:szCs w:val="24"/>
        </w:rPr>
        <w:t xml:space="preserve">, a single dose of curcumin </w:t>
      </w:r>
      <w:r w:rsidR="00D856AF" w:rsidRPr="00B1213E">
        <w:rPr>
          <w:rFonts w:ascii="Times New Roman" w:hAnsi="Times New Roman" w:cs="Times New Roman"/>
          <w:sz w:val="24"/>
          <w:szCs w:val="24"/>
        </w:rPr>
        <w:t xml:space="preserve">(LOW) </w:t>
      </w:r>
      <w:r w:rsidR="00377450" w:rsidRPr="00B1213E">
        <w:rPr>
          <w:rFonts w:ascii="Times New Roman" w:hAnsi="Times New Roman" w:cs="Times New Roman"/>
          <w:sz w:val="24"/>
          <w:szCs w:val="24"/>
        </w:rPr>
        <w:t>and a placebo</w:t>
      </w:r>
      <w:r w:rsidR="00D856AF" w:rsidRPr="00B1213E">
        <w:rPr>
          <w:rFonts w:ascii="Times New Roman" w:hAnsi="Times New Roman" w:cs="Times New Roman"/>
          <w:sz w:val="24"/>
          <w:szCs w:val="24"/>
        </w:rPr>
        <w:t xml:space="preserve"> (PLA)</w:t>
      </w:r>
      <w:r w:rsidR="003C2B03" w:rsidRPr="00B1213E">
        <w:rPr>
          <w:rFonts w:ascii="Times New Roman" w:hAnsi="Times New Roman" w:cs="Times New Roman"/>
          <w:sz w:val="24"/>
          <w:szCs w:val="24"/>
        </w:rPr>
        <w:t xml:space="preserve">, or two doses of a placebo </w:t>
      </w:r>
      <w:r w:rsidR="00C0114E" w:rsidRPr="00B1213E">
        <w:rPr>
          <w:rFonts w:ascii="Times New Roman" w:hAnsi="Times New Roman" w:cs="Times New Roman"/>
          <w:sz w:val="24"/>
          <w:szCs w:val="24"/>
        </w:rPr>
        <w:t xml:space="preserve">using a counterbalanced number generator created in Excel </w:t>
      </w:r>
      <w:r w:rsidR="003C2B03" w:rsidRPr="00B1213E">
        <w:rPr>
          <w:rFonts w:ascii="Times New Roman" w:hAnsi="Times New Roman" w:cs="Times New Roman"/>
          <w:sz w:val="24"/>
          <w:szCs w:val="24"/>
        </w:rPr>
        <w:t>(</w:t>
      </w:r>
      <w:r w:rsidR="003C2B03" w:rsidRPr="00B1213E">
        <w:rPr>
          <w:rFonts w:ascii="Times New Roman" w:hAnsi="Times New Roman" w:cs="Times New Roman"/>
          <w:b/>
          <w:bCs/>
          <w:sz w:val="24"/>
          <w:szCs w:val="24"/>
        </w:rPr>
        <w:t xml:space="preserve">Figure </w:t>
      </w:r>
      <w:r w:rsidR="00D856AF" w:rsidRPr="00B1213E">
        <w:rPr>
          <w:rFonts w:ascii="Times New Roman" w:hAnsi="Times New Roman" w:cs="Times New Roman"/>
          <w:b/>
          <w:bCs/>
          <w:sz w:val="24"/>
          <w:szCs w:val="24"/>
        </w:rPr>
        <w:t>1</w:t>
      </w:r>
      <w:r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Supplementation began 2 days prior to the EIMD protocol with one sachet ingested every 12 h (8</w:t>
      </w:r>
      <w:r w:rsidR="00CB160E"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am and 8</w:t>
      </w:r>
      <w:r w:rsidR="00CB160E"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pm) for 7 days. The participants reported no adverse gastrointestinal effects. Self-reported participant compliance was 100%. </w:t>
      </w:r>
    </w:p>
    <w:p w14:paraId="3D0CF96C" w14:textId="1C0FC89C" w:rsidR="00720961" w:rsidRPr="00B1213E" w:rsidRDefault="00720961" w:rsidP="3D9FB09B">
      <w:pPr>
        <w:spacing w:after="0" w:line="360" w:lineRule="auto"/>
        <w:ind w:firstLine="720"/>
        <w:jc w:val="both"/>
        <w:rPr>
          <w:rFonts w:ascii="Times New Roman" w:hAnsi="Times New Roman" w:cs="Times New Roman"/>
          <w:i/>
          <w:iCs/>
          <w:sz w:val="24"/>
          <w:szCs w:val="24"/>
        </w:rPr>
      </w:pPr>
    </w:p>
    <w:p w14:paraId="74D4D022" w14:textId="4CBA6E07" w:rsidR="00720961" w:rsidRPr="00B1213E" w:rsidRDefault="3D9FB09B" w:rsidP="00A14CC1">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 xml:space="preserve">Exercise Induced Muscle Damage (EIMD) protocol </w:t>
      </w:r>
    </w:p>
    <w:p w14:paraId="2341AD21" w14:textId="59040423" w:rsidR="00720961" w:rsidRPr="00B1213E" w:rsidRDefault="3D9FB09B" w:rsidP="3D9FB09B">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Prior to the EIMD protocol, the identical warm up from familiarisation was followed. Participants then completed 8 sets of 10 reps at 110% of their 1RM, incorporating a 5</w:t>
      </w:r>
      <w:r w:rsidR="005C7110" w:rsidRPr="00B1213E">
        <w:rPr>
          <w:rFonts w:ascii="Times New Roman" w:hAnsi="Times New Roman" w:cs="Times New Roman"/>
          <w:sz w:val="24"/>
          <w:szCs w:val="24"/>
        </w:rPr>
        <w:t>-</w:t>
      </w:r>
      <w:r w:rsidRPr="00B1213E">
        <w:rPr>
          <w:rFonts w:ascii="Times New Roman" w:hAnsi="Times New Roman" w:cs="Times New Roman"/>
          <w:sz w:val="24"/>
          <w:szCs w:val="24"/>
        </w:rPr>
        <w:t>second (metronome</w:t>
      </w:r>
      <w:r w:rsidR="005C7110" w:rsidRPr="00B1213E">
        <w:rPr>
          <w:rFonts w:ascii="Times New Roman" w:hAnsi="Times New Roman" w:cs="Times New Roman"/>
          <w:sz w:val="24"/>
          <w:szCs w:val="24"/>
        </w:rPr>
        <w:t>-</w:t>
      </w:r>
      <w:r w:rsidRPr="00B1213E">
        <w:rPr>
          <w:rFonts w:ascii="Times New Roman" w:hAnsi="Times New Roman" w:cs="Times New Roman"/>
          <w:sz w:val="24"/>
          <w:szCs w:val="24"/>
        </w:rPr>
        <w:t>assisted) eccentric phase with each rep, with an assisted concentric return phase</w:t>
      </w:r>
      <w:r w:rsidR="005C7110" w:rsidRPr="00B1213E">
        <w:rPr>
          <w:rFonts w:ascii="Times New Roman" w:hAnsi="Times New Roman" w:cs="Times New Roman"/>
          <w:sz w:val="24"/>
          <w:szCs w:val="24"/>
        </w:rPr>
        <w:t xml:space="preserve"> (two spotters)</w:t>
      </w:r>
      <w:r w:rsidRPr="00B1213E">
        <w:rPr>
          <w:rFonts w:ascii="Times New Roman" w:hAnsi="Times New Roman" w:cs="Times New Roman"/>
          <w:sz w:val="24"/>
          <w:szCs w:val="24"/>
        </w:rPr>
        <w:t>. A 5</w:t>
      </w:r>
      <w:r w:rsidR="00AF68E8" w:rsidRPr="00B1213E">
        <w:rPr>
          <w:rFonts w:ascii="Times New Roman" w:hAnsi="Times New Roman" w:cs="Times New Roman"/>
          <w:sz w:val="24"/>
          <w:szCs w:val="24"/>
        </w:rPr>
        <w:t>-</w:t>
      </w:r>
      <w:r w:rsidRPr="00B1213E">
        <w:rPr>
          <w:rFonts w:ascii="Times New Roman" w:hAnsi="Times New Roman" w:cs="Times New Roman"/>
          <w:sz w:val="24"/>
          <w:szCs w:val="24"/>
        </w:rPr>
        <w:t>min seated rest was pr</w:t>
      </w:r>
      <w:r w:rsidR="005C7110" w:rsidRPr="00B1213E">
        <w:rPr>
          <w:rFonts w:ascii="Times New Roman" w:hAnsi="Times New Roman" w:cs="Times New Roman"/>
          <w:sz w:val="24"/>
          <w:szCs w:val="24"/>
        </w:rPr>
        <w:t>e</w:t>
      </w:r>
      <w:r w:rsidRPr="00B1213E">
        <w:rPr>
          <w:rFonts w:ascii="Times New Roman" w:hAnsi="Times New Roman" w:cs="Times New Roman"/>
          <w:sz w:val="24"/>
          <w:szCs w:val="24"/>
        </w:rPr>
        <w:t>scribed between each set. For further details of the EIMD protocol, see McFarlin et al.</w:t>
      </w:r>
      <w:r w:rsidR="000A6D3B" w:rsidRPr="00B1213E">
        <w:rPr>
          <w:rFonts w:ascii="Times New Roman" w:hAnsi="Times New Roman" w:cs="Times New Roman"/>
          <w:sz w:val="24"/>
          <w:szCs w:val="24"/>
        </w:rPr>
        <w:t xml:space="preserve"> </w:t>
      </w:r>
      <w:r w:rsidR="000A6D3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{"citationID":"HrS4hgf5","properties":{"formattedCitation":"(McFarlin et al., 2016)","plainCitation":"(McFarlin et al., 2016)","noteIndex":0},"citationItems":[{"id":61,"uris":["http://zotero.org/users/local/7vKBzLRM/items/AKMN998C"],"itemData":{"id":61,"type":"article-journal","abstract":"BACKGROUND: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W."}],"issued":{"date-parts":[["2016",6]]}}}],"schema":"https://github.com/citation-style-language/schema/raw/master/csl-citation.json"} </w:instrText>
      </w:r>
      <w:r w:rsidR="000A6D3B"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(McFarlin et al., 2016)</w:t>
      </w:r>
      <w:r w:rsidR="000A6D3B"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Two </w:t>
      </w:r>
      <w:r w:rsidR="00861D71" w:rsidRPr="00B1213E">
        <w:rPr>
          <w:rFonts w:ascii="Times New Roman" w:hAnsi="Times New Roman" w:cs="Times New Roman"/>
          <w:sz w:val="24"/>
          <w:szCs w:val="24"/>
        </w:rPr>
        <w:t xml:space="preserve">additional </w:t>
      </w:r>
      <w:r w:rsidRPr="00B1213E">
        <w:rPr>
          <w:rFonts w:ascii="Times New Roman" w:hAnsi="Times New Roman" w:cs="Times New Roman"/>
          <w:sz w:val="24"/>
          <w:szCs w:val="24"/>
        </w:rPr>
        <w:t>sets were completed in this study compared to McFarlin et al.</w:t>
      </w:r>
      <w:r w:rsidR="000A6D3B" w:rsidRPr="00B1213E">
        <w:rPr>
          <w:rFonts w:ascii="Times New Roman" w:hAnsi="Times New Roman" w:cs="Times New Roman"/>
          <w:sz w:val="24"/>
          <w:szCs w:val="24"/>
        </w:rPr>
        <w:t xml:space="preserve"> </w:t>
      </w:r>
      <w:r w:rsidR="000A6D3B"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{"citationID":"OH2WYxCI","properties":{"formattedCitation":"(McFarlin et al., 2016)","plainCitation":"(McFarlin et al., 2016)","noteIndex":0},"citationItems":[{"id":61,"uris":["http://zotero.org/users/local/7vKBzLRM/items/AKMN998C"],"itemData":{"id":61,"type":"article-journal","abstract":"BACKGROUND: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W."}],"issued":{"date-parts":[["2016",6]]}}}],"schema":"https://github.com/citation-style-language/schema/raw/master/csl-citation.json"} </w:instrText>
      </w:r>
      <w:r w:rsidR="000A6D3B" w:rsidRPr="00B1213E">
        <w:rPr>
          <w:rFonts w:ascii="Times New Roman" w:hAnsi="Times New Roman" w:cs="Times New Roman"/>
          <w:sz w:val="24"/>
          <w:szCs w:val="24"/>
        </w:rPr>
        <w:fldChar w:fldCharType="separate"/>
      </w:r>
      <w:r w:rsidR="00861D71" w:rsidRPr="00B1213E">
        <w:rPr>
          <w:rFonts w:ascii="Times New Roman" w:hAnsi="Times New Roman" w:cs="Times New Roman"/>
          <w:sz w:val="24"/>
        </w:rPr>
        <w:t>(</w:t>
      </w:r>
      <w:r w:rsidR="00502DF6" w:rsidRPr="00B1213E">
        <w:rPr>
          <w:rFonts w:ascii="Times New Roman" w:hAnsi="Times New Roman" w:cs="Times New Roman"/>
          <w:sz w:val="24"/>
        </w:rPr>
        <w:t>2016)</w:t>
      </w:r>
      <w:r w:rsidR="000A6D3B"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to ensure sufficient EIMD</w:t>
      </w:r>
      <w:r w:rsidR="00861D71" w:rsidRPr="00B1213E">
        <w:rPr>
          <w:rFonts w:ascii="Times New Roman" w:hAnsi="Times New Roman" w:cs="Times New Roman"/>
          <w:sz w:val="24"/>
          <w:szCs w:val="24"/>
        </w:rPr>
        <w:t>.</w:t>
      </w:r>
    </w:p>
    <w:p w14:paraId="60A4B412" w14:textId="7DBF15E5" w:rsidR="3D9FB09B" w:rsidRPr="00B1213E" w:rsidRDefault="3D9FB09B" w:rsidP="3D9FB09B">
      <w:pPr>
        <w:spacing w:after="0" w:line="360" w:lineRule="auto"/>
        <w:jc w:val="both"/>
        <w:rPr>
          <w:rFonts w:ascii="Times New Roman" w:hAnsi="Times New Roman" w:cs="Times New Roman"/>
          <w:sz w:val="24"/>
          <w:szCs w:val="24"/>
        </w:rPr>
      </w:pPr>
    </w:p>
    <w:p w14:paraId="79CFB56C" w14:textId="77777777" w:rsidR="00362171" w:rsidRPr="00B1213E" w:rsidRDefault="00362171" w:rsidP="3D9FB09B">
      <w:pPr>
        <w:spacing w:after="0" w:line="360" w:lineRule="auto"/>
        <w:jc w:val="both"/>
        <w:rPr>
          <w:rFonts w:ascii="Times New Roman" w:hAnsi="Times New Roman" w:cs="Times New Roman"/>
          <w:sz w:val="24"/>
          <w:szCs w:val="24"/>
        </w:rPr>
      </w:pPr>
    </w:p>
    <w:p w14:paraId="0EF2ACDA" w14:textId="77777777" w:rsidR="00685EAA" w:rsidRPr="00B1213E" w:rsidRDefault="00685EAA" w:rsidP="3D9FB09B">
      <w:pPr>
        <w:spacing w:after="0" w:line="360" w:lineRule="auto"/>
        <w:jc w:val="both"/>
        <w:rPr>
          <w:rFonts w:ascii="Times New Roman" w:hAnsi="Times New Roman" w:cs="Times New Roman"/>
          <w:sz w:val="24"/>
          <w:szCs w:val="24"/>
        </w:rPr>
      </w:pPr>
    </w:p>
    <w:p w14:paraId="4A549D0E" w14:textId="77777777" w:rsidR="00685EAA" w:rsidRPr="00B1213E" w:rsidRDefault="00685EAA" w:rsidP="3D9FB09B">
      <w:pPr>
        <w:spacing w:after="0" w:line="360" w:lineRule="auto"/>
        <w:jc w:val="both"/>
        <w:rPr>
          <w:rFonts w:ascii="Times New Roman" w:hAnsi="Times New Roman" w:cs="Times New Roman"/>
          <w:sz w:val="24"/>
          <w:szCs w:val="24"/>
        </w:rPr>
      </w:pPr>
    </w:p>
    <w:p w14:paraId="50014DDD" w14:textId="3BC90A19" w:rsidR="00720961" w:rsidRPr="00B1213E" w:rsidRDefault="00720961" w:rsidP="00027419">
      <w:pPr>
        <w:pStyle w:val="Default"/>
        <w:spacing w:line="360" w:lineRule="auto"/>
        <w:jc w:val="both"/>
        <w:rPr>
          <w:rFonts w:ascii="Times New Roman" w:hAnsi="Times New Roman" w:cs="Times New Roman"/>
          <w:color w:val="auto"/>
        </w:rPr>
      </w:pPr>
      <w:r w:rsidRPr="00B1213E">
        <w:rPr>
          <w:rFonts w:ascii="Times New Roman" w:hAnsi="Times New Roman" w:cs="Times New Roman"/>
          <w:i/>
          <w:iCs/>
          <w:color w:val="auto"/>
        </w:rPr>
        <w:t>Blood Sampling</w:t>
      </w:r>
    </w:p>
    <w:p w14:paraId="6D20ECB0" w14:textId="77282227" w:rsidR="00247004" w:rsidRPr="00B1213E" w:rsidRDefault="00A268D6" w:rsidP="006F1F32">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Upon arrival in the laboratory each morning, v</w:t>
      </w:r>
      <w:r w:rsidR="3D9FB09B" w:rsidRPr="00B1213E">
        <w:rPr>
          <w:rFonts w:ascii="Times New Roman" w:hAnsi="Times New Roman" w:cs="Times New Roman"/>
          <w:sz w:val="24"/>
          <w:szCs w:val="24"/>
        </w:rPr>
        <w:t>enous samples were drawn from the antecubital vein into EDTA-Na</w:t>
      </w:r>
      <w:r w:rsidR="3D9FB09B" w:rsidRPr="00B1213E">
        <w:rPr>
          <w:rFonts w:ascii="Times New Roman" w:hAnsi="Times New Roman" w:cs="Times New Roman"/>
          <w:sz w:val="24"/>
          <w:szCs w:val="24"/>
          <w:vertAlign w:val="superscript"/>
        </w:rPr>
        <w:t>2</w:t>
      </w:r>
      <w:r w:rsidR="3D9FB09B" w:rsidRPr="00B1213E">
        <w:rPr>
          <w:rFonts w:ascii="Times New Roman" w:hAnsi="Times New Roman" w:cs="Times New Roman"/>
          <w:sz w:val="24"/>
          <w:szCs w:val="24"/>
        </w:rPr>
        <w:t xml:space="preserve"> (6</w:t>
      </w:r>
      <w:r w:rsidR="009547BA"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mg) vacutainers and immediately spun at 15,000 </w:t>
      </w:r>
      <w:r w:rsidR="00974C78" w:rsidRPr="00B1213E">
        <w:rPr>
          <w:rFonts w:ascii="Times New Roman" w:hAnsi="Times New Roman" w:cs="Times New Roman"/>
          <w:sz w:val="24"/>
          <w:szCs w:val="24"/>
        </w:rPr>
        <w:t>rpm</w:t>
      </w:r>
      <w:r w:rsidR="3D9FB09B" w:rsidRPr="00B1213E">
        <w:rPr>
          <w:rFonts w:ascii="Times New Roman" w:hAnsi="Times New Roman" w:cs="Times New Roman"/>
          <w:sz w:val="24"/>
          <w:szCs w:val="24"/>
        </w:rPr>
        <w:t xml:space="preserve"> for 15</w:t>
      </w:r>
      <w:r w:rsidR="00974C78"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min at 4</w:t>
      </w:r>
      <w:r w:rsidR="3D9FB09B" w:rsidRPr="00B1213E">
        <w:rPr>
          <w:rFonts w:ascii="Times New Roman" w:hAnsi="Times New Roman" w:cs="Times New Roman"/>
          <w:sz w:val="24"/>
          <w:szCs w:val="24"/>
          <w:vertAlign w:val="superscript"/>
        </w:rPr>
        <w:t>o</w:t>
      </w:r>
      <w:r w:rsidR="3D9FB09B" w:rsidRPr="00B1213E">
        <w:rPr>
          <w:rFonts w:ascii="Times New Roman" w:hAnsi="Times New Roman" w:cs="Times New Roman"/>
          <w:sz w:val="24"/>
          <w:szCs w:val="24"/>
        </w:rPr>
        <w:t>C. Plasma supernatant was then separated and stored at -80</w:t>
      </w:r>
      <w:r w:rsidR="3D9FB09B" w:rsidRPr="00B1213E">
        <w:rPr>
          <w:rFonts w:ascii="Times New Roman" w:hAnsi="Times New Roman" w:cs="Times New Roman"/>
          <w:sz w:val="24"/>
          <w:szCs w:val="24"/>
          <w:vertAlign w:val="superscript"/>
        </w:rPr>
        <w:t>o</w:t>
      </w:r>
      <w:r w:rsidR="3D9FB09B" w:rsidRPr="00B1213E">
        <w:rPr>
          <w:rFonts w:ascii="Times New Roman" w:hAnsi="Times New Roman" w:cs="Times New Roman"/>
          <w:sz w:val="24"/>
          <w:szCs w:val="24"/>
        </w:rPr>
        <w:t xml:space="preserve">C. Once all samples had been collected, they were transferred to an external lab provider (Affinity Biomarker Labs, London) for analysis of the following biomarkers: Creatine Kinase (CK), selected interleukins (IL-1B, IL-6, IL-4, IL-10, IL-1RA) and Tumour Necrosis Factor-alpha (TNF-α). </w:t>
      </w:r>
      <w:r w:rsidR="3D9FB09B" w:rsidRPr="00B1213E">
        <w:rPr>
          <w:rFonts w:ascii="Times New Roman" w:hAnsi="Times New Roman" w:cs="Times New Roman"/>
          <w:b/>
          <w:bCs/>
          <w:sz w:val="24"/>
          <w:szCs w:val="24"/>
        </w:rPr>
        <w:t>Table 2</w:t>
      </w:r>
      <w:r w:rsidR="3D9FB09B" w:rsidRPr="00B1213E">
        <w:rPr>
          <w:rFonts w:ascii="Times New Roman" w:hAnsi="Times New Roman" w:cs="Times New Roman"/>
          <w:sz w:val="24"/>
          <w:szCs w:val="24"/>
        </w:rPr>
        <w:t xml:space="preserve"> illustrates the detectable range and performance of each assay. </w:t>
      </w:r>
      <w:r w:rsidR="006F1F32" w:rsidRPr="00B1213E">
        <w:rPr>
          <w:rFonts w:ascii="Times New Roman" w:hAnsi="Times New Roman" w:cs="Times New Roman"/>
          <w:sz w:val="24"/>
          <w:szCs w:val="24"/>
        </w:rPr>
        <w:t xml:space="preserve">To estimate redox status, antioxidant capacity and reactive oxygen species activity (hydroperoxides) were assessed using the Free Oxygen Radicals Defence Test (FORD; Cat. No. AD-12136) and the Free Oxygen Radicals Test (FORT; Cat. No. AD-12107-A), both from Callegari </w:t>
      </w:r>
      <w:proofErr w:type="spellStart"/>
      <w:r w:rsidR="006F1F32" w:rsidRPr="00B1213E">
        <w:rPr>
          <w:rFonts w:ascii="Times New Roman" w:hAnsi="Times New Roman" w:cs="Times New Roman"/>
          <w:sz w:val="24"/>
          <w:szCs w:val="24"/>
        </w:rPr>
        <w:t>SpA</w:t>
      </w:r>
      <w:proofErr w:type="spellEnd"/>
      <w:r w:rsidR="006F1F32" w:rsidRPr="00B1213E">
        <w:rPr>
          <w:rFonts w:ascii="Times New Roman" w:hAnsi="Times New Roman" w:cs="Times New Roman"/>
          <w:sz w:val="24"/>
          <w:szCs w:val="24"/>
        </w:rPr>
        <w:t xml:space="preserve"> (</w:t>
      </w:r>
      <w:proofErr w:type="spellStart"/>
      <w:r w:rsidR="006F1F32" w:rsidRPr="00B1213E">
        <w:rPr>
          <w:rFonts w:ascii="Times New Roman" w:hAnsi="Times New Roman" w:cs="Times New Roman"/>
          <w:sz w:val="24"/>
          <w:szCs w:val="24"/>
        </w:rPr>
        <w:t>Catellani</w:t>
      </w:r>
      <w:proofErr w:type="spellEnd"/>
      <w:r w:rsidR="006F1F32" w:rsidRPr="00B1213E">
        <w:rPr>
          <w:rFonts w:ascii="Times New Roman" w:hAnsi="Times New Roman" w:cs="Times New Roman"/>
          <w:sz w:val="24"/>
          <w:szCs w:val="24"/>
        </w:rPr>
        <w:t xml:space="preserve"> Group, Parma, Italy). </w:t>
      </w:r>
      <w:r w:rsidR="3D9FB09B" w:rsidRPr="00B1213E">
        <w:rPr>
          <w:rFonts w:ascii="Times New Roman" w:hAnsi="Times New Roman" w:cs="Times New Roman"/>
          <w:sz w:val="24"/>
          <w:szCs w:val="24"/>
        </w:rPr>
        <w:t>Prior to all blood sampling</w:t>
      </w:r>
      <w:r w:rsidR="009A1578" w:rsidRPr="00B1213E">
        <w:rPr>
          <w:rFonts w:ascii="Times New Roman" w:hAnsi="Times New Roman" w:cs="Times New Roman"/>
          <w:sz w:val="24"/>
          <w:szCs w:val="24"/>
        </w:rPr>
        <w:t>,</w:t>
      </w:r>
      <w:r w:rsidR="3D9FB09B" w:rsidRPr="00B1213E">
        <w:rPr>
          <w:rFonts w:ascii="Times New Roman" w:hAnsi="Times New Roman" w:cs="Times New Roman"/>
          <w:sz w:val="24"/>
          <w:szCs w:val="24"/>
        </w:rPr>
        <w:t xml:space="preserve"> the participant</w:t>
      </w:r>
      <w:r w:rsidR="009A1578" w:rsidRPr="00B1213E">
        <w:rPr>
          <w:rFonts w:ascii="Times New Roman" w:hAnsi="Times New Roman" w:cs="Times New Roman"/>
          <w:sz w:val="24"/>
          <w:szCs w:val="24"/>
        </w:rPr>
        <w:t>s</w:t>
      </w:r>
      <w:r w:rsidR="3D9FB09B" w:rsidRPr="00B1213E">
        <w:rPr>
          <w:rFonts w:ascii="Times New Roman" w:hAnsi="Times New Roman" w:cs="Times New Roman"/>
          <w:sz w:val="24"/>
          <w:szCs w:val="24"/>
        </w:rPr>
        <w:t xml:space="preserve"> w</w:t>
      </w:r>
      <w:r w:rsidR="009A1578" w:rsidRPr="00B1213E">
        <w:rPr>
          <w:rFonts w:ascii="Times New Roman" w:hAnsi="Times New Roman" w:cs="Times New Roman"/>
          <w:sz w:val="24"/>
          <w:szCs w:val="24"/>
        </w:rPr>
        <w:t>ere</w:t>
      </w:r>
      <w:r w:rsidR="3D9FB09B" w:rsidRPr="00B1213E">
        <w:rPr>
          <w:rFonts w:ascii="Times New Roman" w:hAnsi="Times New Roman" w:cs="Times New Roman"/>
          <w:sz w:val="24"/>
          <w:szCs w:val="24"/>
        </w:rPr>
        <w:t xml:space="preserve"> seated at rest for 10-</w:t>
      </w:r>
      <w:r w:rsidR="00AF68E8" w:rsidRPr="00B1213E">
        <w:rPr>
          <w:rFonts w:ascii="Times New Roman" w:hAnsi="Times New Roman" w:cs="Times New Roman"/>
          <w:sz w:val="24"/>
          <w:szCs w:val="24"/>
        </w:rPr>
        <w:t>min</w:t>
      </w:r>
      <w:r w:rsidR="3D9FB09B" w:rsidRPr="00B1213E">
        <w:rPr>
          <w:rFonts w:ascii="Times New Roman" w:hAnsi="Times New Roman" w:cs="Times New Roman"/>
          <w:sz w:val="24"/>
          <w:szCs w:val="24"/>
        </w:rPr>
        <w:t xml:space="preserve">. Capillary blood samples (50 </w:t>
      </w:r>
      <w:proofErr w:type="spellStart"/>
      <w:r w:rsidR="3D9FB09B" w:rsidRPr="00B1213E">
        <w:rPr>
          <w:rFonts w:ascii="Times New Roman" w:hAnsi="Times New Roman" w:cs="Times New Roman"/>
          <w:sz w:val="24"/>
          <w:szCs w:val="24"/>
        </w:rPr>
        <w:t>μL</w:t>
      </w:r>
      <w:proofErr w:type="spellEnd"/>
      <w:r w:rsidR="3D9FB09B" w:rsidRPr="00B1213E">
        <w:rPr>
          <w:rFonts w:ascii="Times New Roman" w:hAnsi="Times New Roman" w:cs="Times New Roman"/>
          <w:sz w:val="24"/>
          <w:szCs w:val="24"/>
        </w:rPr>
        <w:t xml:space="preserve"> for FORD </w:t>
      </w:r>
      <w:r w:rsidR="00AC7F2A" w:rsidRPr="00B1213E">
        <w:rPr>
          <w:rFonts w:ascii="Times New Roman" w:hAnsi="Times New Roman" w:cs="Times New Roman"/>
          <w:sz w:val="24"/>
          <w:szCs w:val="24"/>
        </w:rPr>
        <w:t>and</w:t>
      </w:r>
      <w:r w:rsidR="3D9FB09B" w:rsidRPr="00B1213E">
        <w:rPr>
          <w:rFonts w:ascii="Times New Roman" w:hAnsi="Times New Roman" w:cs="Times New Roman"/>
          <w:sz w:val="24"/>
          <w:szCs w:val="24"/>
        </w:rPr>
        <w:t xml:space="preserve"> 20 </w:t>
      </w:r>
      <w:proofErr w:type="spellStart"/>
      <w:r w:rsidR="3D9FB09B" w:rsidRPr="00B1213E">
        <w:rPr>
          <w:rFonts w:ascii="Times New Roman" w:hAnsi="Times New Roman" w:cs="Times New Roman"/>
          <w:sz w:val="24"/>
          <w:szCs w:val="24"/>
        </w:rPr>
        <w:t>μL</w:t>
      </w:r>
      <w:proofErr w:type="spellEnd"/>
      <w:r w:rsidR="3D9FB09B" w:rsidRPr="00B1213E">
        <w:rPr>
          <w:rFonts w:ascii="Times New Roman" w:hAnsi="Times New Roman" w:cs="Times New Roman"/>
          <w:sz w:val="24"/>
          <w:szCs w:val="24"/>
        </w:rPr>
        <w:t xml:space="preserve"> for FORT) were taken from the earlobe, processed, and analysed immediately at room temperature </w:t>
      </w:r>
      <w:r w:rsidR="00AC7F2A" w:rsidRPr="00B1213E">
        <w:rPr>
          <w:rFonts w:ascii="Times New Roman" w:hAnsi="Times New Roman" w:cs="Times New Roman"/>
          <w:sz w:val="24"/>
          <w:szCs w:val="24"/>
        </w:rPr>
        <w:t>according to</w:t>
      </w:r>
      <w:r w:rsidR="3D9FB09B" w:rsidRPr="00B1213E">
        <w:rPr>
          <w:rFonts w:ascii="Times New Roman" w:hAnsi="Times New Roman" w:cs="Times New Roman"/>
          <w:sz w:val="24"/>
          <w:szCs w:val="24"/>
        </w:rPr>
        <w:t xml:space="preserve"> the manufacturer’s instructions. Briefly, capillary samples were mixed with the reagent, centrifuged, and analysed </w:t>
      </w:r>
      <w:proofErr w:type="spellStart"/>
      <w:r w:rsidR="3D9FB09B" w:rsidRPr="00B1213E">
        <w:rPr>
          <w:rFonts w:ascii="Times New Roman" w:hAnsi="Times New Roman" w:cs="Times New Roman"/>
          <w:sz w:val="24"/>
          <w:szCs w:val="24"/>
        </w:rPr>
        <w:t>colourimetrically</w:t>
      </w:r>
      <w:proofErr w:type="spellEnd"/>
      <w:r w:rsidR="3D9FB09B" w:rsidRPr="00B1213E">
        <w:rPr>
          <w:rFonts w:ascii="Times New Roman" w:hAnsi="Times New Roman" w:cs="Times New Roman"/>
          <w:sz w:val="24"/>
          <w:szCs w:val="24"/>
        </w:rPr>
        <w:t xml:space="preserve"> (CR3000, Callegari </w:t>
      </w:r>
      <w:proofErr w:type="spellStart"/>
      <w:r w:rsidR="3D9FB09B" w:rsidRPr="00B1213E">
        <w:rPr>
          <w:rFonts w:ascii="Times New Roman" w:hAnsi="Times New Roman" w:cs="Times New Roman"/>
          <w:sz w:val="24"/>
          <w:szCs w:val="24"/>
        </w:rPr>
        <w:t>SpA</w:t>
      </w:r>
      <w:proofErr w:type="spellEnd"/>
      <w:r w:rsidR="3D9FB09B" w:rsidRPr="00B1213E">
        <w:rPr>
          <w:rFonts w:ascii="Times New Roman" w:hAnsi="Times New Roman" w:cs="Times New Roman"/>
          <w:sz w:val="24"/>
          <w:szCs w:val="24"/>
        </w:rPr>
        <w:t xml:space="preserve">, </w:t>
      </w:r>
      <w:proofErr w:type="spellStart"/>
      <w:r w:rsidR="3D9FB09B" w:rsidRPr="00B1213E">
        <w:rPr>
          <w:rFonts w:ascii="Times New Roman" w:hAnsi="Times New Roman" w:cs="Times New Roman"/>
          <w:sz w:val="24"/>
          <w:szCs w:val="24"/>
        </w:rPr>
        <w:t>Catellani</w:t>
      </w:r>
      <w:proofErr w:type="spellEnd"/>
      <w:r w:rsidR="3D9FB09B" w:rsidRPr="00B1213E">
        <w:rPr>
          <w:rFonts w:ascii="Times New Roman" w:hAnsi="Times New Roman" w:cs="Times New Roman"/>
          <w:sz w:val="24"/>
          <w:szCs w:val="24"/>
        </w:rPr>
        <w:t xml:space="preserve"> Group, Parma, Italy). The ratio (FORT:FORD) was used as an index of oxidative stress (OSI; oxidative stress index). See</w:t>
      </w:r>
      <w:r w:rsidR="000A6D3B" w:rsidRPr="00B1213E">
        <w:rPr>
          <w:rFonts w:ascii="Times New Roman" w:hAnsi="Times New Roman" w:cs="Times New Roman"/>
          <w:sz w:val="24"/>
          <w:szCs w:val="24"/>
        </w:rPr>
        <w:t xml:space="preserve"> Lewis et al.</w:t>
      </w:r>
      <w:r w:rsidR="3D9FB09B" w:rsidRPr="00B1213E">
        <w:rPr>
          <w:rFonts w:ascii="Times New Roman" w:hAnsi="Times New Roman" w:cs="Times New Roman"/>
          <w:sz w:val="24"/>
          <w:szCs w:val="24"/>
        </w:rPr>
        <w:t xml:space="preserve"> </w:t>
      </w:r>
      <w:r w:rsidR="00B91D9E"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{"citationID":"Cj5PomQ1","properties":{"formattedCitation":"(Lewis et al., 2016)","plainCitation":"(Lewis et al., 2016)","noteIndex":0},"citationItems":[{"id":53,"uris":["http://zotero.org/users/local/7vKBzLRM/items/EHSDUKAY"],"itemData":{"id":53,"type":"article-journal","abstract":"The longitudinal monitoring of oxidative stress (OS) in athletes may enable the identification of fatigued states and underperformance. The application of OS biomarker monitoring programs in sport are hindered by reliability and repeatability of in-the-field testing tools, the turnaround of results, and the understanding of biological variation (BV). Knowledge of BV and critical difference values (CDV) may assist with data interpretation in the individual athlete.\nMETHODS: We aimed firstly to assess the repeatability of the clinical point of care redox test, Free Oxygen Radical Test (FORT) and the Free Oxygen Radical Defence (FORD) in trained participants and elite athletes and secondly to calculate the analytical, BV, CDV and index of individuality (II) for FORT, FORD, red blood cell glutathione, lutein, α and γ-tocopherol. Part 1: Fifteen elite athletes were sampled in duplicate for calculation of the repeatability of the FORT and FORD tests. Part 2: Twelve well-trained athletes had venous samples drawn every 2 hours from 0800 to 1800 for calculation of BV, CDV, II for FORT, FORD, RBC GSH, lutein, α-tocopherol and γ-tocopherol.\nRESULTS: Repeatability of the FORT and FORD assay was 3.9% and 3.7% respectively. Biomarker CDV ranged from 12.8% to 37%, with a circadian effect for FORT, α-tocopherol and γ-tocopherol (p&lt;0.01), with all biomarker indices of individuality &lt; 0.8 arbitrary units.\nCONCLUSION: We report that the use of the novel redox test in athletes is practical, and the generation of BV and CDV for biomarkers of OS enhances the interpretation of physiologically meaningful changes in individuals above the use of clinical reference ranges alone.","container-title":"PloS One","DOI":"10.1371/journal.pone.0149927","ISSN":"1932-6203","issue":"3","journalAbbreviation":"PLoS One","language":"eng","note":"PMID: 26930475\nPMCID: PMC4773226","page":"e0149927","source":"PubMed","title":"Critical Difference and Biological Variation in Biomarkers of Oxidative Stress and Nutritional Status in Athletes","volume":"11","author":[{"family":"Lewis","given":"Nathan A."},{"family":"Newell","given":"John"},{"family":"Burden","given":"Richard"},{"family":"Howatson","given":"Glyn"},{"family":"Pedlar","given":"Charles R."}],"issued":{"date-parts":[["2016"]]}}}],"schema":"https://github.com/citation-style-language/schema/raw/master/csl-citation.json"} </w:instrText>
      </w:r>
      <w:r w:rsidR="00B91D9E"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(Lewis et al., 2016)</w:t>
      </w:r>
      <w:r w:rsidR="00B91D9E" w:rsidRPr="00B1213E">
        <w:rPr>
          <w:rFonts w:ascii="Times New Roman" w:hAnsi="Times New Roman" w:cs="Times New Roman"/>
          <w:sz w:val="24"/>
          <w:szCs w:val="24"/>
        </w:rPr>
        <w:fldChar w:fldCharType="end"/>
      </w:r>
      <w:r w:rsidR="3D9FB09B" w:rsidRPr="00B1213E">
        <w:rPr>
          <w:rFonts w:ascii="Times New Roman" w:hAnsi="Times New Roman" w:cs="Times New Roman"/>
          <w:sz w:val="24"/>
          <w:szCs w:val="24"/>
        </w:rPr>
        <w:t xml:space="preserve"> for a detailed description of the FORD/FORT assays.</w:t>
      </w:r>
    </w:p>
    <w:p w14:paraId="659C454A" w14:textId="244C37B8" w:rsidR="00027419" w:rsidRPr="00B1213E" w:rsidRDefault="00027419" w:rsidP="00027419">
      <w:pPr>
        <w:spacing w:after="0" w:line="360" w:lineRule="auto"/>
        <w:jc w:val="both"/>
        <w:rPr>
          <w:rFonts w:ascii="Times New Roman" w:hAnsi="Times New Roman" w:cs="Times New Roman"/>
          <w:b/>
          <w:sz w:val="24"/>
          <w:szCs w:val="24"/>
        </w:rPr>
      </w:pPr>
    </w:p>
    <w:p w14:paraId="478B7FD8" w14:textId="758FB86D" w:rsidR="006D6C50" w:rsidRPr="00B1213E" w:rsidRDefault="006D6C50" w:rsidP="006D6C50">
      <w:pPr>
        <w:spacing w:after="0" w:line="360" w:lineRule="auto"/>
        <w:jc w:val="both"/>
        <w:rPr>
          <w:rFonts w:ascii="Times New Roman" w:hAnsi="Times New Roman" w:cs="Times New Roman"/>
          <w:sz w:val="24"/>
          <w:szCs w:val="24"/>
        </w:rPr>
      </w:pPr>
      <w:r w:rsidRPr="00B1213E">
        <w:rPr>
          <w:rFonts w:ascii="Times New Roman" w:hAnsi="Times New Roman" w:cs="Times New Roman"/>
          <w:b/>
          <w:sz w:val="24"/>
          <w:szCs w:val="24"/>
        </w:rPr>
        <w:t>Table 2.</w:t>
      </w:r>
      <w:r w:rsidRPr="00B1213E">
        <w:rPr>
          <w:rFonts w:ascii="Times New Roman" w:hAnsi="Times New Roman" w:cs="Times New Roman"/>
          <w:sz w:val="24"/>
          <w:szCs w:val="24"/>
        </w:rPr>
        <w:t xml:space="preserve"> The detectable range of the ELISA panels analysed by Affinity Biomarkers Ltd</w:t>
      </w:r>
      <w:r w:rsidR="00204ADB" w:rsidRPr="00B1213E">
        <w:rPr>
          <w:rFonts w:ascii="Times New Roman" w:hAnsi="Times New Roman" w:cs="Times New Roman"/>
          <w:sz w:val="24"/>
          <w:szCs w:val="24"/>
        </w:rPr>
        <w:t xml:space="preserve"> assays and assays from Callegari </w:t>
      </w:r>
      <w:proofErr w:type="spellStart"/>
      <w:r w:rsidR="00204ADB" w:rsidRPr="00B1213E">
        <w:rPr>
          <w:rFonts w:ascii="Times New Roman" w:hAnsi="Times New Roman" w:cs="Times New Roman"/>
          <w:sz w:val="24"/>
          <w:szCs w:val="24"/>
        </w:rPr>
        <w:t>SpA</w:t>
      </w:r>
      <w:proofErr w:type="spellEnd"/>
      <w:r w:rsidR="00204ADB" w:rsidRPr="00B1213E">
        <w:rPr>
          <w:rFonts w:ascii="Times New Roman" w:hAnsi="Times New Roman" w:cs="Times New Roman"/>
          <w:sz w:val="24"/>
          <w:szCs w:val="24"/>
        </w:rPr>
        <w:t>.</w:t>
      </w:r>
    </w:p>
    <w:tbl>
      <w:tblPr>
        <w:tblStyle w:val="TableGrid"/>
        <w:tblW w:w="7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566"/>
        <w:gridCol w:w="2911"/>
      </w:tblGrid>
      <w:tr w:rsidR="00B1213E" w:rsidRPr="00B1213E" w14:paraId="6903C4A5" w14:textId="77777777" w:rsidTr="00204ADB">
        <w:trPr>
          <w:jc w:val="center"/>
        </w:trPr>
        <w:tc>
          <w:tcPr>
            <w:tcW w:w="2254" w:type="dxa"/>
            <w:tcBorders>
              <w:top w:val="single" w:sz="4" w:space="0" w:color="auto"/>
              <w:bottom w:val="single" w:sz="4" w:space="0" w:color="auto"/>
            </w:tcBorders>
          </w:tcPr>
          <w:p w14:paraId="6A7D7225" w14:textId="77777777" w:rsidR="006D6C50" w:rsidRPr="00B1213E" w:rsidRDefault="006D6C50" w:rsidP="006A2877">
            <w:pPr>
              <w:spacing w:line="360" w:lineRule="auto"/>
              <w:jc w:val="center"/>
              <w:rPr>
                <w:rFonts w:ascii="Times New Roman" w:hAnsi="Times New Roman" w:cs="Times New Roman"/>
                <w:sz w:val="24"/>
                <w:szCs w:val="24"/>
              </w:rPr>
            </w:pPr>
            <w:bookmarkStart w:id="5" w:name="_Hlk199238970"/>
            <w:r w:rsidRPr="00B1213E">
              <w:rPr>
                <w:rFonts w:ascii="Times New Roman" w:hAnsi="Times New Roman" w:cs="Times New Roman"/>
                <w:sz w:val="24"/>
                <w:szCs w:val="24"/>
              </w:rPr>
              <w:t>Marker</w:t>
            </w:r>
          </w:p>
        </w:tc>
        <w:tc>
          <w:tcPr>
            <w:tcW w:w="2566" w:type="dxa"/>
            <w:tcBorders>
              <w:top w:val="single" w:sz="4" w:space="0" w:color="auto"/>
              <w:bottom w:val="single" w:sz="4" w:space="0" w:color="auto"/>
            </w:tcBorders>
          </w:tcPr>
          <w:p w14:paraId="6990DE30"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Detectable range</w:t>
            </w:r>
          </w:p>
        </w:tc>
        <w:tc>
          <w:tcPr>
            <w:tcW w:w="2911" w:type="dxa"/>
            <w:tcBorders>
              <w:top w:val="single" w:sz="4" w:space="0" w:color="auto"/>
              <w:bottom w:val="single" w:sz="4" w:space="0" w:color="auto"/>
            </w:tcBorders>
          </w:tcPr>
          <w:p w14:paraId="75A8D517"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Intra-assay coefficient (%)</w:t>
            </w:r>
          </w:p>
        </w:tc>
      </w:tr>
      <w:tr w:rsidR="00B1213E" w:rsidRPr="00B1213E" w14:paraId="60EB2503" w14:textId="77777777" w:rsidTr="00204ADB">
        <w:trPr>
          <w:jc w:val="center"/>
        </w:trPr>
        <w:tc>
          <w:tcPr>
            <w:tcW w:w="2254" w:type="dxa"/>
            <w:tcBorders>
              <w:top w:val="single" w:sz="4" w:space="0" w:color="auto"/>
            </w:tcBorders>
          </w:tcPr>
          <w:p w14:paraId="509BE05B"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Creatine Kinase</w:t>
            </w:r>
          </w:p>
        </w:tc>
        <w:tc>
          <w:tcPr>
            <w:tcW w:w="2566" w:type="dxa"/>
            <w:tcBorders>
              <w:top w:val="single" w:sz="4" w:space="0" w:color="auto"/>
            </w:tcBorders>
          </w:tcPr>
          <w:p w14:paraId="06FAEAEA"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1.0-7800 U/L</w:t>
            </w:r>
          </w:p>
        </w:tc>
        <w:tc>
          <w:tcPr>
            <w:tcW w:w="2911" w:type="dxa"/>
            <w:tcBorders>
              <w:top w:val="single" w:sz="4" w:space="0" w:color="auto"/>
            </w:tcBorders>
          </w:tcPr>
          <w:p w14:paraId="6312BD0A"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0.9</w:t>
            </w:r>
          </w:p>
        </w:tc>
      </w:tr>
      <w:tr w:rsidR="00B1213E" w:rsidRPr="00B1213E" w14:paraId="2173D798" w14:textId="77777777" w:rsidTr="00204ADB">
        <w:trPr>
          <w:jc w:val="center"/>
        </w:trPr>
        <w:tc>
          <w:tcPr>
            <w:tcW w:w="2254" w:type="dxa"/>
          </w:tcPr>
          <w:p w14:paraId="37F7D203"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IL-1B</w:t>
            </w:r>
          </w:p>
        </w:tc>
        <w:tc>
          <w:tcPr>
            <w:tcW w:w="2566" w:type="dxa"/>
          </w:tcPr>
          <w:p w14:paraId="39408279"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0.27-576 ng/L</w:t>
            </w:r>
          </w:p>
        </w:tc>
        <w:tc>
          <w:tcPr>
            <w:tcW w:w="2911" w:type="dxa"/>
          </w:tcPr>
          <w:p w14:paraId="7ADA3D6F"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3.8</w:t>
            </w:r>
          </w:p>
        </w:tc>
      </w:tr>
      <w:tr w:rsidR="00B1213E" w:rsidRPr="00B1213E" w14:paraId="0E4DFB24" w14:textId="77777777" w:rsidTr="00204ADB">
        <w:trPr>
          <w:jc w:val="center"/>
        </w:trPr>
        <w:tc>
          <w:tcPr>
            <w:tcW w:w="2254" w:type="dxa"/>
          </w:tcPr>
          <w:p w14:paraId="742296E4"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IL-4</w:t>
            </w:r>
          </w:p>
        </w:tc>
        <w:tc>
          <w:tcPr>
            <w:tcW w:w="2566" w:type="dxa"/>
          </w:tcPr>
          <w:p w14:paraId="6E039D44"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0.05-208 ng/L</w:t>
            </w:r>
          </w:p>
        </w:tc>
        <w:tc>
          <w:tcPr>
            <w:tcW w:w="2911" w:type="dxa"/>
          </w:tcPr>
          <w:p w14:paraId="1BB51E09"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5.8</w:t>
            </w:r>
          </w:p>
        </w:tc>
      </w:tr>
      <w:tr w:rsidR="00B1213E" w:rsidRPr="00B1213E" w14:paraId="30608EF6" w14:textId="77777777" w:rsidTr="00204ADB">
        <w:trPr>
          <w:jc w:val="center"/>
        </w:trPr>
        <w:tc>
          <w:tcPr>
            <w:tcW w:w="2254" w:type="dxa"/>
          </w:tcPr>
          <w:p w14:paraId="60A84C93"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IL-6</w:t>
            </w:r>
          </w:p>
        </w:tc>
        <w:tc>
          <w:tcPr>
            <w:tcW w:w="2566" w:type="dxa"/>
          </w:tcPr>
          <w:p w14:paraId="338E7B98"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0.11-1470 ng/L</w:t>
            </w:r>
          </w:p>
        </w:tc>
        <w:tc>
          <w:tcPr>
            <w:tcW w:w="2911" w:type="dxa"/>
          </w:tcPr>
          <w:p w14:paraId="7C284809"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4.9</w:t>
            </w:r>
          </w:p>
        </w:tc>
      </w:tr>
      <w:tr w:rsidR="00B1213E" w:rsidRPr="00B1213E" w14:paraId="6339701A" w14:textId="77777777" w:rsidTr="00204ADB">
        <w:trPr>
          <w:jc w:val="center"/>
        </w:trPr>
        <w:tc>
          <w:tcPr>
            <w:tcW w:w="2254" w:type="dxa"/>
          </w:tcPr>
          <w:p w14:paraId="0359396E"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IL-10</w:t>
            </w:r>
          </w:p>
        </w:tc>
        <w:tc>
          <w:tcPr>
            <w:tcW w:w="2566" w:type="dxa"/>
          </w:tcPr>
          <w:p w14:paraId="10FCDE12"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0.015-367 ng/L</w:t>
            </w:r>
          </w:p>
        </w:tc>
        <w:tc>
          <w:tcPr>
            <w:tcW w:w="2911" w:type="dxa"/>
          </w:tcPr>
          <w:p w14:paraId="4FE0195A"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3.1</w:t>
            </w:r>
          </w:p>
        </w:tc>
      </w:tr>
      <w:tr w:rsidR="00B1213E" w:rsidRPr="00B1213E" w14:paraId="5E6C8A0D" w14:textId="77777777" w:rsidTr="00204ADB">
        <w:trPr>
          <w:jc w:val="center"/>
        </w:trPr>
        <w:tc>
          <w:tcPr>
            <w:tcW w:w="2254" w:type="dxa"/>
          </w:tcPr>
          <w:p w14:paraId="2D8E908E" w14:textId="77777777" w:rsidR="006D6C50" w:rsidRPr="00B1213E" w:rsidRDefault="006D6C50" w:rsidP="006A2877">
            <w:pPr>
              <w:spacing w:line="360" w:lineRule="auto"/>
              <w:jc w:val="center"/>
              <w:rPr>
                <w:rFonts w:ascii="Times New Roman" w:hAnsi="Times New Roman" w:cs="Times New Roman"/>
                <w:sz w:val="24"/>
                <w:szCs w:val="24"/>
              </w:rPr>
            </w:pPr>
            <w:bookmarkStart w:id="6" w:name="OLE_LINK1"/>
            <w:r w:rsidRPr="00B1213E">
              <w:rPr>
                <w:rFonts w:ascii="Times New Roman" w:hAnsi="Times New Roman" w:cs="Times New Roman"/>
                <w:sz w:val="24"/>
                <w:szCs w:val="24"/>
              </w:rPr>
              <w:t>TNF-α</w:t>
            </w:r>
            <w:bookmarkEnd w:id="6"/>
          </w:p>
        </w:tc>
        <w:tc>
          <w:tcPr>
            <w:tcW w:w="2566" w:type="dxa"/>
          </w:tcPr>
          <w:p w14:paraId="514C5BC5"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0.13-347 ng/L</w:t>
            </w:r>
          </w:p>
        </w:tc>
        <w:tc>
          <w:tcPr>
            <w:tcW w:w="2911" w:type="dxa"/>
          </w:tcPr>
          <w:p w14:paraId="796979A4"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2.8</w:t>
            </w:r>
          </w:p>
        </w:tc>
      </w:tr>
      <w:tr w:rsidR="00B1213E" w:rsidRPr="00B1213E" w14:paraId="0FA6BF41" w14:textId="77777777" w:rsidTr="00204ADB">
        <w:trPr>
          <w:jc w:val="center"/>
        </w:trPr>
        <w:tc>
          <w:tcPr>
            <w:tcW w:w="2254" w:type="dxa"/>
          </w:tcPr>
          <w:p w14:paraId="04F91022" w14:textId="77777777" w:rsidR="006D6C50" w:rsidRPr="00B1213E" w:rsidRDefault="006D6C50" w:rsidP="006A2877">
            <w:pPr>
              <w:spacing w:line="360" w:lineRule="auto"/>
              <w:jc w:val="center"/>
              <w:rPr>
                <w:rFonts w:ascii="Times New Roman" w:hAnsi="Times New Roman" w:cs="Times New Roman"/>
                <w:sz w:val="24"/>
                <w:szCs w:val="24"/>
              </w:rPr>
            </w:pPr>
            <w:bookmarkStart w:id="7" w:name="OLE_LINK2"/>
            <w:r w:rsidRPr="00B1213E">
              <w:rPr>
                <w:rFonts w:ascii="Times New Roman" w:hAnsi="Times New Roman" w:cs="Times New Roman"/>
                <w:sz w:val="24"/>
                <w:szCs w:val="24"/>
              </w:rPr>
              <w:t>IL-1RA</w:t>
            </w:r>
            <w:bookmarkEnd w:id="7"/>
          </w:p>
        </w:tc>
        <w:tc>
          <w:tcPr>
            <w:tcW w:w="2566" w:type="dxa"/>
          </w:tcPr>
          <w:p w14:paraId="61ECA20B"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6.3-2000 ng/L</w:t>
            </w:r>
          </w:p>
        </w:tc>
        <w:tc>
          <w:tcPr>
            <w:tcW w:w="2911" w:type="dxa"/>
          </w:tcPr>
          <w:p w14:paraId="4E117AF4" w14:textId="77777777" w:rsidR="006D6C50" w:rsidRPr="00B1213E" w:rsidRDefault="006D6C50"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5.3</w:t>
            </w:r>
          </w:p>
        </w:tc>
      </w:tr>
      <w:tr w:rsidR="00B1213E" w:rsidRPr="00B1213E" w14:paraId="3AD4D475" w14:textId="77777777" w:rsidTr="00204ADB">
        <w:trPr>
          <w:jc w:val="center"/>
        </w:trPr>
        <w:tc>
          <w:tcPr>
            <w:tcW w:w="2254" w:type="dxa"/>
          </w:tcPr>
          <w:p w14:paraId="52BE78F3" w14:textId="16480B03" w:rsidR="00075DA4" w:rsidRPr="00B1213E" w:rsidRDefault="00075DA4"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FORT</w:t>
            </w:r>
          </w:p>
        </w:tc>
        <w:tc>
          <w:tcPr>
            <w:tcW w:w="2566" w:type="dxa"/>
          </w:tcPr>
          <w:p w14:paraId="7032DEE3" w14:textId="0758038A" w:rsidR="00075DA4" w:rsidRPr="00B1213E" w:rsidRDefault="00204ADB" w:rsidP="006A2877">
            <w:pPr>
              <w:spacing w:line="360" w:lineRule="auto"/>
              <w:jc w:val="center"/>
              <w:rPr>
                <w:rFonts w:ascii="Times New Roman" w:hAnsi="Times New Roman" w:cs="Times New Roman"/>
                <w:sz w:val="24"/>
                <w:szCs w:val="24"/>
                <w:vertAlign w:val="subscript"/>
              </w:rPr>
            </w:pPr>
            <w:r w:rsidRPr="00B1213E">
              <w:rPr>
                <w:rFonts w:ascii="Times New Roman" w:hAnsi="Times New Roman" w:cs="Times New Roman"/>
                <w:sz w:val="24"/>
                <w:szCs w:val="24"/>
              </w:rPr>
              <w:t>1.22-4.56 mmol/L H</w:t>
            </w:r>
            <w:r w:rsidRPr="00B1213E">
              <w:rPr>
                <w:rFonts w:ascii="Times New Roman" w:hAnsi="Times New Roman" w:cs="Times New Roman"/>
                <w:sz w:val="24"/>
                <w:szCs w:val="24"/>
                <w:vertAlign w:val="subscript"/>
              </w:rPr>
              <w:t>2</w:t>
            </w:r>
            <w:r w:rsidRPr="00B1213E">
              <w:rPr>
                <w:rFonts w:ascii="Times New Roman" w:hAnsi="Times New Roman" w:cs="Times New Roman"/>
                <w:sz w:val="24"/>
                <w:szCs w:val="24"/>
              </w:rPr>
              <w:t>O</w:t>
            </w:r>
            <w:r w:rsidRPr="00B1213E">
              <w:rPr>
                <w:rFonts w:ascii="Times New Roman" w:hAnsi="Times New Roman" w:cs="Times New Roman"/>
                <w:sz w:val="24"/>
                <w:szCs w:val="24"/>
                <w:vertAlign w:val="subscript"/>
              </w:rPr>
              <w:t>2</w:t>
            </w:r>
          </w:p>
        </w:tc>
        <w:tc>
          <w:tcPr>
            <w:tcW w:w="2911" w:type="dxa"/>
          </w:tcPr>
          <w:p w14:paraId="6A9D97C8" w14:textId="262657D8" w:rsidR="00075DA4" w:rsidRPr="00B1213E" w:rsidRDefault="00476A88"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3.9</w:t>
            </w:r>
          </w:p>
        </w:tc>
      </w:tr>
      <w:tr w:rsidR="00075DA4" w:rsidRPr="00B1213E" w14:paraId="1A5643C6" w14:textId="77777777" w:rsidTr="00204ADB">
        <w:trPr>
          <w:jc w:val="center"/>
        </w:trPr>
        <w:tc>
          <w:tcPr>
            <w:tcW w:w="2254" w:type="dxa"/>
            <w:tcBorders>
              <w:bottom w:val="single" w:sz="4" w:space="0" w:color="auto"/>
            </w:tcBorders>
          </w:tcPr>
          <w:p w14:paraId="4E929F95" w14:textId="34B4A468" w:rsidR="00075DA4" w:rsidRPr="00B1213E" w:rsidRDefault="00075DA4"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FORD</w:t>
            </w:r>
          </w:p>
        </w:tc>
        <w:tc>
          <w:tcPr>
            <w:tcW w:w="2566" w:type="dxa"/>
            <w:tcBorders>
              <w:bottom w:val="single" w:sz="4" w:space="0" w:color="auto"/>
            </w:tcBorders>
          </w:tcPr>
          <w:p w14:paraId="6A00FD2E" w14:textId="5C9D5D12" w:rsidR="00075DA4" w:rsidRPr="00B1213E" w:rsidRDefault="00204ADB"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0.25-3 mmol/L Trolox</w:t>
            </w:r>
          </w:p>
        </w:tc>
        <w:tc>
          <w:tcPr>
            <w:tcW w:w="2911" w:type="dxa"/>
            <w:tcBorders>
              <w:bottom w:val="single" w:sz="4" w:space="0" w:color="auto"/>
            </w:tcBorders>
          </w:tcPr>
          <w:p w14:paraId="42FDB6B0" w14:textId="401BDB3D" w:rsidR="00075DA4" w:rsidRPr="00B1213E" w:rsidRDefault="00476A88" w:rsidP="006A2877">
            <w:pPr>
              <w:spacing w:line="360" w:lineRule="auto"/>
              <w:jc w:val="center"/>
              <w:rPr>
                <w:rFonts w:ascii="Times New Roman" w:hAnsi="Times New Roman" w:cs="Times New Roman"/>
                <w:sz w:val="24"/>
                <w:szCs w:val="24"/>
              </w:rPr>
            </w:pPr>
            <w:r w:rsidRPr="00B1213E">
              <w:rPr>
                <w:rFonts w:ascii="Times New Roman" w:hAnsi="Times New Roman" w:cs="Times New Roman"/>
                <w:sz w:val="24"/>
                <w:szCs w:val="24"/>
              </w:rPr>
              <w:t>3.7</w:t>
            </w:r>
          </w:p>
        </w:tc>
      </w:tr>
      <w:bookmarkEnd w:id="5"/>
    </w:tbl>
    <w:p w14:paraId="0D4F2A64" w14:textId="77777777" w:rsidR="00114877" w:rsidRPr="00B1213E" w:rsidRDefault="00114877" w:rsidP="00027419">
      <w:pPr>
        <w:spacing w:after="0" w:line="360" w:lineRule="auto"/>
        <w:jc w:val="both"/>
        <w:rPr>
          <w:rFonts w:ascii="Times New Roman" w:hAnsi="Times New Roman" w:cs="Times New Roman"/>
          <w:sz w:val="24"/>
          <w:szCs w:val="24"/>
        </w:rPr>
      </w:pPr>
    </w:p>
    <w:p w14:paraId="2B84A78A" w14:textId="77777777" w:rsidR="005E335E" w:rsidRPr="00B1213E" w:rsidRDefault="005E335E" w:rsidP="00027419">
      <w:pPr>
        <w:spacing w:after="0" w:line="360" w:lineRule="auto"/>
        <w:jc w:val="both"/>
        <w:rPr>
          <w:rFonts w:ascii="Times New Roman" w:hAnsi="Times New Roman" w:cs="Times New Roman"/>
          <w:sz w:val="24"/>
          <w:szCs w:val="24"/>
        </w:rPr>
      </w:pPr>
    </w:p>
    <w:p w14:paraId="3D64A549" w14:textId="67AE316F" w:rsidR="000A388C" w:rsidRPr="00B1213E" w:rsidRDefault="3D9FB09B" w:rsidP="3D9FB09B">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Subjective Muscle Soreness</w:t>
      </w:r>
    </w:p>
    <w:p w14:paraId="1515198D" w14:textId="1271373B" w:rsidR="000A388C" w:rsidRPr="00B1213E" w:rsidRDefault="3D9FB09B" w:rsidP="3D9FB09B">
      <w:pPr>
        <w:pStyle w:val="Default"/>
        <w:spacing w:line="360" w:lineRule="auto"/>
        <w:ind w:firstLine="720"/>
        <w:jc w:val="both"/>
        <w:rPr>
          <w:rFonts w:ascii="Times New Roman" w:hAnsi="Times New Roman" w:cs="Times New Roman"/>
          <w:color w:val="auto"/>
        </w:rPr>
      </w:pPr>
      <w:r w:rsidRPr="00B1213E">
        <w:rPr>
          <w:rFonts w:ascii="Times New Roman" w:hAnsi="Times New Roman" w:cs="Times New Roman"/>
          <w:color w:val="auto"/>
        </w:rPr>
        <w:t>Perceived levels of muscle soreness were assessed using both the visual analogue scale (VAS) and the Borg CR-10 scale (BORG). Participants stood with their feet shoulder</w:t>
      </w:r>
      <w:r w:rsidR="002C3F41" w:rsidRPr="00B1213E">
        <w:rPr>
          <w:rFonts w:ascii="Times New Roman" w:hAnsi="Times New Roman" w:cs="Times New Roman"/>
          <w:color w:val="auto"/>
        </w:rPr>
        <w:t>-</w:t>
      </w:r>
      <w:r w:rsidRPr="00B1213E">
        <w:rPr>
          <w:rFonts w:ascii="Times New Roman" w:hAnsi="Times New Roman" w:cs="Times New Roman"/>
          <w:color w:val="auto"/>
        </w:rPr>
        <w:t>width apart and hands on their hips. They were instructed to perform at least two bodyweight squats before completing the pain scale assessments. VAS soreness was assessed by drawing a vertical line perpendicular to the continuum line (0</w:t>
      </w:r>
      <w:r w:rsidR="00B017EC" w:rsidRPr="00B1213E">
        <w:rPr>
          <w:rFonts w:ascii="Times New Roman" w:hAnsi="Times New Roman" w:cs="Times New Roman"/>
          <w:color w:val="auto"/>
        </w:rPr>
        <w:t xml:space="preserve"> </w:t>
      </w:r>
      <w:r w:rsidRPr="00B1213E">
        <w:rPr>
          <w:rFonts w:ascii="Times New Roman" w:hAnsi="Times New Roman" w:cs="Times New Roman"/>
          <w:color w:val="auto"/>
        </w:rPr>
        <w:t>mm = no soreness</w:t>
      </w:r>
      <w:r w:rsidR="002C3F41" w:rsidRPr="00B1213E">
        <w:rPr>
          <w:rFonts w:ascii="Times New Roman" w:hAnsi="Times New Roman" w:cs="Times New Roman"/>
          <w:color w:val="auto"/>
        </w:rPr>
        <w:t xml:space="preserve">; </w:t>
      </w:r>
      <w:r w:rsidRPr="00B1213E">
        <w:rPr>
          <w:rFonts w:ascii="Times New Roman" w:hAnsi="Times New Roman" w:cs="Times New Roman"/>
          <w:color w:val="auto"/>
        </w:rPr>
        <w:t>200</w:t>
      </w:r>
      <w:r w:rsidR="00B017EC" w:rsidRPr="00B1213E">
        <w:rPr>
          <w:rFonts w:ascii="Times New Roman" w:hAnsi="Times New Roman" w:cs="Times New Roman"/>
          <w:color w:val="auto"/>
        </w:rPr>
        <w:t xml:space="preserve"> </w:t>
      </w:r>
      <w:r w:rsidRPr="00B1213E">
        <w:rPr>
          <w:rFonts w:ascii="Times New Roman" w:hAnsi="Times New Roman" w:cs="Times New Roman"/>
          <w:color w:val="auto"/>
        </w:rPr>
        <w:t>mm = extreme soreness)</w:t>
      </w:r>
      <w:r w:rsidR="0010153D" w:rsidRPr="00B1213E">
        <w:rPr>
          <w:rFonts w:ascii="Times New Roman" w:hAnsi="Times New Roman" w:cs="Times New Roman"/>
          <w:color w:val="auto"/>
        </w:rPr>
        <w:t xml:space="preserve"> </w:t>
      </w:r>
      <w:r w:rsidR="0010153D" w:rsidRPr="00B1213E">
        <w:rPr>
          <w:rFonts w:ascii="Times New Roman" w:hAnsi="Times New Roman" w:cs="Times New Roman"/>
          <w:color w:val="auto"/>
        </w:rPr>
        <w:fldChar w:fldCharType="begin"/>
      </w:r>
      <w:r w:rsidR="00502DF6" w:rsidRPr="00B1213E">
        <w:rPr>
          <w:rFonts w:ascii="Times New Roman" w:hAnsi="Times New Roman" w:cs="Times New Roman"/>
          <w:color w:val="auto"/>
        </w:rPr>
        <w:instrText xml:space="preserve"> ADDIN ZOTERO_ITEM CSL_CITATION {"citationID":"BYGQyX5J","properties":{"formattedCitation":"(Bijur et al., 2001)","plainCitation":"(Bijur et al., 2001)","noteIndex":0},"citationItems":[{"id":138,"uris":["http://zotero.org/users/local/7vKBzLRM/items/U29ZJHXD"],"itemData":{"id":138,"type":"article-journal","abstract":"OBJECTIVE: Reliable and valid measures of pain are needed to advance research initiatives on appropriate and effective use of analgesia in the emergency department (ED). The reliability of visual analog scale (VAS) scores has not been demonstrated in the acute setting where pain fluctuation might be greater than for chronic pain. The objective of the study was to assess the reliability of the VAS for measurement of acute pain.\nMETHODS: This was a prospective convenience sample of adults with acute pain presenting to two EDs. Intraclass correlation coefficients (ICCs) with 95% confidence intervals (95% CIs) and a Bland-Altman analysis were used to assess reliability of paired VAS measurements obtained 1 minute apart every 30 minutes over two hours.\nRESULTS: The summary ICC for all paired VAS scores was 0.97 [95% CI = 0.96 to 0.98]. The Bland-Altman analysis showed that 50% of the paired measurements were within 2 mm of one another, 90% were within 9 mm, and 95% were within 16 mm. The paired measurements were more reproducible at the extremes of pain intensity than at moderate levels of pain.\nCONCLUSIONS: Reliability of the VAS for acute pain measurement as assessed by the ICC appears to be high. Ninety percent of the pain ratings were reproducible within 9 mm. These data suggest that the VAS is sufficiently reliable to be used to assess acute pain.","container-title":"Academic Emergency Medicine: Official Journal of the Society for Academic Emergency Medicine","DOI":"10.1111/j.1553-2712.2001.tb01132.x","ISSN":"1069-6563","issue":"12","journalAbbreviation":"Acad Emerg Med","language":"eng","note":"PMID: 11733293","page":"1153-1157","source":"PubMed","title":"Reliability of the visual analog scale for measurement of acute pain","volume":"8","author":[{"family":"Bijur","given":"P. E."},{"family":"Silver","given":"W."},{"family":"Gallagher","given":"E. J."}],"issued":{"date-parts":[["2001",12]]}}}],"schema":"https://github.com/citation-style-language/schema/raw/master/csl-citation.json"} </w:instrText>
      </w:r>
      <w:r w:rsidR="0010153D" w:rsidRPr="00B1213E">
        <w:rPr>
          <w:rFonts w:ascii="Times New Roman" w:hAnsi="Times New Roman" w:cs="Times New Roman"/>
          <w:color w:val="auto"/>
        </w:rPr>
        <w:fldChar w:fldCharType="separate"/>
      </w:r>
      <w:r w:rsidR="00502DF6" w:rsidRPr="00B1213E">
        <w:rPr>
          <w:rFonts w:ascii="Times New Roman" w:hAnsi="Times New Roman" w:cs="Times New Roman"/>
          <w:color w:val="auto"/>
        </w:rPr>
        <w:t>(Bijur et al., 2001)</w:t>
      </w:r>
      <w:r w:rsidR="0010153D" w:rsidRPr="00B1213E">
        <w:rPr>
          <w:rFonts w:ascii="Times New Roman" w:hAnsi="Times New Roman" w:cs="Times New Roman"/>
          <w:color w:val="auto"/>
        </w:rPr>
        <w:fldChar w:fldCharType="end"/>
      </w:r>
      <w:r w:rsidRPr="00B1213E">
        <w:rPr>
          <w:rFonts w:ascii="Times New Roman" w:hAnsi="Times New Roman" w:cs="Times New Roman"/>
          <w:color w:val="auto"/>
        </w:rPr>
        <w:t xml:space="preserve">. The Borg CR-10 scale was completed circling </w:t>
      </w:r>
      <w:r w:rsidR="008B65CC" w:rsidRPr="00B1213E">
        <w:rPr>
          <w:rFonts w:ascii="Times New Roman" w:hAnsi="Times New Roman" w:cs="Times New Roman"/>
          <w:color w:val="auto"/>
        </w:rPr>
        <w:t>the</w:t>
      </w:r>
      <w:r w:rsidRPr="00B1213E">
        <w:rPr>
          <w:rFonts w:ascii="Times New Roman" w:hAnsi="Times New Roman" w:cs="Times New Roman"/>
          <w:color w:val="auto"/>
        </w:rPr>
        <w:t xml:space="preserve"> number (0 = nothing at all</w:t>
      </w:r>
      <w:r w:rsidR="002C3F41" w:rsidRPr="00B1213E">
        <w:rPr>
          <w:rFonts w:ascii="Times New Roman" w:hAnsi="Times New Roman" w:cs="Times New Roman"/>
          <w:color w:val="auto"/>
        </w:rPr>
        <w:t>;</w:t>
      </w:r>
      <w:r w:rsidRPr="00B1213E">
        <w:rPr>
          <w:rFonts w:ascii="Times New Roman" w:hAnsi="Times New Roman" w:cs="Times New Roman"/>
          <w:color w:val="auto"/>
        </w:rPr>
        <w:t xml:space="preserve"> 10 = extremely strong)</w:t>
      </w:r>
      <w:r w:rsidR="008B65CC" w:rsidRPr="00B1213E">
        <w:rPr>
          <w:rFonts w:ascii="Times New Roman" w:hAnsi="Times New Roman" w:cs="Times New Roman"/>
          <w:color w:val="auto"/>
        </w:rPr>
        <w:t xml:space="preserve"> </w:t>
      </w:r>
      <w:r w:rsidR="009D7CE0" w:rsidRPr="00B1213E">
        <w:rPr>
          <w:rFonts w:ascii="Times New Roman" w:hAnsi="Times New Roman" w:cs="Times New Roman"/>
          <w:color w:val="auto"/>
        </w:rPr>
        <w:t>that</w:t>
      </w:r>
      <w:r w:rsidRPr="00B1213E">
        <w:rPr>
          <w:rFonts w:ascii="Times New Roman" w:hAnsi="Times New Roman" w:cs="Times New Roman"/>
          <w:color w:val="auto"/>
        </w:rPr>
        <w:t xml:space="preserve"> correlated best with their perceived pain </w:t>
      </w:r>
      <w:r w:rsidR="004C375D" w:rsidRPr="00B1213E">
        <w:rPr>
          <w:rFonts w:ascii="Times New Roman" w:hAnsi="Times New Roman" w:cs="Times New Roman"/>
          <w:color w:val="auto"/>
        </w:rPr>
        <w:fldChar w:fldCharType="begin"/>
      </w:r>
      <w:r w:rsidR="00502DF6" w:rsidRPr="00B1213E">
        <w:rPr>
          <w:rFonts w:ascii="Times New Roman" w:hAnsi="Times New Roman" w:cs="Times New Roman"/>
          <w:color w:val="auto"/>
        </w:rPr>
        <w:instrText xml:space="preserve"> ADDIN ZOTERO_ITEM CSL_CITATION {"citationID":"JvulKHMz","properties":{"formattedCitation":"(Borg, 1998)","plainCitation":"(Borg, 1998)","noteIndex":0},"citationItems":[{"id":12,"uris":["http://zotero.org/users/local/7vKBzLRM/items/HRNLW8PG"],"itemData":{"id":12,"type":"book","ISBN":"978-0-88011-623-7","note":"journalAbbreviation: Human Kinetics\ncontainer-title: Human Kinetics","source":"ResearchGate","title":"Borg's Perceived Exertion And Pain Scales","author":[{"family":"Borg","given":"Gunnar"}],"issued":{"date-parts":[["1998",7,1]]}}}],"schema":"https://github.com/citation-style-language/schema/raw/master/csl-citation.json"} </w:instrText>
      </w:r>
      <w:r w:rsidR="004C375D" w:rsidRPr="00B1213E">
        <w:rPr>
          <w:rFonts w:ascii="Times New Roman" w:hAnsi="Times New Roman" w:cs="Times New Roman"/>
          <w:color w:val="auto"/>
        </w:rPr>
        <w:fldChar w:fldCharType="separate"/>
      </w:r>
      <w:r w:rsidR="00502DF6" w:rsidRPr="00B1213E">
        <w:rPr>
          <w:rFonts w:ascii="Times New Roman" w:hAnsi="Times New Roman" w:cs="Times New Roman"/>
          <w:color w:val="auto"/>
        </w:rPr>
        <w:t>(Borg, 1998)</w:t>
      </w:r>
      <w:r w:rsidR="004C375D" w:rsidRPr="00B1213E">
        <w:rPr>
          <w:rFonts w:ascii="Times New Roman" w:hAnsi="Times New Roman" w:cs="Times New Roman"/>
          <w:color w:val="auto"/>
        </w:rPr>
        <w:fldChar w:fldCharType="end"/>
      </w:r>
      <w:r w:rsidRPr="00B1213E">
        <w:rPr>
          <w:rFonts w:ascii="Times New Roman" w:hAnsi="Times New Roman" w:cs="Times New Roman"/>
          <w:color w:val="auto"/>
        </w:rPr>
        <w:t>.</w:t>
      </w:r>
    </w:p>
    <w:p w14:paraId="5D9F6E31" w14:textId="77777777" w:rsidR="003C3113" w:rsidRPr="00B1213E" w:rsidRDefault="003C3113" w:rsidP="3D9FB09B">
      <w:pPr>
        <w:pStyle w:val="Default"/>
        <w:spacing w:line="360" w:lineRule="auto"/>
        <w:ind w:firstLine="720"/>
        <w:jc w:val="both"/>
        <w:rPr>
          <w:rFonts w:ascii="Times New Roman" w:hAnsi="Times New Roman" w:cs="Times New Roman"/>
          <w:color w:val="auto"/>
        </w:rPr>
      </w:pPr>
    </w:p>
    <w:p w14:paraId="68EA63B6" w14:textId="5F47491D" w:rsidR="00720961" w:rsidRPr="00B1213E" w:rsidRDefault="003349C1" w:rsidP="00027419">
      <w:pPr>
        <w:pStyle w:val="Default"/>
        <w:spacing w:line="360" w:lineRule="auto"/>
        <w:jc w:val="both"/>
        <w:rPr>
          <w:rFonts w:ascii="Times New Roman" w:hAnsi="Times New Roman" w:cs="Times New Roman"/>
          <w:i/>
          <w:iCs/>
          <w:color w:val="auto"/>
        </w:rPr>
      </w:pPr>
      <w:r w:rsidRPr="00B1213E">
        <w:rPr>
          <w:rFonts w:ascii="Times New Roman" w:hAnsi="Times New Roman" w:cs="Times New Roman"/>
          <w:i/>
          <w:iCs/>
          <w:color w:val="auto"/>
        </w:rPr>
        <w:t xml:space="preserve">Objective </w:t>
      </w:r>
      <w:r w:rsidR="00720961" w:rsidRPr="00B1213E">
        <w:rPr>
          <w:rFonts w:ascii="Times New Roman" w:hAnsi="Times New Roman" w:cs="Times New Roman"/>
          <w:i/>
          <w:iCs/>
          <w:color w:val="auto"/>
        </w:rPr>
        <w:t>Muscle Soreness</w:t>
      </w:r>
    </w:p>
    <w:p w14:paraId="28BBE608" w14:textId="5358DFB1" w:rsidR="00114877" w:rsidRPr="00B1213E" w:rsidRDefault="3D9FB09B" w:rsidP="00DB4D99">
      <w:pPr>
        <w:spacing w:after="0" w:line="360" w:lineRule="auto"/>
        <w:ind w:firstLine="720"/>
        <w:rPr>
          <w:rFonts w:ascii="Times New Roman" w:hAnsi="Times New Roman" w:cs="Times New Roman"/>
          <w:b/>
          <w:bCs/>
        </w:rPr>
      </w:pPr>
      <w:r w:rsidRPr="00B1213E">
        <w:rPr>
          <w:rFonts w:ascii="Times New Roman" w:hAnsi="Times New Roman" w:cs="Times New Roman"/>
        </w:rPr>
        <w:t xml:space="preserve">Pressure pain threshold (PPT) was used to </w:t>
      </w:r>
      <w:r w:rsidR="74065B49" w:rsidRPr="00B1213E">
        <w:rPr>
          <w:rFonts w:ascii="Times New Roman" w:hAnsi="Times New Roman" w:cs="Times New Roman"/>
        </w:rPr>
        <w:t>gauge</w:t>
      </w:r>
      <w:r w:rsidRPr="00B1213E">
        <w:rPr>
          <w:rFonts w:ascii="Times New Roman" w:hAnsi="Times New Roman" w:cs="Times New Roman"/>
        </w:rPr>
        <w:t xml:space="preserve"> objective muscle soreness in the </w:t>
      </w:r>
      <w:r w:rsidR="0063427C" w:rsidRPr="00B1213E">
        <w:rPr>
          <w:rFonts w:ascii="Times New Roman" w:hAnsi="Times New Roman" w:cs="Times New Roman"/>
        </w:rPr>
        <w:t>r</w:t>
      </w:r>
      <w:r w:rsidRPr="00B1213E">
        <w:rPr>
          <w:rFonts w:ascii="Times New Roman" w:hAnsi="Times New Roman" w:cs="Times New Roman"/>
        </w:rPr>
        <w:t xml:space="preserve">ectus </w:t>
      </w:r>
      <w:r w:rsidR="0063427C" w:rsidRPr="00B1213E">
        <w:rPr>
          <w:rFonts w:ascii="Times New Roman" w:hAnsi="Times New Roman" w:cs="Times New Roman"/>
        </w:rPr>
        <w:t>f</w:t>
      </w:r>
      <w:r w:rsidRPr="00B1213E">
        <w:rPr>
          <w:rFonts w:ascii="Times New Roman" w:hAnsi="Times New Roman" w:cs="Times New Roman"/>
        </w:rPr>
        <w:t xml:space="preserve">emoris muscle of the dominant leg. All PPT measurements were taken </w:t>
      </w:r>
      <w:r w:rsidR="14812407" w:rsidRPr="00B1213E">
        <w:rPr>
          <w:rFonts w:ascii="Times New Roman" w:hAnsi="Times New Roman" w:cs="Times New Roman"/>
        </w:rPr>
        <w:t xml:space="preserve">with participants lying </w:t>
      </w:r>
      <w:r w:rsidRPr="00B1213E">
        <w:rPr>
          <w:rFonts w:ascii="Times New Roman" w:hAnsi="Times New Roman" w:cs="Times New Roman"/>
        </w:rPr>
        <w:t>supine. The PPT site was located two</w:t>
      </w:r>
      <w:r w:rsidR="00434121" w:rsidRPr="00B1213E">
        <w:rPr>
          <w:rFonts w:ascii="Times New Roman" w:hAnsi="Times New Roman" w:cs="Times New Roman"/>
        </w:rPr>
        <w:t>-</w:t>
      </w:r>
      <w:r w:rsidRPr="00B1213E">
        <w:rPr>
          <w:rFonts w:ascii="Times New Roman" w:hAnsi="Times New Roman" w:cs="Times New Roman"/>
        </w:rPr>
        <w:t xml:space="preserve">thirds of the way down from the anterior superior iliac spine to the </w:t>
      </w:r>
      <w:r w:rsidR="00434121" w:rsidRPr="00B1213E">
        <w:rPr>
          <w:rFonts w:ascii="Times New Roman" w:hAnsi="Times New Roman" w:cs="Times New Roman"/>
        </w:rPr>
        <w:t>superior border</w:t>
      </w:r>
      <w:r w:rsidRPr="00B1213E">
        <w:rPr>
          <w:rFonts w:ascii="Times New Roman" w:hAnsi="Times New Roman" w:cs="Times New Roman"/>
        </w:rPr>
        <w:t xml:space="preserve"> of the patella, with the rectus femoris muscle belly palpated and marked. PPTs were assessed using a handheld mechanical pressure algometer (FPX, Wagner Instruments, Connecticut, USA) at a pressure rate of ~1 kg force per second (</w:t>
      </w:r>
      <w:bookmarkStart w:id="8" w:name="OLE_LINK3"/>
      <w:proofErr w:type="spellStart"/>
      <w:r w:rsidRPr="00B1213E">
        <w:rPr>
          <w:rFonts w:ascii="Times New Roman" w:hAnsi="Times New Roman" w:cs="Times New Roman"/>
        </w:rPr>
        <w:t>kgf</w:t>
      </w:r>
      <w:proofErr w:type="spellEnd"/>
      <w:r w:rsidRPr="00B1213E">
        <w:rPr>
          <w:rFonts w:ascii="Times New Roman" w:hAnsi="Times New Roman" w:cs="Times New Roman"/>
        </w:rPr>
        <w:t>/s</w:t>
      </w:r>
      <w:bookmarkEnd w:id="8"/>
      <w:r w:rsidRPr="00B1213E">
        <w:rPr>
          <w:rFonts w:ascii="Times New Roman" w:hAnsi="Times New Roman" w:cs="Times New Roman"/>
        </w:rPr>
        <w:t xml:space="preserve">) </w:t>
      </w:r>
      <w:r w:rsidR="00CA7940" w:rsidRPr="00B1213E">
        <w:rPr>
          <w:rFonts w:ascii="Times New Roman" w:hAnsi="Times New Roman" w:cs="Times New Roman"/>
        </w:rPr>
        <w:t>over a</w:t>
      </w:r>
      <w:r w:rsidRPr="00B1213E">
        <w:rPr>
          <w:rFonts w:ascii="Times New Roman" w:hAnsi="Times New Roman" w:cs="Times New Roman"/>
        </w:rPr>
        <w:t xml:space="preserve"> stimulation area of 1 cm</w:t>
      </w:r>
      <w:r w:rsidRPr="00B1213E">
        <w:rPr>
          <w:rFonts w:ascii="Times New Roman" w:hAnsi="Times New Roman" w:cs="Times New Roman"/>
          <w:vertAlign w:val="superscript"/>
        </w:rPr>
        <w:t xml:space="preserve">2 </w:t>
      </w:r>
      <w:r w:rsidR="00B91D9E" w:rsidRPr="00B1213E">
        <w:rPr>
          <w:rFonts w:ascii="Times New Roman" w:hAnsi="Times New Roman" w:cs="Times New Roman"/>
          <w:vertAlign w:val="superscript"/>
        </w:rPr>
        <w:fldChar w:fldCharType="begin"/>
      </w:r>
      <w:r w:rsidR="00502DF6" w:rsidRPr="00B1213E">
        <w:rPr>
          <w:rFonts w:ascii="Times New Roman" w:hAnsi="Times New Roman" w:cs="Times New Roman"/>
          <w:vertAlign w:val="superscript"/>
        </w:rPr>
        <w:instrText xml:space="preserve"> ADDIN ZOTERO_ITEM CSL_CITATION {"citationID":"qv9B7i4S","properties":{"formattedCitation":"(Sylwander et al., 2021; Vaegter et al., 2019)","plainCitation":"(Sylwander et al., 2021; Vaegter et al., 2019)","noteIndex":0},"citationItems":[{"id":112,"uris":["http://zotero.org/users/local/7vKBzLRM/items/2TLDNP63"],"itemData":{"id":112,"type":"article-journal","abstract":"BACKGROUND: Knee osteoarthritis (KOA), chronic widespread pain (CWP) and overweight/obesity are public health problems that often coincide, and there is a multifactorial and unclear relationship between them. The study aimed to (1) investigate pain sensitivity, assessed by pressure pain thresholds (PPTs), among women and men with knee pain and (2) associations with, respectively, radiographic KOA (rKOA), CWP, and overweight/obesity.\nMETHODS: Baseline data from an ongoing longitudinal study involving 280 individuals with knee pain in the 30-60 age group. Pain sensitivity was assessed by PPTs on eight different tender points using a pressure algometer. The participants' knees were x-rayed. Self-reported CWP and number of pain sites were assessed with a pain figure, and overweight/obesity was measured using body mass index (BMI), visceral fat area (VFA), and body fat percentage, assessed with a bioimpedance. Associations were analysed using regression analyses.\nRESULTS: Women reported lower PPTs than men (p &lt; 0.001), but no PPTs differences were found between those with and without rKOA. Low PPTs was associated with female sex, more pain sites, CWP, and a higher VFA and body fat percentage. The tender points second rib and the knees were most affected. The prevalence of CWP was 38 %.\nCONCLUSIONS: The modifiable factors, increased VFA, and body fat could be associated with increased pain sensitivity among individuals with knee pain. Longitudinal studies are needed to further investigate the associations.","container-title":"BMC musculoskeletal disorders","DOI":"10.1186/s12891-021-04408-0","ISSN":"1471-2474","issue":"1","journalAbbreviation":"BMC Musculoskelet Disord","language":"eng","note":"PMID: 34090387\nPMCID: PMC8180166","page":"516","source":"PubMed","title":"Pressure pain thresholds in individuals with knee pain: a cross-sectional study","title-short":"Pressure pain thresholds in individuals with knee pain","volume":"22","author":[{"family":"Sylwander","given":"Charlotte"},{"family":"Larsson","given":"Ingrid"},{"family":"Haglund","given":"Emma"},{"family":"Bergman","given":"Stefan"},{"family":"Andersson","given":"Maria L. E."}],"issued":{"date-parts":[["2021",6,5]]}}},{"id":120,"uris":["http://zotero.org/users/local/7vKBzLRM/items/5TMCL5VM"],"itemData":{"id":120,"type":"article-journal","abstract":"BACKGROUND: Isometric exercises decrease pressure pain sensitivity in exercising and nonexercising muscles known as exercise-induced hypoalgesia (EIH). No studies have assessed the test-retest reliability of EIH after isometric exercise. This study investigated the EIH on pressure pain thresholds (PPTs) after an isometric wall squat exercise. The relative and absolute test-retest reliability of the PPT as a test stimulus and the EIH response in exercising and nonexercising muscles were calculated.\nMETHODS: In two identical sessions, PPTs of the thigh and shoulder were assessed before and after three minutes of quiet rest and three minutes of wall squat exercise, respectively, in 35 healthy subjects. The relative test-retest reliability of PPT and EIH was determined using analysis of variance models, Person's r, and intraclass correlations (ICCs). The absolute test-retest reliability of EIH was determined based on PPT standard error of measurements and Cohen's kappa for agreement between sessions.\nRESULTS: Squat increased PPTs of exercising and nonexercising muscles by 16.8% ± 16.9% and 6.7% ± 12.9%, respectively (P &lt; 0.001), with no significant differences between sessions. PPTs within and between sessions showed moderately strong correlations (r ≥ 0.74) and excellent (ICC ≥ 0.84) within-session (rest) and between-session test-retest reliability. EIH responses of exercising and nonexercising muscles showed no systematic errors between sessions; however, the relative test-retest reliability was low (ICCs = 0.03-0.43), and agreement in EIH responders and nonresponders between sessions was not significant (κ &lt; 0.13, P &gt; 0.43).\nCONCLUSIONS: A wall squat exercise increased PPTs compared with quiet rest; however, the relative and absolute reliability of the EIH response was poor. Future research is warranted to investigate the reliability of EIH in clinical pain populations.","container-title":"Pain Medicine (Malden, Mass.)","DOI":"10.1093/pm/pny087","ISSN":"1526-4637","issue":"1","journalAbbreviation":"Pain Med","language":"eng","note":"PMID: 29788440","page":"129-137","source":"PubMed","title":"Exercise-Induced Hypoalgesia After Isometric Wall Squat Exercise: A Test-Retest Reliabilty Study","title-short":"Exercise-Induced Hypoalgesia After Isometric Wall Squat Exercise","volume":"20","author":[{"family":"Vaegter","given":"Henrik Bjarke"},{"family":"Lyng","given":"Kristian Damgaard"},{"family":"Yttereng","given":"Fredrik Wannebo"},{"family":"Christensen","given":"Mads Holst"},{"family":"Sørensen","given":"Mathias Brandhøj"},{"family":"Graven-Nielsen","given":"Thomas"}],"issued":{"date-parts":[["2019",1,1]]}}}],"schema":"https://github.com/citation-style-language/schema/raw/master/csl-citation.json"} </w:instrText>
      </w:r>
      <w:r w:rsidR="00B91D9E" w:rsidRPr="00B1213E">
        <w:rPr>
          <w:rFonts w:ascii="Times New Roman" w:hAnsi="Times New Roman" w:cs="Times New Roman"/>
          <w:vertAlign w:val="superscript"/>
        </w:rPr>
        <w:fldChar w:fldCharType="separate"/>
      </w:r>
      <w:r w:rsidR="00502DF6" w:rsidRPr="00B1213E">
        <w:rPr>
          <w:rFonts w:ascii="Times New Roman" w:hAnsi="Times New Roman" w:cs="Times New Roman"/>
        </w:rPr>
        <w:t>(Sylwander et al., 2021; Vaegter et al., 2019)</w:t>
      </w:r>
      <w:r w:rsidR="00B91D9E" w:rsidRPr="00B1213E">
        <w:rPr>
          <w:rFonts w:ascii="Times New Roman" w:hAnsi="Times New Roman" w:cs="Times New Roman"/>
          <w:vertAlign w:val="superscript"/>
        </w:rPr>
        <w:fldChar w:fldCharType="end"/>
      </w:r>
      <w:r w:rsidRPr="00B1213E">
        <w:rPr>
          <w:rFonts w:ascii="Times New Roman" w:hAnsi="Times New Roman" w:cs="Times New Roman"/>
        </w:rPr>
        <w:t xml:space="preserve">. Participants gave the verbal instruction “there” when the pressure was first perceived as painful, and PPT was quantified as the </w:t>
      </w:r>
      <w:proofErr w:type="spellStart"/>
      <w:r w:rsidRPr="00B1213E">
        <w:rPr>
          <w:rFonts w:ascii="Times New Roman" w:hAnsi="Times New Roman" w:cs="Times New Roman"/>
        </w:rPr>
        <w:t>kgf</w:t>
      </w:r>
      <w:proofErr w:type="spellEnd"/>
      <w:r w:rsidRPr="00B1213E">
        <w:rPr>
          <w:rFonts w:ascii="Times New Roman" w:hAnsi="Times New Roman" w:cs="Times New Roman"/>
        </w:rPr>
        <w:t xml:space="preserve"> applied at that point. Three PPT assessments were completed</w:t>
      </w:r>
      <w:r w:rsidR="0032387F" w:rsidRPr="00B1213E">
        <w:rPr>
          <w:rFonts w:ascii="Times New Roman" w:hAnsi="Times New Roman" w:cs="Times New Roman"/>
        </w:rPr>
        <w:t>, each</w:t>
      </w:r>
      <w:r w:rsidRPr="00B1213E">
        <w:rPr>
          <w:rFonts w:ascii="Times New Roman" w:hAnsi="Times New Roman" w:cs="Times New Roman"/>
        </w:rPr>
        <w:t xml:space="preserve"> separated by 1</w:t>
      </w:r>
      <w:r w:rsidR="00AF68E8" w:rsidRPr="00B1213E">
        <w:rPr>
          <w:rFonts w:ascii="Times New Roman" w:hAnsi="Times New Roman" w:cs="Times New Roman"/>
        </w:rPr>
        <w:t>-</w:t>
      </w:r>
      <w:r w:rsidRPr="00B1213E">
        <w:rPr>
          <w:rFonts w:ascii="Times New Roman" w:hAnsi="Times New Roman" w:cs="Times New Roman"/>
        </w:rPr>
        <w:t xml:space="preserve">min rest, and the mean </w:t>
      </w:r>
      <w:r w:rsidR="0032387F" w:rsidRPr="00B1213E">
        <w:rPr>
          <w:rFonts w:ascii="Times New Roman" w:hAnsi="Times New Roman" w:cs="Times New Roman"/>
        </w:rPr>
        <w:t xml:space="preserve">was </w:t>
      </w:r>
      <w:r w:rsidRPr="00B1213E">
        <w:rPr>
          <w:rFonts w:ascii="Times New Roman" w:hAnsi="Times New Roman" w:cs="Times New Roman"/>
        </w:rPr>
        <w:t xml:space="preserve">utilised for analysis. </w:t>
      </w:r>
      <w:r w:rsidR="15EB16B8" w:rsidRPr="00B1213E">
        <w:rPr>
          <w:rFonts w:ascii="Times New Roman" w:hAnsi="Times New Roman" w:cs="Times New Roman"/>
        </w:rPr>
        <w:t>During the pilot</w:t>
      </w:r>
      <w:r w:rsidR="4CA894F7" w:rsidRPr="00B1213E">
        <w:rPr>
          <w:rFonts w:ascii="Times New Roman" w:hAnsi="Times New Roman" w:cs="Times New Roman"/>
        </w:rPr>
        <w:t xml:space="preserve"> study</w:t>
      </w:r>
      <w:r w:rsidR="15EB16B8" w:rsidRPr="00B1213E">
        <w:rPr>
          <w:rFonts w:ascii="Times New Roman" w:hAnsi="Times New Roman" w:cs="Times New Roman"/>
        </w:rPr>
        <w:t xml:space="preserve">, PPTs and </w:t>
      </w:r>
      <w:r w:rsidR="00C2705D" w:rsidRPr="00B1213E">
        <w:rPr>
          <w:rFonts w:ascii="Times New Roman" w:hAnsi="Times New Roman" w:cs="Times New Roman"/>
        </w:rPr>
        <w:t>u</w:t>
      </w:r>
      <w:r w:rsidR="15EB16B8" w:rsidRPr="00B1213E">
        <w:rPr>
          <w:rFonts w:ascii="Times New Roman" w:hAnsi="Times New Roman" w:cs="Times New Roman"/>
        </w:rPr>
        <w:t xml:space="preserve">ltrasounds were assessed </w:t>
      </w:r>
      <w:r w:rsidR="00C2705D" w:rsidRPr="00B1213E">
        <w:rPr>
          <w:rFonts w:ascii="Times New Roman" w:hAnsi="Times New Roman" w:cs="Times New Roman"/>
        </w:rPr>
        <w:t>three</w:t>
      </w:r>
      <w:r w:rsidR="15EB16B8" w:rsidRPr="00B1213E">
        <w:rPr>
          <w:rFonts w:ascii="Times New Roman" w:hAnsi="Times New Roman" w:cs="Times New Roman"/>
        </w:rPr>
        <w:t xml:space="preserve"> times at 10-min intervals to </w:t>
      </w:r>
      <w:r w:rsidR="6019AD5D" w:rsidRPr="00B1213E">
        <w:rPr>
          <w:rFonts w:ascii="Times New Roman" w:hAnsi="Times New Roman" w:cs="Times New Roman"/>
        </w:rPr>
        <w:t xml:space="preserve">estimate </w:t>
      </w:r>
      <w:r w:rsidR="4BB79D82" w:rsidRPr="00B1213E">
        <w:rPr>
          <w:rFonts w:ascii="Times New Roman" w:hAnsi="Times New Roman" w:cs="Times New Roman"/>
        </w:rPr>
        <w:t>intra</w:t>
      </w:r>
      <w:r w:rsidR="00937947" w:rsidRPr="00B1213E">
        <w:rPr>
          <w:rFonts w:ascii="Times New Roman" w:hAnsi="Times New Roman" w:cs="Times New Roman"/>
        </w:rPr>
        <w:t>-</w:t>
      </w:r>
      <w:r w:rsidR="4BB79D82" w:rsidRPr="00B1213E">
        <w:rPr>
          <w:rFonts w:ascii="Times New Roman" w:hAnsi="Times New Roman" w:cs="Times New Roman"/>
        </w:rPr>
        <w:t>rater</w:t>
      </w:r>
      <w:r w:rsidR="6019AD5D" w:rsidRPr="00B1213E">
        <w:rPr>
          <w:rFonts w:ascii="Times New Roman" w:hAnsi="Times New Roman" w:cs="Times New Roman"/>
        </w:rPr>
        <w:t xml:space="preserve"> reliability</w:t>
      </w:r>
      <w:r w:rsidR="4BD8A91D" w:rsidRPr="00B1213E">
        <w:rPr>
          <w:rFonts w:ascii="Times New Roman" w:hAnsi="Times New Roman" w:cs="Times New Roman"/>
        </w:rPr>
        <w:t xml:space="preserve"> among 13 participants</w:t>
      </w:r>
      <w:r w:rsidR="6019AD5D" w:rsidRPr="00B1213E">
        <w:rPr>
          <w:rFonts w:ascii="Times New Roman" w:hAnsi="Times New Roman" w:cs="Times New Roman"/>
        </w:rPr>
        <w:t xml:space="preserve"> using intraclas</w:t>
      </w:r>
      <w:r w:rsidR="710EF800" w:rsidRPr="00B1213E">
        <w:rPr>
          <w:rFonts w:ascii="Times New Roman" w:hAnsi="Times New Roman" w:cs="Times New Roman"/>
        </w:rPr>
        <w:t>s</w:t>
      </w:r>
      <w:r w:rsidR="6019AD5D" w:rsidRPr="00B1213E">
        <w:rPr>
          <w:rFonts w:ascii="Times New Roman" w:hAnsi="Times New Roman" w:cs="Times New Roman"/>
        </w:rPr>
        <w:t xml:space="preserve"> correlation coefficients (ICC). Minimum de</w:t>
      </w:r>
      <w:r w:rsidR="647D88BA" w:rsidRPr="00B1213E">
        <w:rPr>
          <w:rFonts w:ascii="Times New Roman" w:hAnsi="Times New Roman" w:cs="Times New Roman"/>
        </w:rPr>
        <w:t xml:space="preserve">tectable change (MDC) and standard error of </w:t>
      </w:r>
      <w:r w:rsidR="37D6130B" w:rsidRPr="00B1213E">
        <w:rPr>
          <w:rFonts w:ascii="Times New Roman" w:hAnsi="Times New Roman" w:cs="Times New Roman"/>
        </w:rPr>
        <w:t>measurement</w:t>
      </w:r>
      <w:r w:rsidR="647D88BA" w:rsidRPr="00B1213E">
        <w:rPr>
          <w:rFonts w:ascii="Times New Roman" w:hAnsi="Times New Roman" w:cs="Times New Roman"/>
        </w:rPr>
        <w:t xml:space="preserve"> (SEM) were calculated (</w:t>
      </w:r>
      <w:r w:rsidR="647D88BA" w:rsidRPr="00B1213E">
        <w:rPr>
          <w:rFonts w:ascii="Times New Roman" w:hAnsi="Times New Roman" w:cs="Times New Roman"/>
          <w:b/>
          <w:bCs/>
        </w:rPr>
        <w:t xml:space="preserve">Table </w:t>
      </w:r>
      <w:r w:rsidR="5D6F7541" w:rsidRPr="00B1213E">
        <w:rPr>
          <w:rFonts w:ascii="Times New Roman" w:hAnsi="Times New Roman" w:cs="Times New Roman"/>
          <w:b/>
          <w:bCs/>
        </w:rPr>
        <w:t>3</w:t>
      </w:r>
      <w:r w:rsidR="647D88BA" w:rsidRPr="00B1213E">
        <w:rPr>
          <w:rFonts w:ascii="Times New Roman" w:hAnsi="Times New Roman" w:cs="Times New Roman"/>
        </w:rPr>
        <w:t>).</w:t>
      </w:r>
      <w:r w:rsidR="00D71C93" w:rsidRPr="00B1213E">
        <w:rPr>
          <w:rFonts w:ascii="Times New Roman" w:hAnsi="Times New Roman" w:cs="Times New Roman"/>
        </w:rPr>
        <w:t xml:space="preserve"> Pilot testing revealed that Researcher A (who performed 98% of the pressure pain threshold [PPT] readings) had an average coefficient of variation (CV) of 3.76%, while Researcher B demonstrated a</w:t>
      </w:r>
      <w:r w:rsidR="00BD4E86" w:rsidRPr="00B1213E">
        <w:rPr>
          <w:rFonts w:ascii="Times New Roman" w:hAnsi="Times New Roman" w:cs="Times New Roman"/>
        </w:rPr>
        <w:t>n average</w:t>
      </w:r>
      <w:r w:rsidR="00D71C93" w:rsidRPr="00B1213E">
        <w:rPr>
          <w:rFonts w:ascii="Times New Roman" w:hAnsi="Times New Roman" w:cs="Times New Roman"/>
        </w:rPr>
        <w:t xml:space="preserve"> CV of 4.08%. To ensure consistency and reduce measurement variability, the same researcher assessed </w:t>
      </w:r>
      <w:proofErr w:type="gramStart"/>
      <w:r w:rsidR="00C2705D" w:rsidRPr="00B1213E">
        <w:rPr>
          <w:rFonts w:ascii="Times New Roman" w:hAnsi="Times New Roman" w:cs="Times New Roman"/>
        </w:rPr>
        <w:t>each</w:t>
      </w:r>
      <w:r w:rsidR="00D71C93" w:rsidRPr="00B1213E">
        <w:rPr>
          <w:rFonts w:ascii="Times New Roman" w:hAnsi="Times New Roman" w:cs="Times New Roman"/>
        </w:rPr>
        <w:t xml:space="preserve"> individual</w:t>
      </w:r>
      <w:proofErr w:type="gramEnd"/>
      <w:r w:rsidR="00D71C93" w:rsidRPr="00B1213E">
        <w:rPr>
          <w:rFonts w:ascii="Times New Roman" w:hAnsi="Times New Roman" w:cs="Times New Roman"/>
        </w:rPr>
        <w:t xml:space="preserve"> across all trials. This approach was employed to prevent inter-rater variability from confounding the results and to strengthen the internal validity of the data.</w:t>
      </w:r>
    </w:p>
    <w:p w14:paraId="6CE74390" w14:textId="77777777" w:rsidR="005E335E" w:rsidRPr="00B1213E" w:rsidRDefault="005E335E" w:rsidP="005E335E">
      <w:pPr>
        <w:spacing w:after="0" w:line="360" w:lineRule="auto"/>
        <w:jc w:val="both"/>
        <w:rPr>
          <w:rFonts w:ascii="Times New Roman" w:hAnsi="Times New Roman" w:cs="Times New Roman"/>
          <w:sz w:val="24"/>
          <w:szCs w:val="24"/>
        </w:rPr>
      </w:pPr>
    </w:p>
    <w:p w14:paraId="7F17E36B" w14:textId="77777777" w:rsidR="005E335E" w:rsidRPr="00B1213E" w:rsidRDefault="005E335E" w:rsidP="005E335E">
      <w:pPr>
        <w:pStyle w:val="Default"/>
        <w:spacing w:line="360" w:lineRule="auto"/>
        <w:rPr>
          <w:rFonts w:ascii="Times New Roman" w:hAnsi="Times New Roman" w:cs="Times New Roman"/>
          <w:color w:val="auto"/>
        </w:rPr>
      </w:pPr>
      <w:r w:rsidRPr="00B1213E">
        <w:rPr>
          <w:rFonts w:ascii="Times New Roman" w:hAnsi="Times New Roman" w:cs="Times New Roman"/>
          <w:b/>
          <w:bCs/>
          <w:color w:val="auto"/>
        </w:rPr>
        <w:t xml:space="preserve">Table 3. </w:t>
      </w:r>
      <w:r w:rsidRPr="00B1213E">
        <w:rPr>
          <w:rFonts w:ascii="Times New Roman" w:hAnsi="Times New Roman" w:cs="Times New Roman"/>
          <w:color w:val="auto"/>
        </w:rPr>
        <w:t xml:space="preserve">Reliability testing for PPT and Ultrasound measures. </w:t>
      </w:r>
    </w:p>
    <w:p w14:paraId="655D0A70" w14:textId="33DC1473" w:rsidR="00114877" w:rsidRPr="00B1213E" w:rsidRDefault="005E335E" w:rsidP="005E335E">
      <w:pPr>
        <w:pStyle w:val="Default"/>
        <w:spacing w:line="360" w:lineRule="auto"/>
        <w:jc w:val="both"/>
        <w:rPr>
          <w:rFonts w:ascii="Times New Roman" w:eastAsia="Times New Roman" w:hAnsi="Times New Roman" w:cs="Times New Roman"/>
          <w:color w:val="auto"/>
          <w:sz w:val="22"/>
          <w:szCs w:val="22"/>
        </w:rPr>
      </w:pPr>
      <w:r w:rsidRPr="00B1213E">
        <w:rPr>
          <w:rFonts w:ascii="Times New Roman" w:hAnsi="Times New Roman" w:cs="Times New Roman"/>
          <w:color w:val="auto"/>
        </w:rPr>
        <w:t>Means</w:t>
      </w:r>
      <w:r w:rsidRPr="00B1213E">
        <w:rPr>
          <w:rFonts w:ascii="Times New Roman" w:hAnsi="Times New Roman" w:cs="Times New Roman"/>
          <w:b/>
          <w:bCs/>
          <w:color w:val="auto"/>
        </w:rPr>
        <w:t xml:space="preserve"> </w:t>
      </w:r>
      <w:r w:rsidRPr="00B1213E">
        <w:rPr>
          <w:rFonts w:ascii="Times New Roman" w:eastAsia="Times New Roman" w:hAnsi="Times New Roman" w:cs="Times New Roman"/>
          <w:color w:val="auto"/>
          <w:sz w:val="22"/>
          <w:szCs w:val="22"/>
        </w:rPr>
        <w:t xml:space="preserve">± SD. PPT, Pressure pain threshold; ICC, intraclass correlation coefficient; SEM, standard error of measurement; MDC, minimal detectable change. </w:t>
      </w:r>
    </w:p>
    <w:tbl>
      <w:tblPr>
        <w:tblW w:w="0" w:type="auto"/>
        <w:jc w:val="center"/>
        <w:tblLayout w:type="fixed"/>
        <w:tblLook w:val="06A0" w:firstRow="1" w:lastRow="0" w:firstColumn="1" w:lastColumn="0" w:noHBand="1" w:noVBand="1"/>
      </w:tblPr>
      <w:tblGrid>
        <w:gridCol w:w="2189"/>
        <w:gridCol w:w="1572"/>
        <w:gridCol w:w="1372"/>
        <w:gridCol w:w="1376"/>
        <w:gridCol w:w="1381"/>
      </w:tblGrid>
      <w:tr w:rsidR="00B1213E" w:rsidRPr="00B1213E" w14:paraId="41D180B2" w14:textId="77777777" w:rsidTr="006A2877">
        <w:trPr>
          <w:trHeight w:val="285"/>
          <w:jc w:val="center"/>
        </w:trPr>
        <w:tc>
          <w:tcPr>
            <w:tcW w:w="2189" w:type="dxa"/>
            <w:tcBorders>
              <w:top w:val="single" w:sz="4" w:space="0" w:color="auto"/>
              <w:left w:val="nil"/>
              <w:bottom w:val="single" w:sz="4" w:space="0" w:color="auto"/>
              <w:right w:val="nil"/>
            </w:tcBorders>
            <w:tcMar>
              <w:top w:w="15" w:type="dxa"/>
              <w:left w:w="15" w:type="dxa"/>
              <w:right w:w="15" w:type="dxa"/>
            </w:tcMar>
            <w:vAlign w:val="center"/>
          </w:tcPr>
          <w:p w14:paraId="2DDCA553" w14:textId="77777777" w:rsidR="005E335E" w:rsidRPr="00B1213E" w:rsidRDefault="005E335E" w:rsidP="006A2877">
            <w:pPr>
              <w:spacing w:after="0" w:line="360" w:lineRule="auto"/>
              <w:jc w:val="center"/>
              <w:rPr>
                <w:rFonts w:ascii="Times New Roman" w:eastAsia="Times New Roman" w:hAnsi="Times New Roman" w:cs="Times New Roman"/>
              </w:rPr>
            </w:pPr>
            <w:bookmarkStart w:id="9" w:name="_Hlk199239014"/>
            <w:r w:rsidRPr="00B1213E">
              <w:rPr>
                <w:rFonts w:ascii="Times New Roman" w:eastAsia="Times New Roman" w:hAnsi="Times New Roman" w:cs="Times New Roman"/>
              </w:rPr>
              <w:t>Method</w:t>
            </w:r>
          </w:p>
        </w:tc>
        <w:tc>
          <w:tcPr>
            <w:tcW w:w="1572" w:type="dxa"/>
            <w:tcBorders>
              <w:top w:val="single" w:sz="4" w:space="0" w:color="auto"/>
              <w:left w:val="nil"/>
              <w:bottom w:val="single" w:sz="4" w:space="0" w:color="auto"/>
              <w:right w:val="nil"/>
            </w:tcBorders>
            <w:tcMar>
              <w:top w:w="15" w:type="dxa"/>
              <w:left w:w="15" w:type="dxa"/>
              <w:right w:w="15" w:type="dxa"/>
            </w:tcMar>
            <w:vAlign w:val="center"/>
          </w:tcPr>
          <w:p w14:paraId="04BF2CE9" w14:textId="77777777" w:rsidR="005E335E" w:rsidRPr="00B1213E" w:rsidRDefault="005E335E" w:rsidP="006A2877">
            <w:pPr>
              <w:spacing w:after="0" w:line="360" w:lineRule="auto"/>
              <w:jc w:val="center"/>
              <w:rPr>
                <w:rFonts w:ascii="Times New Roman" w:eastAsia="Times New Roman" w:hAnsi="Times New Roman" w:cs="Times New Roman"/>
              </w:rPr>
            </w:pPr>
            <w:r w:rsidRPr="00B1213E">
              <w:rPr>
                <w:rFonts w:ascii="Times New Roman" w:eastAsia="Times New Roman" w:hAnsi="Times New Roman" w:cs="Times New Roman"/>
              </w:rPr>
              <w:t>Value</w:t>
            </w:r>
          </w:p>
        </w:tc>
        <w:tc>
          <w:tcPr>
            <w:tcW w:w="1372" w:type="dxa"/>
            <w:tcBorders>
              <w:top w:val="single" w:sz="4" w:space="0" w:color="auto"/>
              <w:left w:val="nil"/>
              <w:bottom w:val="single" w:sz="4" w:space="0" w:color="auto"/>
              <w:right w:val="nil"/>
            </w:tcBorders>
            <w:tcMar>
              <w:top w:w="15" w:type="dxa"/>
              <w:left w:w="15" w:type="dxa"/>
              <w:right w:w="15" w:type="dxa"/>
            </w:tcMar>
            <w:vAlign w:val="center"/>
          </w:tcPr>
          <w:p w14:paraId="352A8C42" w14:textId="77777777" w:rsidR="005E335E" w:rsidRPr="00B1213E" w:rsidRDefault="005E335E" w:rsidP="006A2877">
            <w:pPr>
              <w:spacing w:after="0" w:line="360" w:lineRule="auto"/>
              <w:jc w:val="center"/>
              <w:rPr>
                <w:rFonts w:ascii="Times New Roman" w:eastAsia="Times New Roman" w:hAnsi="Times New Roman" w:cs="Times New Roman"/>
              </w:rPr>
            </w:pPr>
            <w:r w:rsidRPr="00B1213E">
              <w:rPr>
                <w:rFonts w:ascii="Times New Roman" w:eastAsia="Times New Roman" w:hAnsi="Times New Roman" w:cs="Times New Roman"/>
              </w:rPr>
              <w:t>ICC</w:t>
            </w:r>
          </w:p>
        </w:tc>
        <w:tc>
          <w:tcPr>
            <w:tcW w:w="1376" w:type="dxa"/>
            <w:tcBorders>
              <w:top w:val="single" w:sz="4" w:space="0" w:color="auto"/>
              <w:left w:val="nil"/>
              <w:bottom w:val="single" w:sz="4" w:space="0" w:color="auto"/>
              <w:right w:val="nil"/>
            </w:tcBorders>
            <w:tcMar>
              <w:top w:w="15" w:type="dxa"/>
              <w:left w:w="15" w:type="dxa"/>
              <w:right w:w="15" w:type="dxa"/>
            </w:tcMar>
            <w:vAlign w:val="center"/>
          </w:tcPr>
          <w:p w14:paraId="3C53A0DC" w14:textId="77777777" w:rsidR="005E335E" w:rsidRPr="00B1213E" w:rsidRDefault="005E335E" w:rsidP="006A2877">
            <w:pPr>
              <w:spacing w:after="0" w:line="360" w:lineRule="auto"/>
              <w:jc w:val="center"/>
              <w:rPr>
                <w:rFonts w:ascii="Times New Roman" w:eastAsia="Times New Roman" w:hAnsi="Times New Roman" w:cs="Times New Roman"/>
              </w:rPr>
            </w:pPr>
            <w:r w:rsidRPr="00B1213E">
              <w:rPr>
                <w:rFonts w:ascii="Times New Roman" w:eastAsia="Times New Roman" w:hAnsi="Times New Roman" w:cs="Times New Roman"/>
              </w:rPr>
              <w:t>SEM</w:t>
            </w:r>
          </w:p>
        </w:tc>
        <w:tc>
          <w:tcPr>
            <w:tcW w:w="1381" w:type="dxa"/>
            <w:tcBorders>
              <w:top w:val="single" w:sz="4" w:space="0" w:color="auto"/>
              <w:left w:val="nil"/>
              <w:bottom w:val="single" w:sz="4" w:space="0" w:color="auto"/>
              <w:right w:val="nil"/>
            </w:tcBorders>
            <w:tcMar>
              <w:top w:w="15" w:type="dxa"/>
              <w:left w:w="15" w:type="dxa"/>
              <w:right w:w="15" w:type="dxa"/>
            </w:tcMar>
            <w:vAlign w:val="center"/>
          </w:tcPr>
          <w:p w14:paraId="6F4EEC70" w14:textId="77777777" w:rsidR="005E335E" w:rsidRPr="00B1213E" w:rsidRDefault="005E335E" w:rsidP="006A2877">
            <w:pPr>
              <w:spacing w:after="0" w:line="360" w:lineRule="auto"/>
              <w:jc w:val="center"/>
              <w:rPr>
                <w:rFonts w:ascii="Times New Roman" w:eastAsia="Times New Roman" w:hAnsi="Times New Roman" w:cs="Times New Roman"/>
              </w:rPr>
            </w:pPr>
            <w:r w:rsidRPr="00B1213E">
              <w:rPr>
                <w:rFonts w:ascii="Times New Roman" w:eastAsia="Times New Roman" w:hAnsi="Times New Roman" w:cs="Times New Roman"/>
              </w:rPr>
              <w:t>MDC</w:t>
            </w:r>
          </w:p>
        </w:tc>
      </w:tr>
      <w:tr w:rsidR="00B1213E" w:rsidRPr="00B1213E" w14:paraId="6B927CC4" w14:textId="77777777" w:rsidTr="006A2877">
        <w:trPr>
          <w:trHeight w:val="315"/>
          <w:jc w:val="center"/>
        </w:trPr>
        <w:tc>
          <w:tcPr>
            <w:tcW w:w="2189" w:type="dxa"/>
            <w:tcBorders>
              <w:top w:val="single" w:sz="4" w:space="0" w:color="auto"/>
              <w:left w:val="nil"/>
              <w:bottom w:val="nil"/>
              <w:right w:val="nil"/>
            </w:tcBorders>
            <w:tcMar>
              <w:top w:w="15" w:type="dxa"/>
              <w:left w:w="15" w:type="dxa"/>
              <w:right w:w="15" w:type="dxa"/>
            </w:tcMar>
            <w:vAlign w:val="center"/>
          </w:tcPr>
          <w:p w14:paraId="1D42F7D2"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PPT (n = 11)</w:t>
            </w:r>
          </w:p>
        </w:tc>
        <w:tc>
          <w:tcPr>
            <w:tcW w:w="1572" w:type="dxa"/>
            <w:tcBorders>
              <w:top w:val="single" w:sz="4" w:space="0" w:color="auto"/>
              <w:left w:val="nil"/>
              <w:bottom w:val="nil"/>
              <w:right w:val="nil"/>
            </w:tcBorders>
            <w:tcMar>
              <w:top w:w="15" w:type="dxa"/>
              <w:left w:w="15" w:type="dxa"/>
              <w:right w:w="15" w:type="dxa"/>
            </w:tcMar>
            <w:vAlign w:val="center"/>
          </w:tcPr>
          <w:p w14:paraId="2D29EDE2"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5.21 ± 0.21</w:t>
            </w:r>
          </w:p>
        </w:tc>
        <w:tc>
          <w:tcPr>
            <w:tcW w:w="1372" w:type="dxa"/>
            <w:tcBorders>
              <w:top w:val="single" w:sz="4" w:space="0" w:color="auto"/>
              <w:left w:val="nil"/>
              <w:bottom w:val="nil"/>
              <w:right w:val="nil"/>
            </w:tcBorders>
            <w:tcMar>
              <w:top w:w="15" w:type="dxa"/>
              <w:left w:w="15" w:type="dxa"/>
              <w:right w:w="15" w:type="dxa"/>
            </w:tcMar>
            <w:vAlign w:val="center"/>
          </w:tcPr>
          <w:p w14:paraId="3C97D297"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0.99</w:t>
            </w:r>
          </w:p>
        </w:tc>
        <w:tc>
          <w:tcPr>
            <w:tcW w:w="1376" w:type="dxa"/>
            <w:tcBorders>
              <w:top w:val="single" w:sz="4" w:space="0" w:color="auto"/>
              <w:left w:val="nil"/>
              <w:bottom w:val="nil"/>
              <w:right w:val="nil"/>
            </w:tcBorders>
            <w:tcMar>
              <w:top w:w="15" w:type="dxa"/>
              <w:left w:w="15" w:type="dxa"/>
              <w:right w:w="15" w:type="dxa"/>
            </w:tcMar>
            <w:vAlign w:val="center"/>
          </w:tcPr>
          <w:p w14:paraId="2776BC61"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0.19</w:t>
            </w:r>
          </w:p>
        </w:tc>
        <w:tc>
          <w:tcPr>
            <w:tcW w:w="1381" w:type="dxa"/>
            <w:tcBorders>
              <w:top w:val="single" w:sz="4" w:space="0" w:color="auto"/>
              <w:left w:val="nil"/>
              <w:bottom w:val="nil"/>
              <w:right w:val="nil"/>
            </w:tcBorders>
            <w:tcMar>
              <w:top w:w="15" w:type="dxa"/>
              <w:left w:w="15" w:type="dxa"/>
              <w:right w:w="15" w:type="dxa"/>
            </w:tcMar>
            <w:vAlign w:val="center"/>
          </w:tcPr>
          <w:p w14:paraId="1125A0B2"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0.52</w:t>
            </w:r>
          </w:p>
        </w:tc>
      </w:tr>
      <w:tr w:rsidR="005E335E" w:rsidRPr="00B1213E" w14:paraId="5F3A2C61" w14:textId="77777777" w:rsidTr="006A2877">
        <w:trPr>
          <w:trHeight w:val="315"/>
          <w:jc w:val="center"/>
        </w:trPr>
        <w:tc>
          <w:tcPr>
            <w:tcW w:w="2189" w:type="dxa"/>
            <w:tcBorders>
              <w:top w:val="nil"/>
              <w:left w:val="nil"/>
              <w:bottom w:val="single" w:sz="4" w:space="0" w:color="auto"/>
              <w:right w:val="nil"/>
            </w:tcBorders>
            <w:tcMar>
              <w:top w:w="15" w:type="dxa"/>
              <w:left w:w="15" w:type="dxa"/>
              <w:right w:w="15" w:type="dxa"/>
            </w:tcMar>
            <w:vAlign w:val="center"/>
          </w:tcPr>
          <w:p w14:paraId="6DC95C91"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Ultrasound (n = 13)</w:t>
            </w:r>
          </w:p>
        </w:tc>
        <w:tc>
          <w:tcPr>
            <w:tcW w:w="1572" w:type="dxa"/>
            <w:tcBorders>
              <w:top w:val="nil"/>
              <w:left w:val="nil"/>
              <w:bottom w:val="single" w:sz="4" w:space="0" w:color="auto"/>
              <w:right w:val="nil"/>
            </w:tcBorders>
            <w:tcMar>
              <w:top w:w="15" w:type="dxa"/>
              <w:left w:w="15" w:type="dxa"/>
              <w:right w:w="15" w:type="dxa"/>
            </w:tcMar>
            <w:vAlign w:val="center"/>
          </w:tcPr>
          <w:p w14:paraId="60F12022"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 xml:space="preserve">23.81 ± 0.77 </w:t>
            </w:r>
          </w:p>
        </w:tc>
        <w:tc>
          <w:tcPr>
            <w:tcW w:w="1372" w:type="dxa"/>
            <w:tcBorders>
              <w:top w:val="nil"/>
              <w:left w:val="nil"/>
              <w:bottom w:val="single" w:sz="4" w:space="0" w:color="auto"/>
              <w:right w:val="nil"/>
            </w:tcBorders>
            <w:tcMar>
              <w:top w:w="15" w:type="dxa"/>
              <w:left w:w="15" w:type="dxa"/>
              <w:right w:w="15" w:type="dxa"/>
            </w:tcMar>
            <w:vAlign w:val="center"/>
          </w:tcPr>
          <w:p w14:paraId="1D6AA320"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0.99</w:t>
            </w:r>
          </w:p>
        </w:tc>
        <w:tc>
          <w:tcPr>
            <w:tcW w:w="1376" w:type="dxa"/>
            <w:tcBorders>
              <w:top w:val="nil"/>
              <w:left w:val="nil"/>
              <w:bottom w:val="single" w:sz="4" w:space="0" w:color="auto"/>
              <w:right w:val="nil"/>
            </w:tcBorders>
            <w:tcMar>
              <w:top w:w="15" w:type="dxa"/>
              <w:left w:w="15" w:type="dxa"/>
              <w:right w:w="15" w:type="dxa"/>
            </w:tcMar>
            <w:vAlign w:val="center"/>
          </w:tcPr>
          <w:p w14:paraId="1F00D63F"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0.54</w:t>
            </w:r>
          </w:p>
        </w:tc>
        <w:tc>
          <w:tcPr>
            <w:tcW w:w="1381" w:type="dxa"/>
            <w:tcBorders>
              <w:top w:val="nil"/>
              <w:left w:val="nil"/>
              <w:bottom w:val="single" w:sz="4" w:space="0" w:color="auto"/>
              <w:right w:val="nil"/>
            </w:tcBorders>
            <w:tcMar>
              <w:top w:w="15" w:type="dxa"/>
              <w:left w:w="15" w:type="dxa"/>
              <w:right w:w="15" w:type="dxa"/>
            </w:tcMar>
            <w:vAlign w:val="center"/>
          </w:tcPr>
          <w:p w14:paraId="7E27FDA2" w14:textId="77777777" w:rsidR="005E335E" w:rsidRPr="00B1213E" w:rsidRDefault="005E335E" w:rsidP="006A2877">
            <w:pPr>
              <w:spacing w:after="0" w:line="360" w:lineRule="auto"/>
              <w:jc w:val="center"/>
            </w:pPr>
            <w:r w:rsidRPr="00B1213E">
              <w:rPr>
                <w:rFonts w:ascii="Times New Roman" w:eastAsia="Times New Roman" w:hAnsi="Times New Roman" w:cs="Times New Roman"/>
              </w:rPr>
              <w:t>1.51</w:t>
            </w:r>
          </w:p>
        </w:tc>
      </w:tr>
      <w:bookmarkEnd w:id="9"/>
    </w:tbl>
    <w:p w14:paraId="7C9E2361" w14:textId="77777777" w:rsidR="005E335E" w:rsidRPr="00B1213E" w:rsidRDefault="005E335E" w:rsidP="00114877">
      <w:pPr>
        <w:pStyle w:val="Default"/>
        <w:spacing w:line="360" w:lineRule="auto"/>
        <w:jc w:val="center"/>
        <w:rPr>
          <w:rFonts w:ascii="Times New Roman" w:hAnsi="Times New Roman" w:cs="Times New Roman"/>
          <w:color w:val="auto"/>
        </w:rPr>
      </w:pPr>
    </w:p>
    <w:p w14:paraId="335C69CC" w14:textId="77777777" w:rsidR="3D9FB09B" w:rsidRPr="00B1213E" w:rsidRDefault="3D9FB09B" w:rsidP="3D9FB09B">
      <w:pPr>
        <w:pStyle w:val="Default"/>
        <w:spacing w:line="360" w:lineRule="auto"/>
        <w:jc w:val="both"/>
        <w:rPr>
          <w:rFonts w:ascii="Times New Roman" w:hAnsi="Times New Roman" w:cs="Times New Roman"/>
          <w:i/>
          <w:iCs/>
          <w:color w:val="auto"/>
        </w:rPr>
      </w:pPr>
      <w:r w:rsidRPr="00B1213E">
        <w:rPr>
          <w:rFonts w:ascii="Times New Roman" w:hAnsi="Times New Roman" w:cs="Times New Roman"/>
          <w:i/>
          <w:iCs/>
          <w:color w:val="auto"/>
        </w:rPr>
        <w:t>Ultrasound Assessment</w:t>
      </w:r>
    </w:p>
    <w:p w14:paraId="6C58966C" w14:textId="589DD778" w:rsidR="3D9FB09B" w:rsidRPr="00B1213E" w:rsidRDefault="3D9FB09B" w:rsidP="3D9FB09B">
      <w:pPr>
        <w:spacing w:after="0" w:line="360" w:lineRule="auto"/>
        <w:ind w:firstLine="1440"/>
        <w:jc w:val="both"/>
        <w:rPr>
          <w:rFonts w:ascii="Times New Roman" w:hAnsi="Times New Roman" w:cs="Times New Roman"/>
          <w:sz w:val="24"/>
          <w:szCs w:val="24"/>
        </w:rPr>
      </w:pPr>
      <w:r w:rsidRPr="00B1213E">
        <w:rPr>
          <w:rFonts w:ascii="Times New Roman" w:hAnsi="Times New Roman" w:cs="Times New Roman"/>
          <w:sz w:val="24"/>
          <w:szCs w:val="24"/>
        </w:rPr>
        <w:t>Muscle swelling was assessed using a 2D ultrasound scanning device (</w:t>
      </w:r>
      <w:proofErr w:type="spellStart"/>
      <w:r w:rsidRPr="00B1213E">
        <w:rPr>
          <w:rFonts w:ascii="Times New Roman" w:hAnsi="Times New Roman" w:cs="Times New Roman"/>
          <w:sz w:val="24"/>
          <w:szCs w:val="24"/>
        </w:rPr>
        <w:t>LogicScan</w:t>
      </w:r>
      <w:proofErr w:type="spellEnd"/>
      <w:r w:rsidRPr="00B1213E">
        <w:rPr>
          <w:rFonts w:ascii="Times New Roman" w:hAnsi="Times New Roman" w:cs="Times New Roman"/>
          <w:sz w:val="24"/>
          <w:szCs w:val="24"/>
        </w:rPr>
        <w:t xml:space="preserve"> 128 EXT-1Z, </w:t>
      </w:r>
      <w:proofErr w:type="spellStart"/>
      <w:r w:rsidRPr="00B1213E">
        <w:rPr>
          <w:rFonts w:ascii="Times New Roman" w:hAnsi="Times New Roman" w:cs="Times New Roman"/>
          <w:sz w:val="24"/>
          <w:szCs w:val="24"/>
        </w:rPr>
        <w:t>Telemed</w:t>
      </w:r>
      <w:proofErr w:type="spellEnd"/>
      <w:r w:rsidRPr="00B1213E">
        <w:rPr>
          <w:rFonts w:ascii="Times New Roman" w:hAnsi="Times New Roman" w:cs="Times New Roman"/>
          <w:sz w:val="24"/>
          <w:szCs w:val="24"/>
        </w:rPr>
        <w:t xml:space="preserve">). While supine, the ultrasound assessment site was located and marked on the </w:t>
      </w:r>
      <w:r w:rsidR="009A58A8" w:rsidRPr="00B1213E">
        <w:rPr>
          <w:rFonts w:ascii="Times New Roman" w:hAnsi="Times New Roman" w:cs="Times New Roman"/>
          <w:sz w:val="24"/>
          <w:szCs w:val="24"/>
        </w:rPr>
        <w:t>v</w:t>
      </w:r>
      <w:r w:rsidRPr="00B1213E">
        <w:rPr>
          <w:rFonts w:ascii="Times New Roman" w:hAnsi="Times New Roman" w:cs="Times New Roman"/>
          <w:sz w:val="24"/>
          <w:szCs w:val="24"/>
        </w:rPr>
        <w:t xml:space="preserve">astus </w:t>
      </w:r>
      <w:r w:rsidR="009A58A8" w:rsidRPr="00B1213E">
        <w:rPr>
          <w:rFonts w:ascii="Times New Roman" w:hAnsi="Times New Roman" w:cs="Times New Roman"/>
          <w:sz w:val="24"/>
          <w:szCs w:val="24"/>
        </w:rPr>
        <w:t>l</w:t>
      </w:r>
      <w:r w:rsidRPr="00B1213E">
        <w:rPr>
          <w:rFonts w:ascii="Times New Roman" w:hAnsi="Times New Roman" w:cs="Times New Roman"/>
          <w:sz w:val="24"/>
          <w:szCs w:val="24"/>
        </w:rPr>
        <w:t>ateralis o</w:t>
      </w:r>
      <w:r w:rsidR="00C2705D" w:rsidRPr="00B1213E">
        <w:rPr>
          <w:rFonts w:ascii="Times New Roman" w:hAnsi="Times New Roman" w:cs="Times New Roman"/>
          <w:sz w:val="24"/>
          <w:szCs w:val="24"/>
        </w:rPr>
        <w:t>f</w:t>
      </w:r>
      <w:r w:rsidRPr="00B1213E">
        <w:rPr>
          <w:rFonts w:ascii="Times New Roman" w:hAnsi="Times New Roman" w:cs="Times New Roman"/>
          <w:sz w:val="24"/>
          <w:szCs w:val="24"/>
        </w:rPr>
        <w:t xml:space="preserve"> the dominant leg. To locate the site</w:t>
      </w:r>
      <w:r w:rsidR="004063CE"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muscle girth (cm) was first measured across the PPT site of the rectus femoris, and then 10% of the </w:t>
      </w:r>
      <w:r w:rsidR="008B5976" w:rsidRPr="00B1213E">
        <w:rPr>
          <w:rFonts w:ascii="Times New Roman" w:hAnsi="Times New Roman" w:cs="Times New Roman"/>
          <w:sz w:val="24"/>
          <w:szCs w:val="24"/>
        </w:rPr>
        <w:t>circumference</w:t>
      </w:r>
      <w:r w:rsidRPr="00B1213E">
        <w:rPr>
          <w:rFonts w:ascii="Times New Roman" w:hAnsi="Times New Roman" w:cs="Times New Roman"/>
          <w:sz w:val="24"/>
          <w:szCs w:val="24"/>
        </w:rPr>
        <w:t xml:space="preserve"> was calculated distal to the PPT marker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{"citationID":"k5ps2Yw4","properties":{"formattedCitation":"(Pasta et al., 2010)","plainCitation":"(Pasta et al., 2010)","noteIndex":0},"citationItems":[{"id":81,"uris":["http://zotero.org/users/local/7vKBzLRM/items/ICWEGJQN"],"itemData":{"id":81,"type":"article-journal","abstract":"Lesions of the quadriceps muscle (QM) are frequently seen by sonographers, and in most cases they are the result of sports-related trauma. An accurate assessment of the severity of the lesion is essential, particularly when the patient is a professional athlete. In most cases, careful history-taking and a thorough physical examination are sufficient for making the diagnosis and indicating the most suitable imaging studies for each case. Clinical assessment alone, however, may not be sufficient for distinguishing contusions from small, partial tears or for estimating the size of a tear. Therefore, at least in patients who are professional athletes, imaging studies are necessary to plan appropriate therapy that will allow prompt functional recovery. Muscles cannot be visualized with conventional radiography, but it is used routinely in prepubertal patients because it can detect apophyseal detachments, which are the most frequent muscle lesion in this age group. Radiography is also useful when myositis ossificans is suspected. Magnetic resonance imaging, thanks to its excellent tissue contrast, allows simultaneous assessment of muscle, joint, and bone planes. It remains a second-line study due to its high cost and relatively low availability. It is also associated with various contraindications, the most important of which is the presence of a cardiac pacemaker. Ultrasonography has a number of advantages, including widespread availability, absence of contraindications, and low cost. It can also be used for dynamic studies of the muscle during contraction and relaxation, and if doubts arise, scans can easily be obtained of the contralateral muscle for comparison purposes. These qualities make it an excellent tool for follow-up of patients with QM lesions, when follow-up is necessary. This article reviews the anatomy of the QM, the technique used for standard ultrasound examination of this muscle, its normal appearance on ultrasound, and the sonographic characteristics of the most common traumatic lesions that affect it.","container-title":"Journal of Ultrasound","DOI":"10.1016/j.jus.2010.07.004","ISSN":"1971-3495","issue":"2","journalAbbreviation":"J Ultrasound","language":"eng","note":"PMID: 23396806\nPMCID: PMC3553199","page":"76-84","source":"PubMed","title":"Sonography of the quadriceps muscle: Examination technique, normal anatomy, and traumatic lesions","title-short":"Sonography of the quadriceps muscle","volume":"13","author":[{"family":"Pasta","given":"G."},{"family":"Nanni","given":"G."},{"family":"Molini","given":"L."},{"family":"Bianchi","given":"S."}],"issued":{"date-parts":[["2010",6]]}}}],"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(Pasta et al., 2010)</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All images were taken at </w:t>
      </w:r>
      <w:r w:rsidR="00D25A2B" w:rsidRPr="00B1213E">
        <w:rPr>
          <w:rFonts w:ascii="Times New Roman" w:hAnsi="Times New Roman" w:cs="Times New Roman"/>
          <w:sz w:val="24"/>
          <w:szCs w:val="24"/>
        </w:rPr>
        <w:t>a</w:t>
      </w:r>
      <w:r w:rsidRPr="00B1213E">
        <w:rPr>
          <w:rFonts w:ascii="Times New Roman" w:hAnsi="Times New Roman" w:cs="Times New Roman"/>
          <w:sz w:val="24"/>
          <w:szCs w:val="24"/>
        </w:rPr>
        <w:t xml:space="preserve"> depth of 70</w:t>
      </w:r>
      <w:r w:rsidR="000C1870"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mm, with the mean of three images used for analysis. The distance (mm) </w:t>
      </w:r>
      <w:r w:rsidR="00D25A2B" w:rsidRPr="00B1213E">
        <w:rPr>
          <w:rFonts w:ascii="Times New Roman" w:hAnsi="Times New Roman" w:cs="Times New Roman"/>
          <w:sz w:val="24"/>
          <w:szCs w:val="24"/>
        </w:rPr>
        <w:t xml:space="preserve">between </w:t>
      </w:r>
      <w:r w:rsidRPr="00B1213E">
        <w:rPr>
          <w:rFonts w:ascii="Times New Roman" w:hAnsi="Times New Roman" w:cs="Times New Roman"/>
          <w:sz w:val="24"/>
          <w:szCs w:val="24"/>
        </w:rPr>
        <w:t>the superior aponeurosis and inferior aponeurosis was calculated using ImageJ (US</w:t>
      </w:r>
      <w:r w:rsidR="00853676" w:rsidRPr="00B1213E">
        <w:rPr>
          <w:rFonts w:ascii="Times New Roman" w:hAnsi="Times New Roman" w:cs="Times New Roman"/>
          <w:sz w:val="24"/>
          <w:szCs w:val="24"/>
        </w:rPr>
        <w:t xml:space="preserve"> </w:t>
      </w:r>
      <w:r w:rsidRPr="00B1213E">
        <w:rPr>
          <w:rFonts w:ascii="Times New Roman" w:hAnsi="Times New Roman" w:cs="Times New Roman"/>
          <w:sz w:val="24"/>
          <w:szCs w:val="24"/>
        </w:rPr>
        <w:t>National Institutes of Health, Bethesda, Maryland, USA).</w:t>
      </w:r>
    </w:p>
    <w:p w14:paraId="71AFE68E" w14:textId="400D20D1" w:rsidR="3D9FB09B" w:rsidRPr="00B1213E" w:rsidRDefault="3D9FB09B" w:rsidP="4A0E2DAA">
      <w:pPr>
        <w:pStyle w:val="Default"/>
        <w:spacing w:line="360" w:lineRule="auto"/>
        <w:jc w:val="both"/>
        <w:rPr>
          <w:rFonts w:ascii="Times New Roman" w:hAnsi="Times New Roman" w:cs="Times New Roman"/>
          <w:i/>
          <w:iCs/>
          <w:color w:val="auto"/>
        </w:rPr>
      </w:pPr>
    </w:p>
    <w:p w14:paraId="4CC714E9" w14:textId="77777777" w:rsidR="00720961" w:rsidRPr="00B1213E" w:rsidRDefault="00720961" w:rsidP="00027419">
      <w:pPr>
        <w:pStyle w:val="Default"/>
        <w:spacing w:line="360" w:lineRule="auto"/>
        <w:jc w:val="both"/>
        <w:rPr>
          <w:rFonts w:ascii="Times New Roman" w:hAnsi="Times New Roman" w:cs="Times New Roman"/>
          <w:color w:val="auto"/>
        </w:rPr>
      </w:pPr>
      <w:r w:rsidRPr="00B1213E">
        <w:rPr>
          <w:rFonts w:ascii="Times New Roman" w:hAnsi="Times New Roman" w:cs="Times New Roman"/>
          <w:i/>
          <w:iCs/>
          <w:color w:val="auto"/>
        </w:rPr>
        <w:t xml:space="preserve">Muscle Function </w:t>
      </w:r>
    </w:p>
    <w:p w14:paraId="0C7A0ABC" w14:textId="250F8B4F" w:rsidR="00720961" w:rsidRPr="00B1213E" w:rsidRDefault="5D91636A" w:rsidP="00027419">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Maximal </w:t>
      </w:r>
      <w:r w:rsidR="26000DB1" w:rsidRPr="00B1213E">
        <w:rPr>
          <w:rFonts w:ascii="Times New Roman" w:hAnsi="Times New Roman" w:cs="Times New Roman"/>
          <w:sz w:val="24"/>
          <w:szCs w:val="24"/>
        </w:rPr>
        <w:t>i</w:t>
      </w:r>
      <w:r w:rsidRPr="00B1213E">
        <w:rPr>
          <w:rFonts w:ascii="Times New Roman" w:hAnsi="Times New Roman" w:cs="Times New Roman"/>
          <w:sz w:val="24"/>
          <w:szCs w:val="24"/>
        </w:rPr>
        <w:t>sokinetic strength (</w:t>
      </w:r>
      <w:r w:rsidR="501E097E" w:rsidRPr="00B1213E">
        <w:rPr>
          <w:rFonts w:ascii="Times New Roman" w:hAnsi="Times New Roman" w:cs="Times New Roman"/>
          <w:sz w:val="24"/>
          <w:szCs w:val="24"/>
        </w:rPr>
        <w:t>p</w:t>
      </w:r>
      <w:r w:rsidR="3D9FB09B" w:rsidRPr="00B1213E">
        <w:rPr>
          <w:rFonts w:ascii="Times New Roman" w:hAnsi="Times New Roman" w:cs="Times New Roman"/>
          <w:sz w:val="24"/>
          <w:szCs w:val="24"/>
        </w:rPr>
        <w:t>eak torque</w:t>
      </w:r>
      <w:r w:rsidR="2020BBD6" w:rsidRPr="00B1213E">
        <w:rPr>
          <w:rFonts w:ascii="Times New Roman" w:hAnsi="Times New Roman" w:cs="Times New Roman"/>
          <w:sz w:val="24"/>
          <w:szCs w:val="24"/>
        </w:rPr>
        <w:t>)</w:t>
      </w:r>
      <w:r w:rsidR="3D9FB09B" w:rsidRPr="00B1213E">
        <w:rPr>
          <w:rFonts w:ascii="Times New Roman" w:hAnsi="Times New Roman" w:cs="Times New Roman"/>
          <w:sz w:val="24"/>
          <w:szCs w:val="24"/>
        </w:rPr>
        <w:t xml:space="preserve"> of the quadriceps was measured using the Cybex Norm Isokinetic System (Computer Sports Medicine Inc., USA) at an angular velocity of 60°/s through full knee extension. Once in the starting position with the leg flexed at a 90° angle, participants forcefully extended their leg against resistance through the full range of motion for three continuous maximal repetitions per set, completing a total of three sets with a 1-min rest between each set. The highest recorded value was used for analysis.</w:t>
      </w:r>
    </w:p>
    <w:p w14:paraId="278EF406" w14:textId="77777777" w:rsidR="001205C6" w:rsidRPr="00B1213E" w:rsidRDefault="001205C6" w:rsidP="00027419">
      <w:pPr>
        <w:spacing w:after="0" w:line="360" w:lineRule="auto"/>
        <w:ind w:firstLine="720"/>
        <w:jc w:val="both"/>
        <w:rPr>
          <w:rFonts w:ascii="Times New Roman" w:hAnsi="Times New Roman" w:cs="Times New Roman"/>
          <w:sz w:val="24"/>
          <w:szCs w:val="24"/>
        </w:rPr>
      </w:pPr>
    </w:p>
    <w:p w14:paraId="428A5FF4" w14:textId="277E7647" w:rsidR="007C54EC" w:rsidRPr="00B1213E" w:rsidRDefault="00720961" w:rsidP="00027419">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Maximal </w:t>
      </w:r>
      <w:r w:rsidR="02689DE6" w:rsidRPr="00B1213E">
        <w:rPr>
          <w:rFonts w:ascii="Times New Roman" w:hAnsi="Times New Roman" w:cs="Times New Roman"/>
          <w:sz w:val="24"/>
          <w:szCs w:val="24"/>
        </w:rPr>
        <w:t>isometric endurance</w:t>
      </w:r>
      <w:r w:rsidRPr="00B1213E">
        <w:rPr>
          <w:rFonts w:ascii="Times New Roman" w:hAnsi="Times New Roman" w:cs="Times New Roman"/>
          <w:sz w:val="24"/>
          <w:szCs w:val="24"/>
        </w:rPr>
        <w:t xml:space="preserve"> for the knee extensors was tested at</w:t>
      </w:r>
      <w:r w:rsidR="009D377C" w:rsidRPr="00B1213E">
        <w:rPr>
          <w:rFonts w:ascii="Times New Roman" w:hAnsi="Times New Roman" w:cs="Times New Roman"/>
          <w:sz w:val="24"/>
          <w:szCs w:val="24"/>
        </w:rPr>
        <w:t xml:space="preserve"> a</w:t>
      </w:r>
      <w:r w:rsidRPr="00B1213E">
        <w:rPr>
          <w:rFonts w:ascii="Times New Roman" w:hAnsi="Times New Roman" w:cs="Times New Roman"/>
          <w:sz w:val="24"/>
          <w:szCs w:val="24"/>
        </w:rPr>
        <w:t xml:space="preserve"> 45° angle </w:t>
      </w:r>
      <w:r w:rsidR="009D377C" w:rsidRPr="00B1213E">
        <w:rPr>
          <w:rFonts w:ascii="Times New Roman" w:hAnsi="Times New Roman" w:cs="Times New Roman"/>
          <w:sz w:val="24"/>
          <w:szCs w:val="24"/>
        </w:rPr>
        <w:t xml:space="preserve">with </w:t>
      </w:r>
      <w:r w:rsidRPr="00B1213E">
        <w:rPr>
          <w:rFonts w:ascii="Times New Roman" w:hAnsi="Times New Roman" w:cs="Times New Roman"/>
          <w:sz w:val="24"/>
          <w:szCs w:val="24"/>
        </w:rPr>
        <w:t>the shin pad positioned 2 cm above the lateral malleolus of the fibula</w:t>
      </w:r>
      <w:r w:rsidR="00ED1AF4" w:rsidRPr="00B1213E">
        <w:rPr>
          <w:rFonts w:ascii="Times New Roman" w:hAnsi="Times New Roman" w:cs="Times New Roman"/>
          <w:sz w:val="24"/>
          <w:szCs w:val="24"/>
        </w:rPr>
        <w:t>,</w:t>
      </w:r>
      <w:r w:rsidRPr="00B1213E">
        <w:rPr>
          <w:rFonts w:ascii="Times New Roman" w:hAnsi="Times New Roman" w:cs="Times New Roman"/>
          <w:sz w:val="24"/>
          <w:szCs w:val="24"/>
        </w:rPr>
        <w:t xml:space="preserve"> attached to a load cell. </w:t>
      </w:r>
      <w:r w:rsidR="00995E80" w:rsidRPr="00B1213E">
        <w:rPr>
          <w:rFonts w:ascii="Times New Roman" w:hAnsi="Times New Roman" w:cs="Times New Roman"/>
          <w:sz w:val="24"/>
          <w:szCs w:val="24"/>
        </w:rPr>
        <w:t>Muscle endurance</w:t>
      </w:r>
      <w:r w:rsidRPr="00B1213E">
        <w:rPr>
          <w:rFonts w:ascii="Times New Roman" w:hAnsi="Times New Roman" w:cs="Times New Roman"/>
          <w:sz w:val="24"/>
          <w:szCs w:val="24"/>
        </w:rPr>
        <w:t xml:space="preserve"> was measured </w:t>
      </w:r>
      <w:r w:rsidR="00995E80" w:rsidRPr="00B1213E">
        <w:rPr>
          <w:rFonts w:ascii="Times New Roman" w:hAnsi="Times New Roman" w:cs="Times New Roman"/>
          <w:sz w:val="24"/>
          <w:szCs w:val="24"/>
        </w:rPr>
        <w:t>whilst holding an</w:t>
      </w:r>
      <w:r w:rsidRPr="00B1213E">
        <w:rPr>
          <w:rFonts w:ascii="Times New Roman" w:hAnsi="Times New Roman" w:cs="Times New Roman"/>
          <w:sz w:val="24"/>
          <w:szCs w:val="24"/>
        </w:rPr>
        <w:t xml:space="preserve"> isometric contraction at 50</w:t>
      </w:r>
      <w:r w:rsidR="00B020CB"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 of their </w:t>
      </w:r>
      <w:r w:rsidR="00995E80" w:rsidRPr="00B1213E">
        <w:rPr>
          <w:rFonts w:ascii="Times New Roman" w:hAnsi="Times New Roman" w:cs="Times New Roman"/>
          <w:sz w:val="24"/>
          <w:szCs w:val="24"/>
        </w:rPr>
        <w:t>peak torque for as long as possible. T</w:t>
      </w:r>
      <w:r w:rsidRPr="00B1213E">
        <w:rPr>
          <w:rFonts w:ascii="Times New Roman" w:hAnsi="Times New Roman" w:cs="Times New Roman"/>
          <w:sz w:val="24"/>
          <w:szCs w:val="24"/>
        </w:rPr>
        <w:t xml:space="preserve">he time was calculated from the beginning of force production to the point where the value dropped </w:t>
      </w:r>
      <w:r w:rsidR="00747DA5" w:rsidRPr="00B1213E">
        <w:rPr>
          <w:rFonts w:ascii="Times New Roman" w:hAnsi="Times New Roman" w:cs="Times New Roman"/>
          <w:sz w:val="24"/>
          <w:szCs w:val="24"/>
        </w:rPr>
        <w:t>below</w:t>
      </w:r>
      <w:r w:rsidRPr="00B1213E">
        <w:rPr>
          <w:rFonts w:ascii="Times New Roman" w:hAnsi="Times New Roman" w:cs="Times New Roman"/>
          <w:sz w:val="24"/>
          <w:szCs w:val="24"/>
        </w:rPr>
        <w:t xml:space="preserve"> the 10</w:t>
      </w:r>
      <w:r w:rsidR="00B017EC" w:rsidRPr="00B1213E">
        <w:rPr>
          <w:rFonts w:ascii="Times New Roman" w:hAnsi="Times New Roman" w:cs="Times New Roman"/>
          <w:sz w:val="24"/>
          <w:szCs w:val="24"/>
        </w:rPr>
        <w:t xml:space="preserve"> </w:t>
      </w:r>
      <w:r w:rsidRPr="00B1213E">
        <w:rPr>
          <w:rFonts w:ascii="Times New Roman" w:hAnsi="Times New Roman" w:cs="Times New Roman"/>
          <w:sz w:val="24"/>
          <w:szCs w:val="24"/>
        </w:rPr>
        <w:t>% threshold of the target (50</w:t>
      </w:r>
      <w:r w:rsidR="00B020CB"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 MVC) for </w:t>
      </w:r>
      <w:r w:rsidR="00975188" w:rsidRPr="00B1213E">
        <w:rPr>
          <w:rFonts w:ascii="Times New Roman" w:hAnsi="Times New Roman" w:cs="Times New Roman"/>
          <w:sz w:val="24"/>
          <w:szCs w:val="24"/>
        </w:rPr>
        <w:t>three</w:t>
      </w:r>
      <w:r w:rsidRPr="00B1213E">
        <w:rPr>
          <w:rFonts w:ascii="Times New Roman" w:hAnsi="Times New Roman" w:cs="Times New Roman"/>
          <w:sz w:val="24"/>
          <w:szCs w:val="24"/>
        </w:rPr>
        <w:t xml:space="preserve"> seconds or </w:t>
      </w:r>
      <w:r w:rsidR="00975188" w:rsidRPr="00B1213E">
        <w:rPr>
          <w:rFonts w:ascii="Times New Roman" w:hAnsi="Times New Roman" w:cs="Times New Roman"/>
          <w:sz w:val="24"/>
          <w:szCs w:val="24"/>
        </w:rPr>
        <w:t xml:space="preserve">longer </w:t>
      </w:r>
      <w:r w:rsidR="00B91D9E"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{"citationID":"u9FRel4w","properties":{"formattedCitation":"(Zech et al., 2008)","plainCitation":"(Zech et al., 2008)","noteIndex":0},"citationItems":[{"id":125,"uris":["http://zotero.org/users/local/7vKBzLRM/items/6UBMBMF7"],"itemData":{"id":125,"type":"article-journal","abstract":"Despite the common use of standardised methods analysing neuromuscular function during knee extension, there is a lack of test-retest reliability studies. Furthermore, for most of the investigated variables it is unknown which changes of values indicate an enhancement of performance. The aim of the present study was to investigate performance-dependent variations of muscle functions during isometric contraction of knee extensors and to examine test-retest reliability of their measurement methods. For test-retest reliability sports students completed three test sessions. Highly skilled athletes, sports students and untrained subjects were investigated to determine the performance-dependent variations. The following variables were analysed: maximal voluntary contraction (MVC), voluntary activation (VA), absolute muscle reaction time (AR), muscle endurance (ME), and EMG frequency analysis (MF) of m. vastus lateralis (VL), m. vastus medialis (VM) and m. rectus femoris (RF). RESULTS TEST-RETEST-RELIABILITY: A high reliability between session 1 vs. 2 and session 2 vs. 3 was shown for MVC (ICC=0.92 and .97), VA (0.92/0.95) and ME (0.87/0.95). ICC in AR (0.23) was low between the first and second session and moderate between the second and third session (0.74). MF of VL, VM and RF showed low ICC between sessions. PERFORMANCE DEPENDENT VARIATIONS: Significant differences in nearly all variables (except VA) were found between trained (athletes and sports students) and untrained subjects.","container-title":"Journal of Electromyography and Kinesiology: Official Journal of the International Society of Electrophysiological Kinesiology","DOI":"10.1016/j.jelekin.2006.08.013","ISSN":"1050-6411","issue":"2","journalAbbreviation":"J Electromyogr Kinesiol","language":"eng","note":"PMID: 17127078","page":"262-269","source":"PubMed","title":"Reliability and performance-dependent variations of muscle function variables during isometric knee extension","volume":"18","author":[{"family":"Zech","given":"A."},{"family":"Witte","given":"K."},{"family":"Pfeifer","given":"K."}],"issued":{"date-parts":[["2008",4]]}}}],"schema":"https://github.com/citation-style-language/schema/raw/master/csl-citation.json"} </w:instrText>
      </w:r>
      <w:r w:rsidR="00B91D9E"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(Zech et al., 2008)</w:t>
      </w:r>
      <w:r w:rsidR="00B91D9E" w:rsidRPr="00B1213E">
        <w:rPr>
          <w:rFonts w:ascii="Times New Roman" w:hAnsi="Times New Roman" w:cs="Times New Roman"/>
          <w:sz w:val="24"/>
          <w:szCs w:val="24"/>
        </w:rPr>
        <w:fldChar w:fldCharType="end"/>
      </w:r>
      <w:r w:rsidRPr="00B1213E">
        <w:rPr>
          <w:rFonts w:ascii="Times New Roman" w:hAnsi="Times New Roman" w:cs="Times New Roman"/>
          <w:sz w:val="24"/>
          <w:szCs w:val="24"/>
        </w:rPr>
        <w:t>.</w:t>
      </w:r>
    </w:p>
    <w:p w14:paraId="2BF22173" w14:textId="77777777" w:rsidR="00C63606" w:rsidRPr="00B1213E" w:rsidRDefault="00C63606" w:rsidP="00066971">
      <w:pPr>
        <w:spacing w:after="0" w:line="360" w:lineRule="auto"/>
        <w:jc w:val="both"/>
        <w:rPr>
          <w:rFonts w:ascii="Times New Roman" w:hAnsi="Times New Roman" w:cs="Times New Roman"/>
          <w:sz w:val="24"/>
          <w:szCs w:val="24"/>
        </w:rPr>
      </w:pPr>
    </w:p>
    <w:p w14:paraId="1C55AC1C" w14:textId="77777777" w:rsidR="00720961" w:rsidRPr="00B1213E" w:rsidRDefault="00720961" w:rsidP="00027419">
      <w:pPr>
        <w:spacing w:after="0" w:line="360" w:lineRule="auto"/>
        <w:jc w:val="both"/>
        <w:rPr>
          <w:rFonts w:ascii="Times New Roman" w:hAnsi="Times New Roman" w:cs="Times New Roman"/>
          <w:bCs/>
          <w:i/>
          <w:iCs/>
          <w:sz w:val="24"/>
          <w:szCs w:val="24"/>
        </w:rPr>
      </w:pPr>
      <w:r w:rsidRPr="00B1213E">
        <w:rPr>
          <w:rFonts w:ascii="Times New Roman" w:hAnsi="Times New Roman" w:cs="Times New Roman"/>
          <w:i/>
          <w:iCs/>
          <w:sz w:val="24"/>
          <w:szCs w:val="24"/>
        </w:rPr>
        <w:t>Statistical Analysis</w:t>
      </w:r>
    </w:p>
    <w:p w14:paraId="1DB85D01" w14:textId="3BE8CF65" w:rsidR="00720961" w:rsidRPr="00B1213E" w:rsidRDefault="00352C1E" w:rsidP="00027419">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The primary outcome measure of mechanical PPT was used to calculate the required sample size a priori using G*Power </w:t>
      </w:r>
      <w:r w:rsidRPr="00B1213E">
        <w:rPr>
          <w:rFonts w:ascii="Times New Roman" w:hAnsi="Times New Roman" w:cs="Times New Roman"/>
          <w:sz w:val="24"/>
          <w:szCs w:val="24"/>
        </w:rPr>
        <w:fldChar w:fldCharType="begin"/>
      </w:r>
      <w:r w:rsidRPr="00B1213E">
        <w:rPr>
          <w:rFonts w:ascii="Times New Roman" w:hAnsi="Times New Roman" w:cs="Times New Roman"/>
          <w:sz w:val="24"/>
          <w:szCs w:val="24"/>
        </w:rPr>
        <w:instrText xml:space="preserve"> ADDIN ZOTERO_ITEM CSL_CITATION {"citationID":"ORpUzhLf","properties":{"formattedCitation":"(Faul et al., 2007)","plainCitation":"(Faul et al., 2007)","noteIndex":0},"citationItems":[{"id":864,"uris":["http://zotero.org/users/local/7vKBzLRM/items/3DP3XPK8"],"itemData":{"id":864,"type":"article-journal","abstract":"G*Power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Methods","DOI":"10.3758/bf03193146","ISSN":"1554-351X","issue":"2","journalAbbreviation":"Behav Res Methods","language":"eng","note":"PMID: 17695343","page":"175-191","source":"PubMed","title":"G*Power 3: a flexible statistical power analysis program for the social, behavioral, and biomedical sciences","title-short":"G*Power 3","volume":"39","author":[{"family":"Faul","given":"Franz"},{"family":"Erdfelder","given":"Edgar"},{"family":"Lang","given":"Albert-Georg"},{"family":"Buchner","given":"Axel"}],"issued":{"date-parts":[["2007",5]]}}}],"schema":"https://github.com/citation-style-language/schema/raw/master/csl-citation.json"} </w:instrText>
      </w:r>
      <w:r w:rsidRPr="00B1213E">
        <w:rPr>
          <w:rFonts w:ascii="Times New Roman" w:hAnsi="Times New Roman" w:cs="Times New Roman"/>
          <w:sz w:val="24"/>
          <w:szCs w:val="24"/>
        </w:rPr>
        <w:fldChar w:fldCharType="separate"/>
      </w:r>
      <w:r w:rsidRPr="00B1213E">
        <w:rPr>
          <w:rFonts w:ascii="Times New Roman" w:hAnsi="Times New Roman" w:cs="Times New Roman"/>
          <w:sz w:val="24"/>
        </w:rPr>
        <w:t>(Faul et al., 2007)</w:t>
      </w:r>
      <w:r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With an expected effect size of d = 0.42, to achieve a power of 80% at an alpha level of 0.05 with a two-way (3 </w:t>
      </w:r>
      <w:r w:rsidR="00F202D6" w:rsidRPr="00B1213E">
        <w:rPr>
          <w:rFonts w:ascii="Times New Roman" w:hAnsi="Times New Roman" w:cs="Times New Roman"/>
          <w:sz w:val="24"/>
          <w:szCs w:val="24"/>
        </w:rPr>
        <w:t>×</w:t>
      </w:r>
      <w:r w:rsidRPr="00B1213E">
        <w:rPr>
          <w:rFonts w:ascii="Times New Roman" w:hAnsi="Times New Roman" w:cs="Times New Roman"/>
          <w:sz w:val="24"/>
          <w:szCs w:val="24"/>
        </w:rPr>
        <w:t xml:space="preserve"> 5) repeated measures ANOVA, a total of 36 participants were required. </w:t>
      </w:r>
      <w:r w:rsidR="3D9FB09B" w:rsidRPr="00B1213E">
        <w:rPr>
          <w:rFonts w:ascii="Times New Roman" w:hAnsi="Times New Roman" w:cs="Times New Roman"/>
          <w:sz w:val="24"/>
          <w:szCs w:val="24"/>
        </w:rPr>
        <w:t xml:space="preserve">Prior to formal statistical testing, data were checked for normality. Statistical analysis was performed using IBM SPSS Statistics Version 26.0 (IBM Corp., Chicago, IL). A two-way mixed measures ANOVA was used to investigate possible differences in absolute and relative changes (%) in biomarkers and performance </w:t>
      </w:r>
      <w:r w:rsidR="3D9FB09B" w:rsidRPr="00B1213E">
        <w:rPr>
          <w:rFonts w:ascii="Times New Roman" w:hAnsi="Times New Roman" w:cs="Times New Roman"/>
          <w:sz w:val="24"/>
          <w:szCs w:val="24"/>
        </w:rPr>
        <w:lastRenderedPageBreak/>
        <w:t>indicators between the groups (PLA, LOW, and HIGH) and within groups across time points (Pre-EIMD, Post-EIMD, 24</w:t>
      </w:r>
      <w:r w:rsidR="00192BFE" w:rsidRPr="00B1213E">
        <w:rPr>
          <w:rFonts w:ascii="Times New Roman" w:hAnsi="Times New Roman" w:cs="Times New Roman"/>
          <w:sz w:val="24"/>
          <w:szCs w:val="24"/>
        </w:rPr>
        <w:t>-</w:t>
      </w:r>
      <w:r w:rsidR="3D9FB09B" w:rsidRPr="00B1213E">
        <w:rPr>
          <w:rFonts w:ascii="Times New Roman" w:hAnsi="Times New Roman" w:cs="Times New Roman"/>
          <w:sz w:val="24"/>
          <w:szCs w:val="24"/>
        </w:rPr>
        <w:t>, 48</w:t>
      </w:r>
      <w:r w:rsidR="00192BFE" w:rsidRPr="00B1213E">
        <w:rPr>
          <w:rFonts w:ascii="Times New Roman" w:hAnsi="Times New Roman" w:cs="Times New Roman"/>
          <w:sz w:val="24"/>
          <w:szCs w:val="24"/>
        </w:rPr>
        <w:t>-</w:t>
      </w:r>
      <w:r w:rsidR="3D9FB09B" w:rsidRPr="00B1213E">
        <w:rPr>
          <w:rFonts w:ascii="Times New Roman" w:hAnsi="Times New Roman" w:cs="Times New Roman"/>
          <w:sz w:val="24"/>
          <w:szCs w:val="24"/>
        </w:rPr>
        <w:t>, and 72</w:t>
      </w:r>
      <w:r w:rsidR="00192BFE" w:rsidRPr="00B1213E">
        <w:rPr>
          <w:rFonts w:ascii="Times New Roman" w:hAnsi="Times New Roman" w:cs="Times New Roman"/>
          <w:sz w:val="24"/>
          <w:szCs w:val="24"/>
        </w:rPr>
        <w:t>-</w:t>
      </w:r>
      <w:r w:rsidR="3D9FB09B" w:rsidRPr="00B1213E">
        <w:rPr>
          <w:rFonts w:ascii="Times New Roman" w:hAnsi="Times New Roman" w:cs="Times New Roman"/>
          <w:sz w:val="24"/>
          <w:szCs w:val="24"/>
        </w:rPr>
        <w:t>h post muscle damage). Assumption</w:t>
      </w:r>
      <w:r w:rsidR="00CA7F39" w:rsidRPr="00B1213E">
        <w:rPr>
          <w:rFonts w:ascii="Times New Roman" w:hAnsi="Times New Roman" w:cs="Times New Roman"/>
          <w:sz w:val="24"/>
          <w:szCs w:val="24"/>
        </w:rPr>
        <w:t>s</w:t>
      </w:r>
      <w:r w:rsidR="3D9FB09B" w:rsidRPr="00B1213E">
        <w:rPr>
          <w:rFonts w:ascii="Times New Roman" w:hAnsi="Times New Roman" w:cs="Times New Roman"/>
          <w:sz w:val="24"/>
          <w:szCs w:val="24"/>
        </w:rPr>
        <w:t xml:space="preserve"> of sphericity were assessed using Mauchly’s test, with any violations adjusted using the Greenhouse-Geis</w:t>
      </w:r>
      <w:r w:rsidR="00861BA6" w:rsidRPr="00B1213E">
        <w:rPr>
          <w:rFonts w:ascii="Times New Roman" w:hAnsi="Times New Roman" w:cs="Times New Roman"/>
          <w:sz w:val="24"/>
          <w:szCs w:val="24"/>
        </w:rPr>
        <w:t>s</w:t>
      </w:r>
      <w:r w:rsidR="3D9FB09B" w:rsidRPr="00B1213E">
        <w:rPr>
          <w:rFonts w:ascii="Times New Roman" w:hAnsi="Times New Roman" w:cs="Times New Roman"/>
          <w:sz w:val="24"/>
          <w:szCs w:val="24"/>
        </w:rPr>
        <w:t xml:space="preserve">er correction. </w:t>
      </w:r>
      <w:r w:rsidR="00026831" w:rsidRPr="00B1213E">
        <w:rPr>
          <w:rFonts w:ascii="Times New Roman" w:hAnsi="Times New Roman" w:cs="Times New Roman"/>
          <w:sz w:val="24"/>
          <w:szCs w:val="24"/>
        </w:rPr>
        <w:t>Statistical</w:t>
      </w:r>
      <w:r w:rsidR="3D9FB09B" w:rsidRPr="00B1213E">
        <w:rPr>
          <w:rFonts w:ascii="Times New Roman" w:hAnsi="Times New Roman" w:cs="Times New Roman"/>
          <w:sz w:val="24"/>
          <w:szCs w:val="24"/>
        </w:rPr>
        <w:t xml:space="preserve"> significance was set </w:t>
      </w:r>
      <w:r w:rsidR="00026831" w:rsidRPr="00B1213E">
        <w:rPr>
          <w:rFonts w:ascii="Times New Roman" w:hAnsi="Times New Roman" w:cs="Times New Roman"/>
          <w:sz w:val="24"/>
          <w:szCs w:val="24"/>
        </w:rPr>
        <w:t>at</w:t>
      </w:r>
      <w:r w:rsidR="3D9FB09B" w:rsidRPr="00B1213E">
        <w:rPr>
          <w:rFonts w:ascii="Times New Roman" w:hAnsi="Times New Roman" w:cs="Times New Roman"/>
          <w:sz w:val="24"/>
          <w:szCs w:val="24"/>
        </w:rPr>
        <w:t xml:space="preserve"> </w:t>
      </w:r>
      <w:r w:rsidR="235F9186" w:rsidRPr="00B1213E">
        <w:rPr>
          <w:rFonts w:ascii="Times New Roman" w:hAnsi="Times New Roman" w:cs="Times New Roman"/>
          <w:i/>
          <w:iCs/>
          <w:sz w:val="24"/>
          <w:szCs w:val="24"/>
        </w:rPr>
        <w:t>P</w:t>
      </w:r>
      <w:r w:rsidR="3D9FB09B" w:rsidRPr="00B1213E">
        <w:rPr>
          <w:rFonts w:ascii="Times New Roman" w:hAnsi="Times New Roman" w:cs="Times New Roman"/>
          <w:sz w:val="24"/>
          <w:szCs w:val="24"/>
        </w:rPr>
        <w:t xml:space="preserve"> &lt; 0.05</w:t>
      </w:r>
      <w:r w:rsidR="5EEF9744" w:rsidRPr="00B1213E">
        <w:rPr>
          <w:rFonts w:ascii="Times New Roman" w:hAnsi="Times New Roman" w:cs="Times New Roman"/>
          <w:sz w:val="24"/>
          <w:szCs w:val="24"/>
        </w:rPr>
        <w:t>. For any statistically significant two-way interaction, post</w:t>
      </w:r>
      <w:r w:rsidR="002005E2" w:rsidRPr="00B1213E">
        <w:rPr>
          <w:rFonts w:ascii="Times New Roman" w:hAnsi="Times New Roman" w:cs="Times New Roman"/>
          <w:sz w:val="24"/>
          <w:szCs w:val="24"/>
        </w:rPr>
        <w:t xml:space="preserve"> </w:t>
      </w:r>
      <w:r w:rsidR="5EEF9744" w:rsidRPr="00B1213E">
        <w:rPr>
          <w:rFonts w:ascii="Times New Roman" w:hAnsi="Times New Roman" w:cs="Times New Roman"/>
          <w:sz w:val="24"/>
          <w:szCs w:val="24"/>
        </w:rPr>
        <w:t xml:space="preserve">hoc analysis was performed with </w:t>
      </w:r>
      <w:r w:rsidR="3D9FB09B" w:rsidRPr="00B1213E">
        <w:rPr>
          <w:rFonts w:ascii="Times New Roman" w:hAnsi="Times New Roman" w:cs="Times New Roman"/>
          <w:sz w:val="24"/>
          <w:szCs w:val="24"/>
        </w:rPr>
        <w:t>Bonferroni</w:t>
      </w:r>
      <w:r w:rsidR="5D1D33FD" w:rsidRPr="00B1213E">
        <w:rPr>
          <w:rFonts w:ascii="Times New Roman" w:hAnsi="Times New Roman" w:cs="Times New Roman"/>
          <w:sz w:val="24"/>
          <w:szCs w:val="24"/>
        </w:rPr>
        <w:t xml:space="preserve"> correction.</w:t>
      </w:r>
      <w:r w:rsidR="3D9FB09B" w:rsidRPr="00B1213E">
        <w:rPr>
          <w:rFonts w:ascii="Times New Roman" w:hAnsi="Times New Roman" w:cs="Times New Roman"/>
          <w:sz w:val="24"/>
          <w:szCs w:val="24"/>
        </w:rPr>
        <w:t xml:space="preserve"> All data are reported as the mean ± standard deviation (SD) with 95% </w:t>
      </w:r>
      <w:r w:rsidR="7D0CC3BD" w:rsidRPr="00B1213E">
        <w:rPr>
          <w:rFonts w:ascii="Times New Roman" w:hAnsi="Times New Roman" w:cs="Times New Roman"/>
          <w:sz w:val="24"/>
          <w:szCs w:val="24"/>
        </w:rPr>
        <w:t>confidence intervals (</w:t>
      </w:r>
      <w:r w:rsidR="3D9FB09B" w:rsidRPr="00B1213E">
        <w:rPr>
          <w:rFonts w:ascii="Times New Roman" w:hAnsi="Times New Roman" w:cs="Times New Roman"/>
          <w:sz w:val="24"/>
          <w:szCs w:val="24"/>
        </w:rPr>
        <w:t>CI</w:t>
      </w:r>
      <w:r w:rsidR="00026831" w:rsidRPr="00B1213E">
        <w:rPr>
          <w:rFonts w:ascii="Times New Roman" w:hAnsi="Times New Roman" w:cs="Times New Roman"/>
          <w:sz w:val="24"/>
          <w:szCs w:val="24"/>
        </w:rPr>
        <w:t>s</w:t>
      </w:r>
      <w:r w:rsidR="152FC5BF" w:rsidRPr="00B1213E">
        <w:rPr>
          <w:rFonts w:ascii="Times New Roman" w:hAnsi="Times New Roman" w:cs="Times New Roman"/>
          <w:sz w:val="24"/>
          <w:szCs w:val="24"/>
        </w:rPr>
        <w:t>)</w:t>
      </w:r>
      <w:r w:rsidR="3D9FB09B" w:rsidRPr="00B1213E">
        <w:rPr>
          <w:rFonts w:ascii="Times New Roman" w:hAnsi="Times New Roman" w:cs="Times New Roman"/>
          <w:sz w:val="24"/>
          <w:szCs w:val="24"/>
        </w:rPr>
        <w:t xml:space="preserve"> unless otherwise indicated.</w:t>
      </w:r>
    </w:p>
    <w:p w14:paraId="64D1BB73" w14:textId="60A6EF50" w:rsidR="00B13004" w:rsidRPr="00B1213E" w:rsidRDefault="00B13004" w:rsidP="00DE36F6">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br w:type="page"/>
      </w:r>
    </w:p>
    <w:p w14:paraId="7648F540" w14:textId="79AE9E0E" w:rsidR="005F2133" w:rsidRPr="00B1213E" w:rsidRDefault="005F2133" w:rsidP="00027419">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R</w:t>
      </w:r>
      <w:r w:rsidR="00147D3D" w:rsidRPr="00B1213E">
        <w:rPr>
          <w:rFonts w:ascii="Times New Roman" w:hAnsi="Times New Roman" w:cs="Times New Roman"/>
          <w:b/>
          <w:bCs/>
          <w:sz w:val="24"/>
          <w:szCs w:val="24"/>
        </w:rPr>
        <w:t>ESULTS</w:t>
      </w:r>
    </w:p>
    <w:p w14:paraId="117003A2" w14:textId="0BDF586C" w:rsidR="005F2133" w:rsidRPr="00B1213E" w:rsidRDefault="3D9FB09B" w:rsidP="3D9FB09B">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 xml:space="preserve">Subjective Muscle Soreness </w:t>
      </w:r>
    </w:p>
    <w:p w14:paraId="631C40FD" w14:textId="5CE4C029" w:rsidR="003976BF" w:rsidRPr="00B1213E" w:rsidRDefault="3D9FB09B" w:rsidP="0007388F">
      <w:pPr>
        <w:tabs>
          <w:tab w:val="left" w:pos="709"/>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A significant time effect was observed for the VAS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3,95.15</w:t>
      </w:r>
      <w:r w:rsidRPr="00B1213E">
        <w:rPr>
          <w:rFonts w:ascii="Times New Roman" w:hAnsi="Times New Roman" w:cs="Times New Roman"/>
          <w:sz w:val="24"/>
          <w:szCs w:val="24"/>
        </w:rPr>
        <w:t xml:space="preserve">= 72.68,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&lt; 0.001) and BORG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2.88,89.45</w:t>
      </w:r>
      <w:r w:rsidRPr="00B1213E">
        <w:rPr>
          <w:rFonts w:ascii="Times New Roman" w:hAnsi="Times New Roman" w:cs="Times New Roman"/>
          <w:sz w:val="24"/>
          <w:szCs w:val="24"/>
        </w:rPr>
        <w:t xml:space="preserve">= 54.45,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 xml:space="preserve">&lt; 0.001) scales, suggesting there were changes in muscle soreness over time induced by the EIMD. Further post hoc Bonferroni tests indicated differences from baseline at all time points in lower-limb muscle soreness (VAS and BORG both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No group effects were seen in VAS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2,31</w:t>
      </w:r>
      <w:r w:rsidRPr="00B1213E">
        <w:rPr>
          <w:rFonts w:ascii="Times New Roman" w:hAnsi="Times New Roman" w:cs="Times New Roman"/>
          <w:sz w:val="24"/>
          <w:szCs w:val="24"/>
        </w:rPr>
        <w:t xml:space="preserve">= 2.08,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&gt; 0.05) or BORG (</w:t>
      </w:r>
      <w:r w:rsidRPr="00B1213E">
        <w:rPr>
          <w:rFonts w:ascii="Times New Roman" w:hAnsi="Times New Roman" w:cs="Times New Roman"/>
          <w:i/>
          <w:iCs/>
          <w:sz w:val="24"/>
          <w:szCs w:val="24"/>
        </w:rPr>
        <w:t>F</w:t>
      </w:r>
      <w:bookmarkStart w:id="10" w:name="_Hlk171329406"/>
      <w:r w:rsidRPr="00B1213E">
        <w:rPr>
          <w:rFonts w:ascii="Times New Roman" w:hAnsi="Times New Roman" w:cs="Times New Roman"/>
          <w:sz w:val="24"/>
          <w:szCs w:val="24"/>
          <w:vertAlign w:val="subscript"/>
        </w:rPr>
        <w:t>2,31</w:t>
      </w:r>
      <w:r w:rsidRPr="00B1213E">
        <w:rPr>
          <w:rFonts w:ascii="Times New Roman" w:hAnsi="Times New Roman" w:cs="Times New Roman"/>
          <w:sz w:val="24"/>
          <w:szCs w:val="24"/>
        </w:rPr>
        <w:t>= 1.91</w:t>
      </w:r>
      <w:bookmarkEnd w:id="10"/>
      <w:r w:rsidRPr="00B1213E">
        <w:rPr>
          <w:rFonts w:ascii="Times New Roman" w:hAnsi="Times New Roman" w:cs="Times New Roman"/>
          <w:sz w:val="24"/>
          <w:szCs w:val="24"/>
        </w:rPr>
        <w:t xml:space="preserve">,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 xml:space="preserve">&gt; 0.05). However, Time*Group interaction effects were observed for both </w:t>
      </w:r>
      <w:r w:rsidR="00482B27" w:rsidRPr="00B1213E">
        <w:rPr>
          <w:rFonts w:ascii="Times New Roman" w:hAnsi="Times New Roman" w:cs="Times New Roman"/>
          <w:sz w:val="24"/>
          <w:szCs w:val="24"/>
        </w:rPr>
        <w:t xml:space="preserve">the </w:t>
      </w:r>
      <w:r w:rsidRPr="00B1213E">
        <w:rPr>
          <w:rFonts w:ascii="Times New Roman" w:hAnsi="Times New Roman" w:cs="Times New Roman"/>
          <w:sz w:val="24"/>
          <w:szCs w:val="24"/>
        </w:rPr>
        <w:t>VAS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6.1,96.15 </w:t>
      </w:r>
      <w:r w:rsidRPr="00B1213E">
        <w:rPr>
          <w:rFonts w:ascii="Times New Roman" w:hAnsi="Times New Roman" w:cs="Times New Roman"/>
          <w:sz w:val="24"/>
          <w:szCs w:val="24"/>
        </w:rPr>
        <w:t xml:space="preserve">= 3.64,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&lt; 0.05) and BORG scales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5.7,124 </w:t>
      </w:r>
      <w:r w:rsidRPr="00B1213E">
        <w:rPr>
          <w:rFonts w:ascii="Times New Roman" w:hAnsi="Times New Roman" w:cs="Times New Roman"/>
          <w:sz w:val="24"/>
          <w:szCs w:val="24"/>
        </w:rPr>
        <w:t xml:space="preserve">= 0.77,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w:t>
      </w:r>
      <w:r w:rsidR="0007388F" w:rsidRPr="00B1213E">
        <w:rPr>
          <w:rFonts w:ascii="Times New Roman" w:hAnsi="Times New Roman" w:cs="Times New Roman"/>
          <w:sz w:val="24"/>
          <w:szCs w:val="24"/>
        </w:rPr>
        <w:t>Subjective muscle soreness assessed by VAS was lower in LOW and HIGH compared to PLA (</w:t>
      </w:r>
      <w:r w:rsidR="0007388F" w:rsidRPr="00B1213E">
        <w:rPr>
          <w:rFonts w:ascii="Times New Roman" w:hAnsi="Times New Roman" w:cs="Times New Roman"/>
          <w:i/>
          <w:iCs/>
          <w:sz w:val="24"/>
          <w:szCs w:val="24"/>
        </w:rPr>
        <w:t>P</w:t>
      </w:r>
      <w:r w:rsidR="0007388F" w:rsidRPr="00B1213E">
        <w:rPr>
          <w:rFonts w:ascii="Times New Roman" w:hAnsi="Times New Roman" w:cs="Times New Roman"/>
          <w:sz w:val="24"/>
          <w:szCs w:val="24"/>
        </w:rPr>
        <w:t xml:space="preserve"> &lt; 0.05) 24</w:t>
      </w:r>
      <w:r w:rsidR="0069142D" w:rsidRPr="00B1213E">
        <w:rPr>
          <w:rFonts w:ascii="Times New Roman" w:hAnsi="Times New Roman" w:cs="Times New Roman"/>
          <w:sz w:val="24"/>
          <w:szCs w:val="24"/>
        </w:rPr>
        <w:t xml:space="preserve"> </w:t>
      </w:r>
      <w:r w:rsidR="0007388F" w:rsidRPr="00B1213E">
        <w:rPr>
          <w:rFonts w:ascii="Times New Roman" w:hAnsi="Times New Roman" w:cs="Times New Roman"/>
          <w:sz w:val="24"/>
          <w:szCs w:val="24"/>
        </w:rPr>
        <w:t>h after EIMD but was not different between LOW and HIGH. At 48</w:t>
      </w:r>
      <w:r w:rsidR="0069142D" w:rsidRPr="00B1213E">
        <w:rPr>
          <w:rFonts w:ascii="Times New Roman" w:hAnsi="Times New Roman" w:cs="Times New Roman"/>
          <w:sz w:val="24"/>
          <w:szCs w:val="24"/>
        </w:rPr>
        <w:t xml:space="preserve"> </w:t>
      </w:r>
      <w:r w:rsidR="0007388F" w:rsidRPr="00B1213E">
        <w:rPr>
          <w:rFonts w:ascii="Times New Roman" w:hAnsi="Times New Roman" w:cs="Times New Roman"/>
          <w:sz w:val="24"/>
          <w:szCs w:val="24"/>
        </w:rPr>
        <w:t>h post EIMD, HIGH still displayed significantly lower soreness than PLA</w:t>
      </w:r>
      <w:r w:rsidR="002971BB" w:rsidRPr="00B1213E">
        <w:rPr>
          <w:rFonts w:ascii="Times New Roman" w:hAnsi="Times New Roman" w:cs="Times New Roman"/>
          <w:sz w:val="24"/>
          <w:szCs w:val="24"/>
        </w:rPr>
        <w:t>,</w:t>
      </w:r>
      <w:r w:rsidR="0007388F" w:rsidRPr="00B1213E">
        <w:rPr>
          <w:rFonts w:ascii="Times New Roman" w:hAnsi="Times New Roman" w:cs="Times New Roman"/>
          <w:sz w:val="24"/>
          <w:szCs w:val="24"/>
        </w:rPr>
        <w:t xml:space="preserve"> i</w:t>
      </w:r>
      <w:r w:rsidRPr="00B1213E">
        <w:rPr>
          <w:rFonts w:ascii="Times New Roman" w:hAnsi="Times New Roman" w:cs="Times New Roman"/>
          <w:sz w:val="24"/>
          <w:szCs w:val="24"/>
        </w:rPr>
        <w:t>ndicating there may be a dose</w:t>
      </w:r>
      <w:r w:rsidR="002971BB" w:rsidRPr="00B1213E">
        <w:rPr>
          <w:rFonts w:ascii="Times New Roman" w:hAnsi="Times New Roman" w:cs="Times New Roman"/>
          <w:sz w:val="24"/>
          <w:szCs w:val="24"/>
        </w:rPr>
        <w:t>-</w:t>
      </w:r>
      <w:r w:rsidRPr="00B1213E">
        <w:rPr>
          <w:rFonts w:ascii="Times New Roman" w:hAnsi="Times New Roman" w:cs="Times New Roman"/>
          <w:sz w:val="24"/>
          <w:szCs w:val="24"/>
        </w:rPr>
        <w:t>response between LOW and HIGH (</w:t>
      </w:r>
      <w:r w:rsidRPr="00B1213E">
        <w:rPr>
          <w:rFonts w:ascii="Times New Roman" w:hAnsi="Times New Roman" w:cs="Times New Roman"/>
          <w:b/>
          <w:bCs/>
          <w:sz w:val="24"/>
          <w:szCs w:val="24"/>
        </w:rPr>
        <w:t>Figure 2</w:t>
      </w:r>
      <w:r w:rsidRPr="00B1213E">
        <w:rPr>
          <w:rFonts w:ascii="Times New Roman" w:hAnsi="Times New Roman" w:cs="Times New Roman"/>
          <w:sz w:val="24"/>
          <w:szCs w:val="24"/>
        </w:rPr>
        <w:t>). BORG also showed differences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&lt; 0.05) between groups at Pre</w:t>
      </w:r>
      <w:r w:rsidR="00363D47" w:rsidRPr="00B1213E">
        <w:rPr>
          <w:rFonts w:ascii="Times New Roman" w:hAnsi="Times New Roman" w:cs="Times New Roman"/>
          <w:sz w:val="24"/>
          <w:szCs w:val="24"/>
        </w:rPr>
        <w:t xml:space="preserve">, with PLA being higher than LOW, and at 24 h post-exercise </w:t>
      </w:r>
      <w:r w:rsidRPr="00B1213E">
        <w:rPr>
          <w:rFonts w:ascii="Times New Roman" w:hAnsi="Times New Roman" w:cs="Times New Roman"/>
          <w:sz w:val="24"/>
          <w:szCs w:val="24"/>
        </w:rPr>
        <w:t>HIGH being significantly lower than PLA.</w:t>
      </w:r>
    </w:p>
    <w:p w14:paraId="72E3AAAB" w14:textId="054FCF8E" w:rsidR="00114877" w:rsidRPr="00B1213E" w:rsidRDefault="00114877" w:rsidP="00E62038">
      <w:pPr>
        <w:spacing w:after="0" w:line="360" w:lineRule="auto"/>
        <w:jc w:val="center"/>
        <w:rPr>
          <w:rFonts w:ascii="Times New Roman" w:hAnsi="Times New Roman" w:cs="Times New Roman"/>
          <w:i/>
          <w:iCs/>
          <w:sz w:val="24"/>
          <w:szCs w:val="24"/>
        </w:rPr>
      </w:pPr>
    </w:p>
    <w:p w14:paraId="67598989" w14:textId="39C0D193" w:rsidR="00697839" w:rsidRPr="00B1213E" w:rsidRDefault="00D76C01" w:rsidP="00697839">
      <w:pPr>
        <w:spacing w:after="0" w:line="360" w:lineRule="auto"/>
        <w:jc w:val="center"/>
        <w:rPr>
          <w:rFonts w:ascii="Times New Roman" w:hAnsi="Times New Roman" w:cs="Times New Roman"/>
          <w:b/>
          <w:bCs/>
          <w:sz w:val="24"/>
          <w:szCs w:val="24"/>
        </w:rPr>
      </w:pPr>
      <w:r w:rsidRPr="00B1213E">
        <w:rPr>
          <w:rFonts w:ascii="Times New Roman" w:hAnsi="Times New Roman" w:cs="Times New Roman"/>
          <w:b/>
          <w:bCs/>
          <w:noProof/>
          <w:sz w:val="24"/>
          <w:szCs w:val="24"/>
        </w:rPr>
        <w:lastRenderedPageBreak/>
        <w:drawing>
          <wp:inline distT="0" distB="0" distL="0" distR="0" wp14:anchorId="3534D31D" wp14:editId="5141FACD">
            <wp:extent cx="4767082" cy="5334011"/>
            <wp:effectExtent l="0" t="0" r="0" b="0"/>
            <wp:docPr id="1479559010" name="Picture 1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59010" name="Picture 13" descr="A close-up of a graph&#10;&#10;AI-generated content may be incorrect."/>
                    <pic:cNvPicPr/>
                  </pic:nvPicPr>
                  <pic:blipFill>
                    <a:blip r:embed="rId16"/>
                    <a:stretch>
                      <a:fillRect/>
                    </a:stretch>
                  </pic:blipFill>
                  <pic:spPr>
                    <a:xfrm>
                      <a:off x="0" y="0"/>
                      <a:ext cx="4767082" cy="5334011"/>
                    </a:xfrm>
                    <a:prstGeom prst="rect">
                      <a:avLst/>
                    </a:prstGeom>
                  </pic:spPr>
                </pic:pic>
              </a:graphicData>
            </a:graphic>
          </wp:inline>
        </w:drawing>
      </w:r>
    </w:p>
    <w:p w14:paraId="3B8BCC29" w14:textId="556E80D1" w:rsidR="00075DA4" w:rsidRPr="00B1213E" w:rsidRDefault="00075DA4" w:rsidP="00075DA4">
      <w:pPr>
        <w:spacing w:after="0" w:line="360" w:lineRule="auto"/>
        <w:jc w:val="both"/>
        <w:rPr>
          <w:rFonts w:ascii="Times New Roman" w:hAnsi="Times New Roman" w:cs="Times New Roman"/>
          <w:sz w:val="24"/>
          <w:szCs w:val="24"/>
        </w:rPr>
      </w:pPr>
      <w:bookmarkStart w:id="11" w:name="_Hlk203125858"/>
      <w:r w:rsidRPr="00B1213E">
        <w:rPr>
          <w:rFonts w:ascii="Times New Roman" w:hAnsi="Times New Roman" w:cs="Times New Roman"/>
          <w:b/>
          <w:bCs/>
          <w:sz w:val="24"/>
          <w:szCs w:val="24"/>
        </w:rPr>
        <w:t>Figure 2.</w:t>
      </w:r>
      <w:r w:rsidRPr="00B1213E">
        <w:rPr>
          <w:rFonts w:ascii="Times New Roman" w:hAnsi="Times New Roman" w:cs="Times New Roman"/>
          <w:sz w:val="24"/>
          <w:szCs w:val="24"/>
        </w:rPr>
        <w:t xml:space="preserve"> </w:t>
      </w:r>
    </w:p>
    <w:bookmarkEnd w:id="11"/>
    <w:p w14:paraId="707FFE9E" w14:textId="77777777" w:rsidR="009D7AD7" w:rsidRPr="00B1213E" w:rsidRDefault="009D7AD7" w:rsidP="009D7AD7">
      <w:pPr>
        <w:spacing w:after="0" w:line="360" w:lineRule="auto"/>
        <w:jc w:val="both"/>
        <w:rPr>
          <w:rFonts w:ascii="Times New Roman" w:hAnsi="Times New Roman" w:cs="Times New Roman"/>
          <w:i/>
          <w:iCs/>
          <w:sz w:val="24"/>
          <w:szCs w:val="24"/>
        </w:rPr>
      </w:pPr>
      <w:r w:rsidRPr="00B1213E">
        <w:rPr>
          <w:rFonts w:ascii="Times New Roman" w:hAnsi="Times New Roman" w:cs="Times New Roman"/>
          <w:sz w:val="24"/>
          <w:szCs w:val="24"/>
        </w:rPr>
        <w:t>Subjective pain responses assessed using the VAS Pain Scale (A) and BORG Pain Scale (B) before, immediately after, and during recovery from a bout of muscle-damaging exercise. Data are presented as box and whisker plots showing the median, interquartile range (IQR), and range.</w:t>
      </w:r>
    </w:p>
    <w:p w14:paraId="4942A484" w14:textId="77777777" w:rsidR="005E335E" w:rsidRPr="00B1213E" w:rsidRDefault="005E335E" w:rsidP="00027419">
      <w:pPr>
        <w:spacing w:after="0" w:line="360" w:lineRule="auto"/>
        <w:jc w:val="both"/>
        <w:rPr>
          <w:rFonts w:ascii="Times New Roman" w:hAnsi="Times New Roman" w:cs="Times New Roman"/>
          <w:i/>
          <w:iCs/>
          <w:sz w:val="24"/>
          <w:szCs w:val="24"/>
        </w:rPr>
      </w:pPr>
    </w:p>
    <w:p w14:paraId="73F9187C" w14:textId="77777777" w:rsidR="009D7AD7" w:rsidRPr="00B1213E" w:rsidRDefault="009D7AD7" w:rsidP="00027419">
      <w:pPr>
        <w:spacing w:after="0" w:line="360" w:lineRule="auto"/>
        <w:jc w:val="both"/>
        <w:rPr>
          <w:rFonts w:ascii="Times New Roman" w:hAnsi="Times New Roman" w:cs="Times New Roman"/>
          <w:i/>
          <w:iCs/>
          <w:sz w:val="24"/>
          <w:szCs w:val="24"/>
        </w:rPr>
      </w:pPr>
    </w:p>
    <w:p w14:paraId="10038108" w14:textId="5154C3D1" w:rsidR="007B7233" w:rsidRPr="00B1213E" w:rsidRDefault="3D9FB09B" w:rsidP="3D9FB09B">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Pro- and Antioxidant Status</w:t>
      </w:r>
    </w:p>
    <w:p w14:paraId="69D607C6" w14:textId="479E51D3" w:rsidR="0018196B" w:rsidRPr="00B1213E" w:rsidRDefault="3D9FB09B" w:rsidP="3D9FB09B">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FORT analysis showed significant main effects for Time (F</w:t>
      </w:r>
      <w:r w:rsidRPr="00B1213E">
        <w:rPr>
          <w:rFonts w:ascii="Times New Roman" w:hAnsi="Times New Roman" w:cs="Times New Roman"/>
          <w:sz w:val="24"/>
          <w:szCs w:val="24"/>
          <w:vertAlign w:val="subscript"/>
        </w:rPr>
        <w:t>5,155</w:t>
      </w:r>
      <w:r w:rsidRPr="00B1213E">
        <w:rPr>
          <w:rFonts w:ascii="Times New Roman" w:hAnsi="Times New Roman" w:cs="Times New Roman"/>
          <w:sz w:val="24"/>
          <w:szCs w:val="24"/>
        </w:rPr>
        <w:t xml:space="preserve"> = 8.24,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Group (F</w:t>
      </w:r>
      <w:r w:rsidRPr="00B1213E">
        <w:rPr>
          <w:rFonts w:ascii="Times New Roman" w:hAnsi="Times New Roman" w:cs="Times New Roman"/>
          <w:sz w:val="24"/>
          <w:szCs w:val="24"/>
          <w:vertAlign w:val="subscript"/>
        </w:rPr>
        <w:t>2,31</w:t>
      </w:r>
      <w:r w:rsidRPr="00B1213E">
        <w:rPr>
          <w:rFonts w:ascii="Times New Roman" w:hAnsi="Times New Roman" w:cs="Times New Roman"/>
          <w:sz w:val="24"/>
          <w:szCs w:val="24"/>
        </w:rPr>
        <w:t xml:space="preserve"> = 4.17,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and Time*Group (F</w:t>
      </w:r>
      <w:r w:rsidRPr="00B1213E">
        <w:rPr>
          <w:rFonts w:ascii="Times New Roman" w:hAnsi="Times New Roman" w:cs="Times New Roman"/>
          <w:sz w:val="24"/>
          <w:szCs w:val="24"/>
          <w:vertAlign w:val="subscript"/>
        </w:rPr>
        <w:t>10,155</w:t>
      </w:r>
      <w:r w:rsidRPr="00B1213E">
        <w:rPr>
          <w:rFonts w:ascii="Times New Roman" w:hAnsi="Times New Roman" w:cs="Times New Roman"/>
          <w:sz w:val="24"/>
          <w:szCs w:val="24"/>
        </w:rPr>
        <w:t xml:space="preserve"> = 4.4,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Post hoc tests indicated differences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from baseline to immediately post</w:t>
      </w:r>
      <w:r w:rsidR="00682CDC"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intervention and at </w:t>
      </w:r>
      <w:r w:rsidR="00C034C3" w:rsidRPr="00B1213E">
        <w:rPr>
          <w:rFonts w:ascii="Times New Roman" w:hAnsi="Times New Roman" w:cs="Times New Roman"/>
          <w:sz w:val="24"/>
          <w:szCs w:val="24"/>
        </w:rPr>
        <w:t>24-, 48-, and 72-</w:t>
      </w:r>
      <w:r w:rsidR="00192BFE" w:rsidRPr="00B1213E">
        <w:rPr>
          <w:rFonts w:ascii="Times New Roman" w:hAnsi="Times New Roman" w:cs="Times New Roman"/>
          <w:sz w:val="24"/>
          <w:szCs w:val="24"/>
        </w:rPr>
        <w:t>h</w:t>
      </w:r>
      <w:r w:rsidRPr="00B1213E">
        <w:rPr>
          <w:rFonts w:ascii="Times New Roman" w:hAnsi="Times New Roman" w:cs="Times New Roman"/>
          <w:sz w:val="24"/>
          <w:szCs w:val="24"/>
        </w:rPr>
        <w:t xml:space="preserve"> post muscle damage, reflecting shifts in hydroperoxide levels during recovery. Specifically, the HIGH</w:t>
      </w:r>
      <w:r w:rsidR="009B349F" w:rsidRPr="00B1213E">
        <w:rPr>
          <w:rFonts w:ascii="Times New Roman" w:hAnsi="Times New Roman" w:cs="Times New Roman"/>
          <w:sz w:val="24"/>
          <w:szCs w:val="24"/>
        </w:rPr>
        <w:t xml:space="preserve"> group</w:t>
      </w:r>
      <w:r w:rsidRPr="00B1213E">
        <w:rPr>
          <w:rFonts w:ascii="Times New Roman" w:hAnsi="Times New Roman" w:cs="Times New Roman"/>
          <w:sz w:val="24"/>
          <w:szCs w:val="24"/>
        </w:rPr>
        <w:t xml:space="preserve"> displayed a lower FORT than PLA immediately post</w:t>
      </w:r>
      <w:r w:rsidR="00682CDC"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EIMD (−23%) and 24 h </w:t>
      </w:r>
      <w:r w:rsidRPr="00B1213E">
        <w:rPr>
          <w:rFonts w:ascii="Times New Roman" w:hAnsi="Times New Roman" w:cs="Times New Roman"/>
          <w:sz w:val="24"/>
          <w:szCs w:val="24"/>
        </w:rPr>
        <w:lastRenderedPageBreak/>
        <w:t>post</w:t>
      </w:r>
      <w:r w:rsidR="009B349F" w:rsidRPr="00B1213E">
        <w:rPr>
          <w:rFonts w:ascii="Times New Roman" w:hAnsi="Times New Roman" w:cs="Times New Roman"/>
          <w:sz w:val="24"/>
          <w:szCs w:val="24"/>
        </w:rPr>
        <w:t>-</w:t>
      </w:r>
      <w:r w:rsidRPr="00B1213E">
        <w:rPr>
          <w:rFonts w:ascii="Times New Roman" w:hAnsi="Times New Roman" w:cs="Times New Roman"/>
          <w:sz w:val="24"/>
          <w:szCs w:val="24"/>
        </w:rPr>
        <w:t>exercise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 xml:space="preserve">&lt; 0.05) compared to both PLA and LOW (−19.5%). </w:t>
      </w:r>
      <w:r w:rsidR="00951E72" w:rsidRPr="00B1213E">
        <w:rPr>
          <w:rFonts w:ascii="Times New Roman" w:hAnsi="Times New Roman" w:cs="Times New Roman"/>
          <w:sz w:val="24"/>
          <w:szCs w:val="24"/>
        </w:rPr>
        <w:t xml:space="preserve">When expressed as percentage change from baseline, the oxidative stress index was lower in both the LOW and HIGH groups compared to PLA immediately and 24 h post EIMD </w:t>
      </w:r>
      <w:r w:rsidRPr="00B1213E">
        <w:rPr>
          <w:rFonts w:ascii="Times New Roman" w:hAnsi="Times New Roman" w:cs="Times New Roman"/>
          <w:sz w:val="24"/>
          <w:szCs w:val="24"/>
        </w:rPr>
        <w:t xml:space="preserve">as shown in </w:t>
      </w:r>
      <w:r w:rsidRPr="00B1213E">
        <w:rPr>
          <w:rFonts w:ascii="Times New Roman" w:hAnsi="Times New Roman" w:cs="Times New Roman"/>
          <w:b/>
          <w:bCs/>
          <w:sz w:val="24"/>
          <w:szCs w:val="24"/>
        </w:rPr>
        <w:t>Figure 3.</w:t>
      </w:r>
      <w:r w:rsidRPr="00B1213E">
        <w:rPr>
          <w:rFonts w:ascii="Times New Roman" w:hAnsi="Times New Roman" w:cs="Times New Roman"/>
          <w:sz w:val="24"/>
          <w:szCs w:val="24"/>
        </w:rPr>
        <w:t xml:space="preserve"> No significant differences were </w:t>
      </w:r>
      <w:r w:rsidR="00544B0F" w:rsidRPr="00B1213E">
        <w:rPr>
          <w:rFonts w:ascii="Times New Roman" w:hAnsi="Times New Roman" w:cs="Times New Roman"/>
          <w:sz w:val="24"/>
          <w:szCs w:val="24"/>
        </w:rPr>
        <w:t>observed</w:t>
      </w:r>
      <w:r w:rsidRPr="00B1213E">
        <w:rPr>
          <w:rFonts w:ascii="Times New Roman" w:hAnsi="Times New Roman" w:cs="Times New Roman"/>
          <w:sz w:val="24"/>
          <w:szCs w:val="24"/>
        </w:rPr>
        <w:t xml:space="preserve"> in FORD. </w:t>
      </w:r>
    </w:p>
    <w:p w14:paraId="4C737EDD" w14:textId="22F2BDA2" w:rsidR="00E308DC" w:rsidRPr="00B1213E" w:rsidRDefault="00E308DC" w:rsidP="00075DA4">
      <w:pPr>
        <w:spacing w:after="0" w:line="360" w:lineRule="auto"/>
        <w:jc w:val="both"/>
        <w:rPr>
          <w:rFonts w:ascii="Times New Roman" w:hAnsi="Times New Roman" w:cs="Times New Roman"/>
          <w:b/>
          <w:bCs/>
          <w:sz w:val="24"/>
          <w:szCs w:val="24"/>
        </w:rPr>
      </w:pPr>
    </w:p>
    <w:p w14:paraId="7E144AE6" w14:textId="0163B2F8" w:rsidR="008D6DAF" w:rsidRPr="00B1213E" w:rsidRDefault="00452D22" w:rsidP="00075DA4">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noProof/>
          <w:sz w:val="24"/>
          <w:szCs w:val="24"/>
        </w:rPr>
        <w:drawing>
          <wp:inline distT="0" distB="0" distL="0" distR="0" wp14:anchorId="68D5822C" wp14:editId="71F1E482">
            <wp:extent cx="5731510" cy="3398520"/>
            <wp:effectExtent l="0" t="0" r="2540" b="0"/>
            <wp:docPr id="1639215365" name="Picture 12"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5365" name="Picture 12" descr="A diagram of a number of numbers&#10;&#10;AI-generated content may be incorrect."/>
                    <pic:cNvPicPr/>
                  </pic:nvPicPr>
                  <pic:blipFill>
                    <a:blip r:embed="rId17"/>
                    <a:stretch>
                      <a:fillRect/>
                    </a:stretch>
                  </pic:blipFill>
                  <pic:spPr>
                    <a:xfrm>
                      <a:off x="0" y="0"/>
                      <a:ext cx="5731510" cy="3398520"/>
                    </a:xfrm>
                    <a:prstGeom prst="rect">
                      <a:avLst/>
                    </a:prstGeom>
                  </pic:spPr>
                </pic:pic>
              </a:graphicData>
            </a:graphic>
          </wp:inline>
        </w:drawing>
      </w:r>
    </w:p>
    <w:p w14:paraId="1E148678" w14:textId="77777777" w:rsidR="008D6DAF" w:rsidRPr="00B1213E" w:rsidRDefault="008D6DAF" w:rsidP="00075DA4">
      <w:pPr>
        <w:spacing w:after="0" w:line="360" w:lineRule="auto"/>
        <w:jc w:val="both"/>
        <w:rPr>
          <w:rFonts w:ascii="Times New Roman" w:hAnsi="Times New Roman" w:cs="Times New Roman"/>
          <w:b/>
          <w:bCs/>
          <w:sz w:val="24"/>
          <w:szCs w:val="24"/>
        </w:rPr>
      </w:pPr>
    </w:p>
    <w:p w14:paraId="039C81E5" w14:textId="5424AD2D" w:rsidR="00075DA4" w:rsidRPr="00B1213E" w:rsidRDefault="00075DA4" w:rsidP="00075DA4">
      <w:pPr>
        <w:spacing w:after="0" w:line="360" w:lineRule="auto"/>
        <w:jc w:val="both"/>
        <w:rPr>
          <w:rFonts w:ascii="Times New Roman" w:hAnsi="Times New Roman" w:cs="Times New Roman"/>
          <w:sz w:val="24"/>
          <w:szCs w:val="24"/>
        </w:rPr>
      </w:pPr>
      <w:bookmarkStart w:id="12" w:name="_Hlk203125886"/>
      <w:r w:rsidRPr="00B1213E">
        <w:rPr>
          <w:rFonts w:ascii="Times New Roman" w:hAnsi="Times New Roman" w:cs="Times New Roman"/>
          <w:b/>
          <w:bCs/>
          <w:sz w:val="24"/>
          <w:szCs w:val="24"/>
        </w:rPr>
        <w:t>Figure 3.</w:t>
      </w:r>
      <w:r w:rsidRPr="00B1213E">
        <w:rPr>
          <w:rFonts w:ascii="Times New Roman" w:hAnsi="Times New Roman" w:cs="Times New Roman"/>
          <w:sz w:val="24"/>
          <w:szCs w:val="24"/>
        </w:rPr>
        <w:t xml:space="preserve"> </w:t>
      </w:r>
    </w:p>
    <w:bookmarkEnd w:id="12"/>
    <w:p w14:paraId="39D49BA9" w14:textId="44D153EE"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Box and whisker plots showing absolute whole blood concentrations of FORD, FORT, and OSI measured before, immediately after, and during recovery following muscle-damaging exercise. Plots display the median, IQR, and range. The line graph</w:t>
      </w:r>
      <w:r w:rsidR="001D2989" w:rsidRPr="00B1213E">
        <w:rPr>
          <w:rFonts w:ascii="Times New Roman" w:hAnsi="Times New Roman" w:cs="Times New Roman"/>
          <w:sz w:val="24"/>
          <w:szCs w:val="24"/>
        </w:rPr>
        <w:t>s</w:t>
      </w:r>
      <w:r w:rsidRPr="00B1213E">
        <w:rPr>
          <w:rFonts w:ascii="Times New Roman" w:hAnsi="Times New Roman" w:cs="Times New Roman"/>
          <w:sz w:val="24"/>
          <w:szCs w:val="24"/>
        </w:rPr>
        <w:t xml:space="preserve"> below the box plots presents </w:t>
      </w:r>
      <w:r w:rsidR="006C4B46" w:rsidRPr="00B1213E">
        <w:rPr>
          <w:rFonts w:ascii="Times New Roman" w:hAnsi="Times New Roman" w:cs="Times New Roman"/>
          <w:sz w:val="24"/>
          <w:szCs w:val="24"/>
        </w:rPr>
        <w:t>m</w:t>
      </w:r>
      <w:r w:rsidRPr="00B1213E">
        <w:rPr>
          <w:rFonts w:ascii="Times New Roman" w:hAnsi="Times New Roman" w:cs="Times New Roman"/>
          <w:sz w:val="24"/>
          <w:szCs w:val="24"/>
        </w:rPr>
        <w:t>ean ± SD values representing the relative change from baseline, aligned with the same time points.</w:t>
      </w:r>
    </w:p>
    <w:p w14:paraId="51E3A6C3" w14:textId="77777777" w:rsidR="00114877" w:rsidRPr="00B1213E" w:rsidRDefault="00114877" w:rsidP="00132484">
      <w:pPr>
        <w:spacing w:after="0" w:line="360" w:lineRule="auto"/>
        <w:jc w:val="both"/>
        <w:rPr>
          <w:rFonts w:ascii="Times New Roman" w:hAnsi="Times New Roman" w:cs="Times New Roman"/>
          <w:sz w:val="24"/>
          <w:szCs w:val="24"/>
        </w:rPr>
      </w:pPr>
    </w:p>
    <w:p w14:paraId="7A6F4E44" w14:textId="77777777" w:rsidR="00114877" w:rsidRPr="00B1213E" w:rsidRDefault="00114877" w:rsidP="00132484">
      <w:pPr>
        <w:spacing w:after="0" w:line="360" w:lineRule="auto"/>
        <w:jc w:val="both"/>
        <w:rPr>
          <w:rFonts w:ascii="Times New Roman" w:hAnsi="Times New Roman" w:cs="Times New Roman"/>
          <w:sz w:val="24"/>
          <w:szCs w:val="24"/>
        </w:rPr>
      </w:pPr>
    </w:p>
    <w:p w14:paraId="4403E044" w14:textId="779CB990" w:rsidR="008F563B" w:rsidRPr="00B1213E" w:rsidRDefault="3D9FB09B" w:rsidP="3D9FB09B">
      <w:pPr>
        <w:spacing w:after="0" w:line="360" w:lineRule="auto"/>
        <w:jc w:val="both"/>
        <w:rPr>
          <w:rFonts w:ascii="Times New Roman" w:hAnsi="Times New Roman" w:cs="Times New Roman"/>
          <w:i/>
          <w:iCs/>
          <w:sz w:val="24"/>
          <w:szCs w:val="24"/>
        </w:rPr>
      </w:pPr>
      <w:bookmarkStart w:id="13" w:name="_Hlk179981333"/>
      <w:r w:rsidRPr="00B1213E">
        <w:rPr>
          <w:rFonts w:ascii="Times New Roman" w:hAnsi="Times New Roman" w:cs="Times New Roman"/>
          <w:i/>
          <w:iCs/>
          <w:sz w:val="24"/>
          <w:szCs w:val="24"/>
        </w:rPr>
        <w:t xml:space="preserve">Inflammation and Muscle Damage </w:t>
      </w:r>
    </w:p>
    <w:p w14:paraId="3EDB900F" w14:textId="49BDC47B" w:rsidR="008661CC" w:rsidRPr="00B1213E" w:rsidRDefault="3D9FB09B" w:rsidP="3D9FB09B">
      <w:pPr>
        <w:spacing w:after="0" w:line="360" w:lineRule="auto"/>
        <w:ind w:firstLine="709"/>
        <w:jc w:val="both"/>
        <w:rPr>
          <w:rFonts w:ascii="Times New Roman" w:hAnsi="Times New Roman" w:cs="Times New Roman"/>
          <w:b/>
          <w:bCs/>
          <w:sz w:val="24"/>
          <w:szCs w:val="24"/>
        </w:rPr>
      </w:pPr>
      <w:r w:rsidRPr="00B1213E">
        <w:rPr>
          <w:rFonts w:ascii="Times New Roman" w:hAnsi="Times New Roman" w:cs="Times New Roman"/>
          <w:sz w:val="24"/>
          <w:szCs w:val="24"/>
        </w:rPr>
        <w:t>IL-6 both absolute and relative changes (from PRE) revealed Time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4,112</w:t>
      </w:r>
      <w:r w:rsidRPr="00B1213E">
        <w:rPr>
          <w:rFonts w:ascii="Times New Roman" w:hAnsi="Times New Roman" w:cs="Times New Roman"/>
          <w:sz w:val="24"/>
          <w:szCs w:val="24"/>
        </w:rPr>
        <w:t xml:space="preserve">= 20.76,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and Time*Group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8,112</w:t>
      </w:r>
      <w:r w:rsidRPr="00B1213E">
        <w:rPr>
          <w:rFonts w:ascii="Times New Roman" w:hAnsi="Times New Roman" w:cs="Times New Roman"/>
          <w:sz w:val="24"/>
          <w:szCs w:val="24"/>
        </w:rPr>
        <w:t xml:space="preserve">= 2.36,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interactions. Post hoc analysis found differences between pre and post, as well as pre and 24</w:t>
      </w:r>
      <w:r w:rsidR="0069142D"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h (see </w:t>
      </w:r>
      <w:r w:rsidRPr="00B1213E">
        <w:rPr>
          <w:rFonts w:ascii="Times New Roman" w:hAnsi="Times New Roman" w:cs="Times New Roman"/>
          <w:b/>
          <w:bCs/>
          <w:sz w:val="24"/>
          <w:szCs w:val="24"/>
        </w:rPr>
        <w:t>Figure 5</w:t>
      </w:r>
      <w:r w:rsidRPr="00B1213E">
        <w:rPr>
          <w:rFonts w:ascii="Times New Roman" w:hAnsi="Times New Roman" w:cs="Times New Roman"/>
          <w:sz w:val="24"/>
          <w:szCs w:val="24"/>
        </w:rPr>
        <w:t>). Differences were also seen between post and 24</w:t>
      </w:r>
      <w:r w:rsidR="00083D28" w:rsidRPr="00B1213E">
        <w:rPr>
          <w:rFonts w:ascii="Times New Roman" w:hAnsi="Times New Roman" w:cs="Times New Roman"/>
          <w:sz w:val="24"/>
          <w:szCs w:val="24"/>
        </w:rPr>
        <w:t xml:space="preserve"> </w:t>
      </w:r>
      <w:r w:rsidRPr="00B1213E">
        <w:rPr>
          <w:rFonts w:ascii="Times New Roman" w:hAnsi="Times New Roman" w:cs="Times New Roman"/>
          <w:sz w:val="24"/>
          <w:szCs w:val="24"/>
        </w:rPr>
        <w:t>h, 48</w:t>
      </w:r>
      <w:r w:rsidR="00083D28" w:rsidRPr="00B1213E">
        <w:rPr>
          <w:rFonts w:ascii="Times New Roman" w:hAnsi="Times New Roman" w:cs="Times New Roman"/>
          <w:sz w:val="24"/>
          <w:szCs w:val="24"/>
        </w:rPr>
        <w:t xml:space="preserve"> </w:t>
      </w:r>
      <w:r w:rsidRPr="00B1213E">
        <w:rPr>
          <w:rFonts w:ascii="Times New Roman" w:hAnsi="Times New Roman" w:cs="Times New Roman"/>
          <w:sz w:val="24"/>
          <w:szCs w:val="24"/>
        </w:rPr>
        <w:t>h and 72</w:t>
      </w:r>
      <w:r w:rsidR="00083D28"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h. Peak IL-6 concentrations were </w:t>
      </w:r>
      <w:r w:rsidR="00951E72" w:rsidRPr="00B1213E">
        <w:rPr>
          <w:rFonts w:ascii="Times New Roman" w:hAnsi="Times New Roman" w:cs="Times New Roman"/>
          <w:sz w:val="24"/>
          <w:szCs w:val="24"/>
        </w:rPr>
        <w:t>seen</w:t>
      </w:r>
      <w:r w:rsidRPr="00B1213E">
        <w:rPr>
          <w:rFonts w:ascii="Times New Roman" w:hAnsi="Times New Roman" w:cs="Times New Roman"/>
          <w:sz w:val="24"/>
          <w:szCs w:val="24"/>
        </w:rPr>
        <w:t xml:space="preserve"> directly post EIMD. Post hoc analysis could not identify between</w:t>
      </w:r>
      <w:r w:rsidR="00544B0F" w:rsidRPr="00B1213E">
        <w:rPr>
          <w:rFonts w:ascii="Times New Roman" w:hAnsi="Times New Roman" w:cs="Times New Roman"/>
          <w:sz w:val="24"/>
          <w:szCs w:val="24"/>
        </w:rPr>
        <w:t>-</w:t>
      </w:r>
      <w:r w:rsidRPr="00B1213E">
        <w:rPr>
          <w:rFonts w:ascii="Times New Roman" w:hAnsi="Times New Roman" w:cs="Times New Roman"/>
          <w:sz w:val="24"/>
          <w:szCs w:val="24"/>
        </w:rPr>
        <w:t>group differences in absolute terms</w:t>
      </w:r>
      <w:r w:rsidR="00544B0F" w:rsidRPr="00B1213E">
        <w:rPr>
          <w:rFonts w:ascii="Times New Roman" w:hAnsi="Times New Roman" w:cs="Times New Roman"/>
          <w:sz w:val="24"/>
          <w:szCs w:val="24"/>
        </w:rPr>
        <w:t>;</w:t>
      </w:r>
      <w:r w:rsidRPr="00B1213E">
        <w:rPr>
          <w:rFonts w:ascii="Times New Roman" w:hAnsi="Times New Roman" w:cs="Times New Roman"/>
          <w:sz w:val="24"/>
          <w:szCs w:val="24"/>
        </w:rPr>
        <w:t xml:space="preserve"> however, </w:t>
      </w:r>
      <w:r w:rsidR="00203157" w:rsidRPr="00B1213E">
        <w:rPr>
          <w:rFonts w:ascii="Times New Roman" w:hAnsi="Times New Roman" w:cs="Times New Roman"/>
          <w:sz w:val="24"/>
          <w:szCs w:val="24"/>
        </w:rPr>
        <w:t xml:space="preserve">the </w:t>
      </w:r>
      <w:r w:rsidR="00203157" w:rsidRPr="00B1213E">
        <w:rPr>
          <w:rFonts w:ascii="Times New Roman" w:hAnsi="Times New Roman" w:cs="Times New Roman"/>
          <w:sz w:val="24"/>
          <w:szCs w:val="24"/>
        </w:rPr>
        <w:lastRenderedPageBreak/>
        <w:t>increase in IL-6 (%) was greater in PLA compared to HIGH</w:t>
      </w:r>
      <w:r w:rsidRPr="00B1213E">
        <w:rPr>
          <w:rFonts w:ascii="Times New Roman" w:hAnsi="Times New Roman" w:cs="Times New Roman"/>
          <w:sz w:val="24"/>
          <w:szCs w:val="24"/>
        </w:rPr>
        <w:t xml:space="preserve"> </w:t>
      </w:r>
      <w:r w:rsidR="00544B0F" w:rsidRPr="00B1213E">
        <w:rPr>
          <w:rFonts w:ascii="Times New Roman" w:hAnsi="Times New Roman" w:cs="Times New Roman"/>
          <w:sz w:val="24"/>
          <w:szCs w:val="24"/>
        </w:rPr>
        <w:t>immediately</w:t>
      </w:r>
      <w:r w:rsidRPr="00B1213E">
        <w:rPr>
          <w:rFonts w:ascii="Times New Roman" w:hAnsi="Times New Roman" w:cs="Times New Roman"/>
          <w:sz w:val="24"/>
          <w:szCs w:val="24"/>
        </w:rPr>
        <w:t xml:space="preserve"> post</w:t>
      </w:r>
      <w:r w:rsidR="00F200AC" w:rsidRPr="00B1213E">
        <w:rPr>
          <w:rFonts w:ascii="Times New Roman" w:hAnsi="Times New Roman" w:cs="Times New Roman"/>
          <w:sz w:val="24"/>
          <w:szCs w:val="24"/>
        </w:rPr>
        <w:t>-</w:t>
      </w:r>
      <w:r w:rsidRPr="00B1213E">
        <w:rPr>
          <w:rFonts w:ascii="Times New Roman" w:hAnsi="Times New Roman" w:cs="Times New Roman"/>
          <w:sz w:val="24"/>
          <w:szCs w:val="24"/>
        </w:rPr>
        <w:t>exercise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&lt; 0.05). CK showed effects across Time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4,116 </w:t>
      </w:r>
      <w:r w:rsidRPr="00B1213E">
        <w:rPr>
          <w:rFonts w:ascii="Times New Roman" w:hAnsi="Times New Roman" w:cs="Times New Roman"/>
          <w:sz w:val="24"/>
          <w:szCs w:val="24"/>
        </w:rPr>
        <w:t xml:space="preserve">= 18.82,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Group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2,29</w:t>
      </w:r>
      <w:r w:rsidRPr="00B1213E">
        <w:rPr>
          <w:rFonts w:ascii="Times New Roman" w:hAnsi="Times New Roman" w:cs="Times New Roman"/>
          <w:sz w:val="24"/>
          <w:szCs w:val="24"/>
        </w:rPr>
        <w:t xml:space="preserve">= 4.2,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and Time*Group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8,116 </w:t>
      </w:r>
      <w:r w:rsidRPr="00B1213E">
        <w:rPr>
          <w:rFonts w:ascii="Times New Roman" w:hAnsi="Times New Roman" w:cs="Times New Roman"/>
          <w:sz w:val="24"/>
          <w:szCs w:val="24"/>
        </w:rPr>
        <w:t xml:space="preserve">= 4.86,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Further analysis showed differences between pre and 24</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and pre and 48</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Further time point differences were seen between post and 24</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and 48</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24 and 72</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At 24</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h post muscle damage, differences in CK existed (</w:t>
      </w:r>
      <w:r w:rsidRPr="00B1213E">
        <w:rPr>
          <w:rFonts w:ascii="Times New Roman" w:hAnsi="Times New Roman" w:cs="Times New Roman"/>
          <w:i/>
          <w:iCs/>
          <w:sz w:val="24"/>
          <w:szCs w:val="24"/>
        </w:rPr>
        <w:t>P &lt;</w:t>
      </w:r>
      <w:r w:rsidRPr="00B1213E">
        <w:rPr>
          <w:rFonts w:ascii="Times New Roman" w:hAnsi="Times New Roman" w:cs="Times New Roman"/>
          <w:sz w:val="24"/>
          <w:szCs w:val="24"/>
        </w:rPr>
        <w:t xml:space="preserve"> 0.05) between PLA and HIGH, with HIGH displaying CK -75</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 lower than PLA. Compared to Pre however, changes in CK levels between groups were observed immediately post-exercise, as well as at 24</w:t>
      </w:r>
      <w:r w:rsidR="00192BFE" w:rsidRPr="00B1213E">
        <w:rPr>
          <w:rFonts w:ascii="Times New Roman" w:hAnsi="Times New Roman" w:cs="Times New Roman"/>
          <w:sz w:val="24"/>
          <w:szCs w:val="24"/>
        </w:rPr>
        <w:t>-</w:t>
      </w:r>
      <w:r w:rsidRPr="00B1213E">
        <w:rPr>
          <w:rFonts w:ascii="Times New Roman" w:hAnsi="Times New Roman" w:cs="Times New Roman"/>
          <w:sz w:val="24"/>
          <w:szCs w:val="24"/>
        </w:rPr>
        <w:t xml:space="preserve"> and 48</w:t>
      </w:r>
      <w:r w:rsidR="00192BFE" w:rsidRPr="00B1213E">
        <w:rPr>
          <w:rFonts w:ascii="Times New Roman" w:hAnsi="Times New Roman" w:cs="Times New Roman"/>
          <w:sz w:val="24"/>
          <w:szCs w:val="24"/>
        </w:rPr>
        <w:t>-</w:t>
      </w:r>
      <w:r w:rsidRPr="00B1213E">
        <w:rPr>
          <w:rFonts w:ascii="Times New Roman" w:hAnsi="Times New Roman" w:cs="Times New Roman"/>
          <w:sz w:val="24"/>
          <w:szCs w:val="24"/>
        </w:rPr>
        <w:t xml:space="preserve">h, with the HIGH group demonstrating the smallest deviation from Pre. Other than IL-6 and CK no Time* Group or between group changes were found in the biomarkers in </w:t>
      </w:r>
      <w:r w:rsidRPr="00B1213E">
        <w:rPr>
          <w:rFonts w:ascii="Times New Roman" w:hAnsi="Times New Roman" w:cs="Times New Roman"/>
          <w:b/>
          <w:bCs/>
          <w:sz w:val="24"/>
          <w:szCs w:val="24"/>
        </w:rPr>
        <w:t>Figure</w:t>
      </w:r>
      <w:r w:rsidR="00040905" w:rsidRPr="00B1213E">
        <w:rPr>
          <w:rFonts w:ascii="Times New Roman" w:hAnsi="Times New Roman" w:cs="Times New Roman"/>
          <w:b/>
          <w:bCs/>
          <w:sz w:val="24"/>
          <w:szCs w:val="24"/>
        </w:rPr>
        <w:t>s</w:t>
      </w:r>
      <w:r w:rsidRPr="00B1213E">
        <w:rPr>
          <w:rFonts w:ascii="Times New Roman" w:hAnsi="Times New Roman" w:cs="Times New Roman"/>
          <w:b/>
          <w:bCs/>
          <w:sz w:val="24"/>
          <w:szCs w:val="24"/>
        </w:rPr>
        <w:t xml:space="preserve"> 4</w:t>
      </w:r>
      <w:r w:rsidR="00040905" w:rsidRPr="00B1213E">
        <w:rPr>
          <w:rFonts w:ascii="Times New Roman" w:hAnsi="Times New Roman" w:cs="Times New Roman"/>
          <w:b/>
          <w:bCs/>
          <w:sz w:val="24"/>
          <w:szCs w:val="24"/>
        </w:rPr>
        <w:t>, 5, and 6</w:t>
      </w:r>
      <w:r w:rsidRPr="00B1213E">
        <w:rPr>
          <w:rFonts w:ascii="Times New Roman" w:hAnsi="Times New Roman" w:cs="Times New Roman"/>
          <w:sz w:val="24"/>
          <w:szCs w:val="24"/>
        </w:rPr>
        <w:t>. Time differences (</w:t>
      </w:r>
      <w:r w:rsidRPr="00B1213E">
        <w:rPr>
          <w:rFonts w:ascii="Times New Roman" w:hAnsi="Times New Roman" w:cs="Times New Roman"/>
          <w:i/>
          <w:iCs/>
          <w:sz w:val="24"/>
          <w:szCs w:val="24"/>
        </w:rPr>
        <w:t xml:space="preserve">P </w:t>
      </w:r>
      <w:r w:rsidRPr="00B1213E">
        <w:rPr>
          <w:rFonts w:ascii="Times New Roman" w:hAnsi="Times New Roman" w:cs="Times New Roman"/>
          <w:sz w:val="24"/>
          <w:szCs w:val="24"/>
        </w:rPr>
        <w:t>&lt; 0.05)</w:t>
      </w:r>
      <w:r w:rsidRPr="00B1213E">
        <w:rPr>
          <w:rFonts w:ascii="Times New Roman" w:hAnsi="Times New Roman" w:cs="Times New Roman"/>
          <w:i/>
          <w:iCs/>
          <w:sz w:val="24"/>
          <w:szCs w:val="24"/>
        </w:rPr>
        <w:t xml:space="preserve"> </w:t>
      </w:r>
      <w:r w:rsidRPr="00B1213E">
        <w:rPr>
          <w:rFonts w:ascii="Times New Roman" w:hAnsi="Times New Roman" w:cs="Times New Roman"/>
          <w:sz w:val="24"/>
          <w:szCs w:val="24"/>
        </w:rPr>
        <w:t xml:space="preserve">were found in swelling measures, see </w:t>
      </w:r>
      <w:r w:rsidRPr="00B1213E">
        <w:rPr>
          <w:rFonts w:ascii="Times New Roman" w:hAnsi="Times New Roman" w:cs="Times New Roman"/>
          <w:b/>
          <w:bCs/>
          <w:sz w:val="24"/>
          <w:szCs w:val="24"/>
        </w:rPr>
        <w:t xml:space="preserve">Table </w:t>
      </w:r>
      <w:r w:rsidR="20CAD30B" w:rsidRPr="00B1213E">
        <w:rPr>
          <w:rFonts w:ascii="Times New Roman" w:hAnsi="Times New Roman" w:cs="Times New Roman"/>
          <w:b/>
          <w:bCs/>
          <w:sz w:val="24"/>
          <w:szCs w:val="24"/>
        </w:rPr>
        <w:t>4</w:t>
      </w:r>
      <w:r w:rsidRPr="00B1213E">
        <w:rPr>
          <w:rFonts w:ascii="Times New Roman" w:hAnsi="Times New Roman" w:cs="Times New Roman"/>
          <w:b/>
          <w:bCs/>
          <w:sz w:val="24"/>
          <w:szCs w:val="24"/>
        </w:rPr>
        <w:t>.</w:t>
      </w:r>
    </w:p>
    <w:p w14:paraId="61827096" w14:textId="530512C1" w:rsidR="00E62038" w:rsidRPr="00B1213E" w:rsidRDefault="00DB00EE" w:rsidP="00E62038">
      <w:pPr>
        <w:spacing w:after="0" w:line="360" w:lineRule="auto"/>
        <w:rPr>
          <w:rFonts w:ascii="Times New Roman" w:hAnsi="Times New Roman" w:cs="Times New Roman"/>
          <w:sz w:val="24"/>
          <w:szCs w:val="24"/>
        </w:rPr>
      </w:pPr>
      <w:r w:rsidRPr="00B1213E">
        <w:rPr>
          <w:rFonts w:ascii="Times New Roman" w:hAnsi="Times New Roman" w:cs="Times New Roman"/>
          <w:noProof/>
          <w:sz w:val="24"/>
          <w:szCs w:val="24"/>
        </w:rPr>
        <w:drawing>
          <wp:inline distT="0" distB="0" distL="0" distR="0" wp14:anchorId="04AD54D4" wp14:editId="52D57B61">
            <wp:extent cx="5731510" cy="3185160"/>
            <wp:effectExtent l="0" t="0" r="2540" b="0"/>
            <wp:docPr id="1307961201" name="Picture 1"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61201" name="Picture 1" descr="A group of graphs and diagrams&#10;&#10;AI-generated content may be incorrect."/>
                    <pic:cNvPicPr/>
                  </pic:nvPicPr>
                  <pic:blipFill>
                    <a:blip r:embed="rId18"/>
                    <a:stretch>
                      <a:fillRect/>
                    </a:stretch>
                  </pic:blipFill>
                  <pic:spPr>
                    <a:xfrm>
                      <a:off x="0" y="0"/>
                      <a:ext cx="5731510" cy="3185160"/>
                    </a:xfrm>
                    <a:prstGeom prst="rect">
                      <a:avLst/>
                    </a:prstGeom>
                  </pic:spPr>
                </pic:pic>
              </a:graphicData>
            </a:graphic>
          </wp:inline>
        </w:drawing>
      </w:r>
    </w:p>
    <w:p w14:paraId="5CB1CE65" w14:textId="77777777" w:rsidR="00075DA4" w:rsidRPr="00B1213E" w:rsidRDefault="00075DA4" w:rsidP="00075DA4">
      <w:pPr>
        <w:rPr>
          <w:rFonts w:ascii="Times New Roman" w:hAnsi="Times New Roman" w:cs="Times New Roman"/>
          <w:b/>
          <w:bCs/>
          <w:sz w:val="24"/>
          <w:szCs w:val="24"/>
        </w:rPr>
      </w:pPr>
      <w:bookmarkStart w:id="14" w:name="_Hlk203125895"/>
      <w:bookmarkEnd w:id="13"/>
      <w:r w:rsidRPr="00B1213E">
        <w:rPr>
          <w:rFonts w:ascii="Times New Roman" w:hAnsi="Times New Roman" w:cs="Times New Roman"/>
          <w:b/>
          <w:bCs/>
          <w:sz w:val="24"/>
          <w:szCs w:val="24"/>
        </w:rPr>
        <w:t xml:space="preserve">Figure 4. </w:t>
      </w:r>
    </w:p>
    <w:bookmarkEnd w:id="14"/>
    <w:p w14:paraId="07077BA6" w14:textId="3A9447EE"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Plasma concentrations of anti-inflammatory cytokines IL-1RA, IL-4, and IL-10 were collected pre-exercise, post-exercise, and across recovery days. Values are shown as box and whisker plots representing the median, IQR, and range. Mean ± SD values for relative change from baseline are displayed in the line graph</w:t>
      </w:r>
      <w:r w:rsidR="001D2989" w:rsidRPr="00B1213E">
        <w:rPr>
          <w:rFonts w:ascii="Times New Roman" w:hAnsi="Times New Roman" w:cs="Times New Roman"/>
          <w:sz w:val="24"/>
          <w:szCs w:val="24"/>
        </w:rPr>
        <w:t>s</w:t>
      </w:r>
      <w:r w:rsidRPr="00B1213E">
        <w:rPr>
          <w:rFonts w:ascii="Times New Roman" w:hAnsi="Times New Roman" w:cs="Times New Roman"/>
          <w:sz w:val="24"/>
          <w:szCs w:val="24"/>
        </w:rPr>
        <w:t xml:space="preserve"> below, using matching time points.</w:t>
      </w:r>
    </w:p>
    <w:p w14:paraId="4198D352" w14:textId="77777777" w:rsidR="00E62038" w:rsidRPr="00B1213E" w:rsidRDefault="00E62038" w:rsidP="00600B4A">
      <w:pPr>
        <w:spacing w:after="0" w:line="360" w:lineRule="auto"/>
        <w:jc w:val="both"/>
        <w:rPr>
          <w:rFonts w:ascii="Times New Roman" w:hAnsi="Times New Roman" w:cs="Times New Roman"/>
          <w:sz w:val="24"/>
          <w:szCs w:val="24"/>
        </w:rPr>
      </w:pPr>
    </w:p>
    <w:p w14:paraId="0BA64B06" w14:textId="77777777" w:rsidR="0032183C" w:rsidRPr="00B1213E" w:rsidRDefault="0032183C" w:rsidP="00600B4A">
      <w:pPr>
        <w:spacing w:after="0" w:line="360" w:lineRule="auto"/>
        <w:jc w:val="both"/>
        <w:rPr>
          <w:rFonts w:ascii="Times New Roman" w:hAnsi="Times New Roman" w:cs="Times New Roman"/>
          <w:sz w:val="24"/>
          <w:szCs w:val="24"/>
        </w:rPr>
      </w:pPr>
    </w:p>
    <w:p w14:paraId="180635F6" w14:textId="067C2592" w:rsidR="00E62038" w:rsidRPr="00B1213E" w:rsidRDefault="00DB00EE" w:rsidP="00600B4A">
      <w:pPr>
        <w:spacing w:after="0" w:line="360" w:lineRule="auto"/>
        <w:jc w:val="both"/>
        <w:rPr>
          <w:rFonts w:ascii="Times New Roman" w:hAnsi="Times New Roman" w:cs="Times New Roman"/>
          <w:sz w:val="24"/>
          <w:szCs w:val="24"/>
        </w:rPr>
      </w:pPr>
      <w:r w:rsidRPr="00B1213E">
        <w:rPr>
          <w:rFonts w:ascii="Times New Roman" w:hAnsi="Times New Roman" w:cs="Times New Roman"/>
          <w:noProof/>
          <w:sz w:val="24"/>
          <w:szCs w:val="24"/>
        </w:rPr>
        <w:lastRenderedPageBreak/>
        <w:drawing>
          <wp:inline distT="0" distB="0" distL="0" distR="0" wp14:anchorId="63B9F82D" wp14:editId="12370C43">
            <wp:extent cx="5731510" cy="3180080"/>
            <wp:effectExtent l="0" t="0" r="2540" b="1270"/>
            <wp:docPr id="1696690413" name="Picture 2"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90413" name="Picture 2" descr="A group of graphs and diagrams&#10;&#10;AI-generated content may be incorrect."/>
                    <pic:cNvPicPr/>
                  </pic:nvPicPr>
                  <pic:blipFill>
                    <a:blip r:embed="rId19"/>
                    <a:stretch>
                      <a:fillRect/>
                    </a:stretch>
                  </pic:blipFill>
                  <pic:spPr>
                    <a:xfrm>
                      <a:off x="0" y="0"/>
                      <a:ext cx="5731510" cy="3180080"/>
                    </a:xfrm>
                    <a:prstGeom prst="rect">
                      <a:avLst/>
                    </a:prstGeom>
                  </pic:spPr>
                </pic:pic>
              </a:graphicData>
            </a:graphic>
          </wp:inline>
        </w:drawing>
      </w:r>
    </w:p>
    <w:p w14:paraId="311F97E1" w14:textId="77777777" w:rsidR="00075DA4" w:rsidRPr="00B1213E" w:rsidRDefault="00075DA4" w:rsidP="00075DA4">
      <w:pPr>
        <w:rPr>
          <w:rFonts w:ascii="Times New Roman" w:hAnsi="Times New Roman" w:cs="Times New Roman"/>
          <w:b/>
          <w:bCs/>
          <w:sz w:val="24"/>
          <w:szCs w:val="24"/>
        </w:rPr>
      </w:pPr>
      <w:bookmarkStart w:id="15" w:name="_Hlk203125902"/>
      <w:r w:rsidRPr="00B1213E">
        <w:rPr>
          <w:rFonts w:ascii="Times New Roman" w:hAnsi="Times New Roman" w:cs="Times New Roman"/>
          <w:b/>
          <w:bCs/>
          <w:sz w:val="24"/>
          <w:szCs w:val="24"/>
        </w:rPr>
        <w:t>Figure 5.</w:t>
      </w:r>
    </w:p>
    <w:bookmarkEnd w:id="15"/>
    <w:p w14:paraId="24319A0C" w14:textId="3CA25540"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 xml:space="preserve">Box and whisker plots showing absolute plasma concentrations of pro-inflammatory cytokines: IL-1β, IL-6, and TNF-α, measured before, immediately after, and during recovery following muscle-damaging exercise. Plots include the median, IQR, and range. Line graphs below show </w:t>
      </w:r>
      <w:r w:rsidR="006C4B46" w:rsidRPr="00B1213E">
        <w:rPr>
          <w:rFonts w:ascii="Times New Roman" w:hAnsi="Times New Roman" w:cs="Times New Roman"/>
          <w:sz w:val="24"/>
          <w:szCs w:val="24"/>
        </w:rPr>
        <w:t>m</w:t>
      </w:r>
      <w:r w:rsidRPr="00B1213E">
        <w:rPr>
          <w:rFonts w:ascii="Times New Roman" w:hAnsi="Times New Roman" w:cs="Times New Roman"/>
          <w:sz w:val="24"/>
          <w:szCs w:val="24"/>
        </w:rPr>
        <w:t>ean ± SD of relative change from baseline at corresponding time points.</w:t>
      </w:r>
    </w:p>
    <w:p w14:paraId="28E305FB" w14:textId="77777777" w:rsidR="003B745D" w:rsidRPr="00B1213E" w:rsidRDefault="003B745D" w:rsidP="00075DA4">
      <w:pPr>
        <w:spacing w:after="0" w:line="360" w:lineRule="auto"/>
        <w:jc w:val="both"/>
        <w:rPr>
          <w:rFonts w:ascii="Times New Roman" w:hAnsi="Times New Roman" w:cs="Times New Roman"/>
          <w:sz w:val="24"/>
          <w:szCs w:val="24"/>
        </w:rPr>
      </w:pPr>
    </w:p>
    <w:p w14:paraId="3D398BED" w14:textId="77777777" w:rsidR="00093F15" w:rsidRPr="00B1213E" w:rsidRDefault="00093F15" w:rsidP="0032183C">
      <w:pPr>
        <w:spacing w:after="0" w:line="360" w:lineRule="auto"/>
        <w:jc w:val="center"/>
        <w:rPr>
          <w:rFonts w:ascii="Times New Roman" w:hAnsi="Times New Roman" w:cs="Times New Roman"/>
          <w:sz w:val="24"/>
          <w:szCs w:val="24"/>
        </w:rPr>
      </w:pPr>
    </w:p>
    <w:p w14:paraId="5B2E626D" w14:textId="77777777" w:rsidR="00093F15" w:rsidRPr="00B1213E" w:rsidRDefault="00093F15" w:rsidP="0032183C">
      <w:pPr>
        <w:spacing w:after="0" w:line="360" w:lineRule="auto"/>
        <w:jc w:val="center"/>
        <w:rPr>
          <w:rFonts w:ascii="Times New Roman" w:hAnsi="Times New Roman" w:cs="Times New Roman"/>
          <w:sz w:val="24"/>
          <w:szCs w:val="24"/>
        </w:rPr>
      </w:pPr>
    </w:p>
    <w:p w14:paraId="79AFFC42" w14:textId="77777777" w:rsidR="00093F15" w:rsidRPr="00B1213E" w:rsidRDefault="00093F15" w:rsidP="0032183C">
      <w:pPr>
        <w:spacing w:after="0" w:line="360" w:lineRule="auto"/>
        <w:jc w:val="center"/>
        <w:rPr>
          <w:rFonts w:ascii="Times New Roman" w:hAnsi="Times New Roman" w:cs="Times New Roman"/>
          <w:sz w:val="24"/>
          <w:szCs w:val="24"/>
        </w:rPr>
      </w:pPr>
    </w:p>
    <w:p w14:paraId="5E4AC208" w14:textId="77777777" w:rsidR="00093F15" w:rsidRPr="00B1213E" w:rsidRDefault="00093F15" w:rsidP="0032183C">
      <w:pPr>
        <w:spacing w:after="0" w:line="360" w:lineRule="auto"/>
        <w:jc w:val="center"/>
        <w:rPr>
          <w:rFonts w:ascii="Times New Roman" w:hAnsi="Times New Roman" w:cs="Times New Roman"/>
          <w:sz w:val="24"/>
          <w:szCs w:val="24"/>
        </w:rPr>
      </w:pPr>
    </w:p>
    <w:p w14:paraId="4A5953CD" w14:textId="77777777" w:rsidR="00093F15" w:rsidRPr="00B1213E" w:rsidRDefault="00093F15" w:rsidP="0032183C">
      <w:pPr>
        <w:spacing w:after="0" w:line="360" w:lineRule="auto"/>
        <w:jc w:val="center"/>
        <w:rPr>
          <w:rFonts w:ascii="Times New Roman" w:hAnsi="Times New Roman" w:cs="Times New Roman"/>
          <w:sz w:val="24"/>
          <w:szCs w:val="24"/>
        </w:rPr>
      </w:pPr>
    </w:p>
    <w:p w14:paraId="5CF3F222" w14:textId="77777777" w:rsidR="00093F15" w:rsidRPr="00B1213E" w:rsidRDefault="00093F15" w:rsidP="0032183C">
      <w:pPr>
        <w:spacing w:after="0" w:line="360" w:lineRule="auto"/>
        <w:jc w:val="center"/>
        <w:rPr>
          <w:rFonts w:ascii="Times New Roman" w:hAnsi="Times New Roman" w:cs="Times New Roman"/>
          <w:sz w:val="24"/>
          <w:szCs w:val="24"/>
        </w:rPr>
      </w:pPr>
    </w:p>
    <w:p w14:paraId="3973282A" w14:textId="77777777" w:rsidR="00093F15" w:rsidRPr="00B1213E" w:rsidRDefault="00093F15" w:rsidP="0032183C">
      <w:pPr>
        <w:spacing w:after="0" w:line="360" w:lineRule="auto"/>
        <w:jc w:val="center"/>
        <w:rPr>
          <w:rFonts w:ascii="Times New Roman" w:hAnsi="Times New Roman" w:cs="Times New Roman"/>
          <w:sz w:val="24"/>
          <w:szCs w:val="24"/>
        </w:rPr>
      </w:pPr>
    </w:p>
    <w:p w14:paraId="4100EFE8" w14:textId="77777777" w:rsidR="00093F15" w:rsidRPr="00B1213E" w:rsidRDefault="00093F15" w:rsidP="0032183C">
      <w:pPr>
        <w:spacing w:after="0" w:line="360" w:lineRule="auto"/>
        <w:jc w:val="center"/>
        <w:rPr>
          <w:rFonts w:ascii="Times New Roman" w:hAnsi="Times New Roman" w:cs="Times New Roman"/>
          <w:sz w:val="24"/>
          <w:szCs w:val="24"/>
        </w:rPr>
      </w:pPr>
    </w:p>
    <w:p w14:paraId="5944D92E" w14:textId="77777777" w:rsidR="00093F15" w:rsidRPr="00B1213E" w:rsidRDefault="00093F15" w:rsidP="0032183C">
      <w:pPr>
        <w:spacing w:after="0" w:line="360" w:lineRule="auto"/>
        <w:jc w:val="center"/>
        <w:rPr>
          <w:rFonts w:ascii="Times New Roman" w:hAnsi="Times New Roman" w:cs="Times New Roman"/>
          <w:sz w:val="24"/>
          <w:szCs w:val="24"/>
        </w:rPr>
      </w:pPr>
    </w:p>
    <w:p w14:paraId="17097A88" w14:textId="77777777" w:rsidR="00093F15" w:rsidRPr="00B1213E" w:rsidRDefault="00093F15" w:rsidP="0032183C">
      <w:pPr>
        <w:spacing w:after="0" w:line="360" w:lineRule="auto"/>
        <w:jc w:val="center"/>
        <w:rPr>
          <w:rFonts w:ascii="Times New Roman" w:hAnsi="Times New Roman" w:cs="Times New Roman"/>
          <w:sz w:val="24"/>
          <w:szCs w:val="24"/>
        </w:rPr>
      </w:pPr>
    </w:p>
    <w:p w14:paraId="179DFF49" w14:textId="77777777" w:rsidR="00093F15" w:rsidRPr="00B1213E" w:rsidRDefault="00093F15" w:rsidP="0032183C">
      <w:pPr>
        <w:spacing w:after="0" w:line="360" w:lineRule="auto"/>
        <w:jc w:val="center"/>
        <w:rPr>
          <w:rFonts w:ascii="Times New Roman" w:hAnsi="Times New Roman" w:cs="Times New Roman"/>
          <w:sz w:val="24"/>
          <w:szCs w:val="24"/>
        </w:rPr>
      </w:pPr>
    </w:p>
    <w:p w14:paraId="591B6B21" w14:textId="1F45BCB3" w:rsidR="00E62038" w:rsidRPr="00B1213E" w:rsidRDefault="00DB00EE" w:rsidP="0032183C">
      <w:pPr>
        <w:spacing w:after="0" w:line="360" w:lineRule="auto"/>
        <w:jc w:val="center"/>
        <w:rPr>
          <w:rFonts w:ascii="Times New Roman" w:hAnsi="Times New Roman" w:cs="Times New Roman"/>
          <w:sz w:val="24"/>
          <w:szCs w:val="24"/>
        </w:rPr>
      </w:pPr>
      <w:r w:rsidRPr="00B1213E">
        <w:rPr>
          <w:rFonts w:ascii="Times New Roman" w:hAnsi="Times New Roman" w:cs="Times New Roman"/>
          <w:noProof/>
          <w:sz w:val="24"/>
          <w:szCs w:val="24"/>
        </w:rPr>
        <w:lastRenderedPageBreak/>
        <w:drawing>
          <wp:inline distT="0" distB="0" distL="0" distR="0" wp14:anchorId="5164D1C1" wp14:editId="3371076F">
            <wp:extent cx="4101092" cy="5228093"/>
            <wp:effectExtent l="0" t="0" r="0" b="0"/>
            <wp:docPr id="2112704947"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04947" name="Picture 3" descr="A graph of a number of people&#10;&#10;AI-generated content may be incorrect."/>
                    <pic:cNvPicPr/>
                  </pic:nvPicPr>
                  <pic:blipFill>
                    <a:blip r:embed="rId20"/>
                    <a:stretch>
                      <a:fillRect/>
                    </a:stretch>
                  </pic:blipFill>
                  <pic:spPr>
                    <a:xfrm>
                      <a:off x="0" y="0"/>
                      <a:ext cx="4101092" cy="5228093"/>
                    </a:xfrm>
                    <a:prstGeom prst="rect">
                      <a:avLst/>
                    </a:prstGeom>
                  </pic:spPr>
                </pic:pic>
              </a:graphicData>
            </a:graphic>
          </wp:inline>
        </w:drawing>
      </w:r>
    </w:p>
    <w:p w14:paraId="25DDA933" w14:textId="77777777" w:rsidR="00513B73" w:rsidRPr="00B1213E" w:rsidRDefault="00075DA4" w:rsidP="00075DA4">
      <w:pPr>
        <w:spacing w:after="0" w:line="360" w:lineRule="auto"/>
        <w:jc w:val="both"/>
        <w:rPr>
          <w:rFonts w:ascii="Times New Roman" w:hAnsi="Times New Roman" w:cs="Times New Roman"/>
          <w:sz w:val="24"/>
          <w:szCs w:val="24"/>
        </w:rPr>
      </w:pPr>
      <w:bookmarkStart w:id="16" w:name="_Hlk203125906"/>
      <w:r w:rsidRPr="00B1213E">
        <w:rPr>
          <w:rFonts w:ascii="Times New Roman" w:hAnsi="Times New Roman" w:cs="Times New Roman"/>
          <w:b/>
          <w:bCs/>
          <w:sz w:val="24"/>
          <w:szCs w:val="24"/>
        </w:rPr>
        <w:t>Figure 6.</w:t>
      </w:r>
      <w:r w:rsidRPr="00B1213E">
        <w:rPr>
          <w:rFonts w:ascii="Times New Roman" w:hAnsi="Times New Roman" w:cs="Times New Roman"/>
          <w:sz w:val="24"/>
          <w:szCs w:val="24"/>
        </w:rPr>
        <w:t xml:space="preserve"> </w:t>
      </w:r>
    </w:p>
    <w:bookmarkEnd w:id="16"/>
    <w:p w14:paraId="1EA62EE9" w14:textId="00DCA4E6"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 xml:space="preserve">Box and whisker plots showing absolute plasma concentrations of creatine kinase (CK), a marker of muscle damage, measured before, immediately after, and during recovery following muscle-damaging exercise. Plots present the median, IQR, and range. The line graph below the box plots presents </w:t>
      </w:r>
      <w:r w:rsidR="004E7022" w:rsidRPr="00B1213E">
        <w:rPr>
          <w:rFonts w:ascii="Times New Roman" w:hAnsi="Times New Roman" w:cs="Times New Roman"/>
          <w:sz w:val="24"/>
          <w:szCs w:val="24"/>
        </w:rPr>
        <w:t>m</w:t>
      </w:r>
      <w:r w:rsidRPr="00B1213E">
        <w:rPr>
          <w:rFonts w:ascii="Times New Roman" w:hAnsi="Times New Roman" w:cs="Times New Roman"/>
          <w:sz w:val="24"/>
          <w:szCs w:val="24"/>
        </w:rPr>
        <w:t>ean ± SD values representing the relative change from baseline, aligned with the same time points</w:t>
      </w:r>
      <w:r w:rsidR="008443DF" w:rsidRPr="00B1213E">
        <w:rPr>
          <w:rFonts w:ascii="Times New Roman" w:hAnsi="Times New Roman" w:cs="Times New Roman"/>
          <w:sz w:val="24"/>
          <w:szCs w:val="24"/>
        </w:rPr>
        <w:t>.</w:t>
      </w:r>
    </w:p>
    <w:p w14:paraId="516613D9" w14:textId="77777777" w:rsidR="00E62038" w:rsidRPr="00B1213E" w:rsidRDefault="00E62038" w:rsidP="00600B4A">
      <w:pPr>
        <w:spacing w:after="0" w:line="360" w:lineRule="auto"/>
        <w:jc w:val="both"/>
        <w:rPr>
          <w:rFonts w:ascii="Times New Roman" w:hAnsi="Times New Roman" w:cs="Times New Roman"/>
          <w:sz w:val="24"/>
          <w:szCs w:val="24"/>
        </w:rPr>
      </w:pPr>
    </w:p>
    <w:p w14:paraId="7C6FC597" w14:textId="77777777" w:rsidR="0046623F" w:rsidRPr="00B1213E" w:rsidRDefault="0046623F" w:rsidP="00600B4A">
      <w:pPr>
        <w:spacing w:after="0" w:line="360" w:lineRule="auto"/>
        <w:jc w:val="both"/>
        <w:rPr>
          <w:rFonts w:ascii="Times New Roman" w:hAnsi="Times New Roman" w:cs="Times New Roman"/>
          <w:sz w:val="24"/>
          <w:szCs w:val="24"/>
        </w:rPr>
      </w:pPr>
    </w:p>
    <w:p w14:paraId="5EE0EE33" w14:textId="5A2E6A06" w:rsidR="00B02086" w:rsidRPr="00B1213E" w:rsidRDefault="00B02086" w:rsidP="00B02086">
      <w:pPr>
        <w:rPr>
          <w:rFonts w:ascii="Times New Roman" w:hAnsi="Times New Roman" w:cs="Times New Roman"/>
          <w:sz w:val="24"/>
          <w:szCs w:val="24"/>
        </w:rPr>
        <w:sectPr w:rsidR="00B02086" w:rsidRPr="00B1213E" w:rsidSect="00945646">
          <w:headerReference w:type="default" r:id="rId21"/>
          <w:pgSz w:w="11906" w:h="16838"/>
          <w:pgMar w:top="1440" w:right="1440" w:bottom="1440" w:left="1440" w:header="709" w:footer="709" w:gutter="0"/>
          <w:lnNumType w:countBy="1"/>
          <w:cols w:space="708"/>
          <w:docGrid w:linePitch="360"/>
        </w:sectPr>
      </w:pPr>
    </w:p>
    <w:p w14:paraId="2E065071" w14:textId="77777777" w:rsidR="00112961" w:rsidRPr="00B1213E" w:rsidRDefault="00112961" w:rsidP="00112961">
      <w:pPr>
        <w:spacing w:after="0" w:line="360" w:lineRule="auto"/>
        <w:jc w:val="both"/>
        <w:rPr>
          <w:rFonts w:ascii="Times New Roman" w:hAnsi="Times New Roman" w:cs="Times New Roman"/>
          <w:i/>
          <w:iCs/>
          <w:sz w:val="24"/>
          <w:szCs w:val="24"/>
        </w:rPr>
      </w:pPr>
      <w:bookmarkStart w:id="17" w:name="_Hlk179981741"/>
      <w:r w:rsidRPr="00B1213E">
        <w:rPr>
          <w:rFonts w:ascii="Times New Roman" w:hAnsi="Times New Roman" w:cs="Times New Roman"/>
          <w:i/>
          <w:iCs/>
          <w:sz w:val="24"/>
          <w:szCs w:val="24"/>
        </w:rPr>
        <w:lastRenderedPageBreak/>
        <w:t>Pain Pressure Threshold</w:t>
      </w:r>
    </w:p>
    <w:p w14:paraId="5D258F74" w14:textId="43563A56" w:rsidR="00112961" w:rsidRPr="00B1213E" w:rsidRDefault="008C39B0" w:rsidP="00942068">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Both</w:t>
      </w:r>
      <w:r w:rsidR="3D9FB09B" w:rsidRPr="00B1213E">
        <w:rPr>
          <w:rFonts w:ascii="Times New Roman" w:hAnsi="Times New Roman" w:cs="Times New Roman"/>
          <w:sz w:val="24"/>
          <w:szCs w:val="24"/>
        </w:rPr>
        <w:t xml:space="preserve"> absolute and relative changes</w:t>
      </w:r>
      <w:r w:rsidRPr="00B1213E">
        <w:rPr>
          <w:rFonts w:ascii="Times New Roman" w:hAnsi="Times New Roman" w:cs="Times New Roman"/>
          <w:sz w:val="24"/>
          <w:szCs w:val="24"/>
        </w:rPr>
        <w:t xml:space="preserve"> in PPT</w:t>
      </w:r>
      <w:r w:rsidR="3D9FB09B" w:rsidRPr="00B1213E">
        <w:rPr>
          <w:rFonts w:ascii="Times New Roman" w:hAnsi="Times New Roman" w:cs="Times New Roman"/>
          <w:sz w:val="24"/>
          <w:szCs w:val="24"/>
        </w:rPr>
        <w:t xml:space="preserve"> (from PRE) revealed time (F</w:t>
      </w:r>
      <w:r w:rsidR="3D9FB09B" w:rsidRPr="00B1213E">
        <w:rPr>
          <w:rFonts w:ascii="Times New Roman" w:hAnsi="Times New Roman" w:cs="Times New Roman"/>
          <w:sz w:val="24"/>
          <w:szCs w:val="24"/>
          <w:vertAlign w:val="subscript"/>
        </w:rPr>
        <w:t>4,120</w:t>
      </w:r>
      <w:r w:rsidR="3D9FB09B" w:rsidRPr="00B1213E">
        <w:rPr>
          <w:rFonts w:ascii="Times New Roman" w:hAnsi="Times New Roman" w:cs="Times New Roman"/>
          <w:sz w:val="24"/>
          <w:szCs w:val="24"/>
        </w:rPr>
        <w:t xml:space="preserve">= 4.672, </w:t>
      </w:r>
      <w:r w:rsidR="3D9FB09B" w:rsidRPr="00B1213E">
        <w:rPr>
          <w:rFonts w:ascii="Times New Roman" w:hAnsi="Times New Roman" w:cs="Times New Roman"/>
          <w:i/>
          <w:iCs/>
          <w:sz w:val="24"/>
          <w:szCs w:val="24"/>
        </w:rPr>
        <w:t xml:space="preserve">P </w:t>
      </w:r>
      <w:r w:rsidR="3D9FB09B" w:rsidRPr="00B1213E">
        <w:rPr>
          <w:rFonts w:ascii="Times New Roman" w:hAnsi="Times New Roman" w:cs="Times New Roman"/>
          <w:sz w:val="24"/>
          <w:szCs w:val="24"/>
        </w:rPr>
        <w:t xml:space="preserve">&lt; 0.05) interactions. </w:t>
      </w:r>
      <w:r w:rsidR="00681D4A" w:rsidRPr="00B1213E">
        <w:rPr>
          <w:rFonts w:ascii="Times New Roman" w:hAnsi="Times New Roman" w:cs="Times New Roman"/>
          <w:sz w:val="24"/>
          <w:szCs w:val="24"/>
        </w:rPr>
        <w:t>Compared with pre-exercise values PPTs reduced post exercise.</w:t>
      </w:r>
      <w:r w:rsidR="002B16E3" w:rsidRPr="00B1213E">
        <w:rPr>
          <w:rFonts w:ascii="Times New Roman" w:hAnsi="Times New Roman" w:cs="Times New Roman"/>
          <w:sz w:val="24"/>
          <w:szCs w:val="24"/>
        </w:rPr>
        <w:t xml:space="preserve"> </w:t>
      </w:r>
      <w:r w:rsidR="00681D4A" w:rsidRPr="00B1213E">
        <w:rPr>
          <w:rFonts w:ascii="Times New Roman" w:hAnsi="Times New Roman" w:cs="Times New Roman"/>
          <w:sz w:val="24"/>
          <w:szCs w:val="24"/>
        </w:rPr>
        <w:t>Post hoc analyses of absolute PPT values revealed significantly lower PPT measurements (</w:t>
      </w:r>
      <w:r w:rsidR="00681D4A" w:rsidRPr="00B1213E">
        <w:rPr>
          <w:rFonts w:ascii="Times New Roman" w:hAnsi="Times New Roman" w:cs="Times New Roman"/>
          <w:i/>
          <w:iCs/>
          <w:sz w:val="24"/>
          <w:szCs w:val="24"/>
        </w:rPr>
        <w:t xml:space="preserve">P </w:t>
      </w:r>
      <w:r w:rsidR="00681D4A" w:rsidRPr="00B1213E">
        <w:rPr>
          <w:rFonts w:ascii="Times New Roman" w:hAnsi="Times New Roman" w:cs="Times New Roman"/>
          <w:sz w:val="24"/>
          <w:szCs w:val="24"/>
        </w:rPr>
        <w:t>&lt; 0.05) 24</w:t>
      </w:r>
      <w:r w:rsidR="0069142D" w:rsidRPr="00B1213E">
        <w:rPr>
          <w:rFonts w:ascii="Times New Roman" w:hAnsi="Times New Roman" w:cs="Times New Roman"/>
          <w:sz w:val="24"/>
          <w:szCs w:val="24"/>
        </w:rPr>
        <w:t xml:space="preserve"> </w:t>
      </w:r>
      <w:r w:rsidR="00681D4A" w:rsidRPr="00B1213E">
        <w:rPr>
          <w:rFonts w:ascii="Times New Roman" w:hAnsi="Times New Roman" w:cs="Times New Roman"/>
          <w:sz w:val="24"/>
          <w:szCs w:val="24"/>
        </w:rPr>
        <w:t>h after EIMD. Similarly, post hoc observations of relative PPT indicated significantly reduced (</w:t>
      </w:r>
      <w:r w:rsidR="00681D4A" w:rsidRPr="00B1213E">
        <w:rPr>
          <w:rFonts w:ascii="Times New Roman" w:hAnsi="Times New Roman" w:cs="Times New Roman"/>
          <w:i/>
          <w:iCs/>
          <w:sz w:val="24"/>
          <w:szCs w:val="24"/>
        </w:rPr>
        <w:t xml:space="preserve">P </w:t>
      </w:r>
      <w:r w:rsidR="00681D4A" w:rsidRPr="00B1213E">
        <w:rPr>
          <w:rFonts w:ascii="Times New Roman" w:hAnsi="Times New Roman" w:cs="Times New Roman"/>
          <w:sz w:val="24"/>
          <w:szCs w:val="24"/>
        </w:rPr>
        <w:t xml:space="preserve">&lt; 0.05) values in the PLA condition compared to both the LOW and HIGH conditions at the same time point. </w:t>
      </w:r>
      <w:bookmarkStart w:id="18" w:name="_Hlk179981565"/>
      <w:r w:rsidR="00B27932" w:rsidRPr="00B1213E">
        <w:rPr>
          <w:rFonts w:ascii="Times New Roman" w:hAnsi="Times New Roman" w:cs="Times New Roman"/>
          <w:sz w:val="24"/>
          <w:szCs w:val="24"/>
        </w:rPr>
        <w:t xml:space="preserve">However, </w:t>
      </w:r>
      <w:r w:rsidR="3D9FB09B" w:rsidRPr="00B1213E">
        <w:rPr>
          <w:rFonts w:ascii="Times New Roman" w:hAnsi="Times New Roman" w:cs="Times New Roman"/>
          <w:sz w:val="24"/>
          <w:szCs w:val="24"/>
        </w:rPr>
        <w:t xml:space="preserve">no group or Time*Group interactions were observed. </w:t>
      </w:r>
      <w:bookmarkEnd w:id="18"/>
      <w:r w:rsidR="3D9FB09B" w:rsidRPr="00B1213E">
        <w:rPr>
          <w:rFonts w:ascii="Times New Roman" w:hAnsi="Times New Roman" w:cs="Times New Roman"/>
          <w:sz w:val="24"/>
          <w:szCs w:val="24"/>
        </w:rPr>
        <w:t>PPT relative to Pre (%) showed group differences at 24</w:t>
      </w:r>
      <w:r w:rsidR="0069142D" w:rsidRPr="00B1213E">
        <w:rPr>
          <w:rFonts w:ascii="Times New Roman" w:hAnsi="Times New Roman" w:cs="Times New Roman"/>
          <w:sz w:val="24"/>
          <w:szCs w:val="24"/>
        </w:rPr>
        <w:t xml:space="preserve"> </w:t>
      </w:r>
      <w:r w:rsidR="3D9FB09B" w:rsidRPr="00B1213E">
        <w:rPr>
          <w:rFonts w:ascii="Times New Roman" w:hAnsi="Times New Roman" w:cs="Times New Roman"/>
          <w:sz w:val="24"/>
          <w:szCs w:val="24"/>
        </w:rPr>
        <w:t xml:space="preserve">h between PLA and both LOW and HIGH, with PLA exhibiting the greatest deviation from Pre (see </w:t>
      </w:r>
      <w:r w:rsidR="3D9FB09B" w:rsidRPr="00B1213E">
        <w:rPr>
          <w:rFonts w:ascii="Times New Roman" w:hAnsi="Times New Roman" w:cs="Times New Roman"/>
          <w:b/>
          <w:bCs/>
          <w:sz w:val="24"/>
          <w:szCs w:val="24"/>
        </w:rPr>
        <w:t>Figure 5</w:t>
      </w:r>
      <w:r w:rsidR="3D9FB09B" w:rsidRPr="00B1213E">
        <w:rPr>
          <w:rFonts w:ascii="Times New Roman" w:hAnsi="Times New Roman" w:cs="Times New Roman"/>
          <w:sz w:val="24"/>
          <w:szCs w:val="24"/>
        </w:rPr>
        <w:t>).</w:t>
      </w:r>
    </w:p>
    <w:bookmarkEnd w:id="17"/>
    <w:p w14:paraId="04FD4DA1" w14:textId="77777777" w:rsidR="00112961" w:rsidRPr="00B1213E" w:rsidRDefault="00112961" w:rsidP="00112961">
      <w:pPr>
        <w:spacing w:after="0" w:line="360" w:lineRule="auto"/>
        <w:jc w:val="both"/>
        <w:rPr>
          <w:rFonts w:ascii="Times New Roman" w:hAnsi="Times New Roman" w:cs="Times New Roman"/>
          <w:sz w:val="24"/>
          <w:szCs w:val="24"/>
        </w:rPr>
      </w:pPr>
    </w:p>
    <w:p w14:paraId="2A0BC09F" w14:textId="172C4A17" w:rsidR="0046623F" w:rsidRPr="00B1213E" w:rsidRDefault="00D76C01" w:rsidP="0046623F">
      <w:pPr>
        <w:spacing w:after="0" w:line="360" w:lineRule="auto"/>
        <w:jc w:val="center"/>
        <w:rPr>
          <w:rFonts w:ascii="Times New Roman" w:hAnsi="Times New Roman" w:cs="Times New Roman"/>
          <w:sz w:val="24"/>
          <w:szCs w:val="24"/>
        </w:rPr>
      </w:pPr>
      <w:r w:rsidRPr="00B1213E">
        <w:rPr>
          <w:rFonts w:ascii="Times New Roman" w:hAnsi="Times New Roman" w:cs="Times New Roman"/>
          <w:noProof/>
          <w:sz w:val="24"/>
          <w:szCs w:val="24"/>
        </w:rPr>
        <w:drawing>
          <wp:inline distT="0" distB="0" distL="0" distR="0" wp14:anchorId="1923140C" wp14:editId="66BDB8E2">
            <wp:extent cx="4901879" cy="5368835"/>
            <wp:effectExtent l="0" t="0" r="0" b="3810"/>
            <wp:docPr id="412302201" name="Picture 17" descr="A graph of a number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02201" name="Picture 17" descr="A graph of a number of different numbers&#10;&#10;AI-generated content may be incorrect."/>
                    <pic:cNvPicPr/>
                  </pic:nvPicPr>
                  <pic:blipFill>
                    <a:blip r:embed="rId22"/>
                    <a:stretch>
                      <a:fillRect/>
                    </a:stretch>
                  </pic:blipFill>
                  <pic:spPr>
                    <a:xfrm>
                      <a:off x="0" y="0"/>
                      <a:ext cx="4903187" cy="5370267"/>
                    </a:xfrm>
                    <a:prstGeom prst="rect">
                      <a:avLst/>
                    </a:prstGeom>
                  </pic:spPr>
                </pic:pic>
              </a:graphicData>
            </a:graphic>
          </wp:inline>
        </w:drawing>
      </w:r>
    </w:p>
    <w:p w14:paraId="20340BFC" w14:textId="77777777" w:rsidR="00075DA4" w:rsidRPr="00B1213E" w:rsidRDefault="00075DA4" w:rsidP="00075DA4">
      <w:pPr>
        <w:tabs>
          <w:tab w:val="left" w:pos="1450"/>
        </w:tabs>
        <w:spacing w:after="0" w:line="360" w:lineRule="auto"/>
        <w:rPr>
          <w:rFonts w:ascii="Times New Roman" w:hAnsi="Times New Roman" w:cs="Times New Roman"/>
          <w:b/>
          <w:bCs/>
          <w:sz w:val="24"/>
          <w:szCs w:val="24"/>
        </w:rPr>
      </w:pPr>
      <w:bookmarkStart w:id="19" w:name="_Hlk203125913"/>
      <w:r w:rsidRPr="00B1213E">
        <w:rPr>
          <w:rFonts w:ascii="Times New Roman" w:hAnsi="Times New Roman" w:cs="Times New Roman"/>
          <w:b/>
          <w:bCs/>
          <w:sz w:val="24"/>
          <w:szCs w:val="24"/>
        </w:rPr>
        <w:t xml:space="preserve">Figure 7. </w:t>
      </w:r>
    </w:p>
    <w:bookmarkEnd w:id="19"/>
    <w:p w14:paraId="4AACE6A5" w14:textId="620944BF"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 xml:space="preserve">Pain pressure threshold (PPT) values were recorded at baseline, immediately post-exercise, and over the recovery period to assess muscle sensitivity. Box and whisker plots represent the </w:t>
      </w:r>
      <w:r w:rsidRPr="00B1213E">
        <w:rPr>
          <w:rFonts w:ascii="Times New Roman" w:hAnsi="Times New Roman" w:cs="Times New Roman"/>
          <w:sz w:val="24"/>
          <w:szCs w:val="24"/>
        </w:rPr>
        <w:lastRenderedPageBreak/>
        <w:t xml:space="preserve">median, IQR, and range. Line graph below show </w:t>
      </w:r>
      <w:r w:rsidR="004E7022" w:rsidRPr="00B1213E">
        <w:rPr>
          <w:rFonts w:ascii="Times New Roman" w:hAnsi="Times New Roman" w:cs="Times New Roman"/>
          <w:sz w:val="24"/>
          <w:szCs w:val="24"/>
        </w:rPr>
        <w:t>m</w:t>
      </w:r>
      <w:r w:rsidRPr="00B1213E">
        <w:rPr>
          <w:rFonts w:ascii="Times New Roman" w:hAnsi="Times New Roman" w:cs="Times New Roman"/>
          <w:sz w:val="24"/>
          <w:szCs w:val="24"/>
        </w:rPr>
        <w:t>ean ± SD of relative change from baseline at corresponding time points.</w:t>
      </w:r>
    </w:p>
    <w:p w14:paraId="20854204" w14:textId="77777777" w:rsidR="0046623F" w:rsidRPr="00B1213E" w:rsidRDefault="0046623F" w:rsidP="00CB49AE">
      <w:pPr>
        <w:spacing w:after="0" w:line="360" w:lineRule="auto"/>
        <w:jc w:val="both"/>
        <w:rPr>
          <w:rFonts w:ascii="Times New Roman" w:hAnsi="Times New Roman" w:cs="Times New Roman"/>
          <w:i/>
          <w:iCs/>
          <w:sz w:val="24"/>
          <w:szCs w:val="24"/>
        </w:rPr>
      </w:pPr>
    </w:p>
    <w:p w14:paraId="0E0FBD37" w14:textId="3B2C6805" w:rsidR="00CB49AE" w:rsidRPr="00B1213E" w:rsidRDefault="00CB49AE" w:rsidP="00CB49AE">
      <w:pPr>
        <w:spacing w:after="0" w:line="360" w:lineRule="auto"/>
        <w:jc w:val="both"/>
        <w:rPr>
          <w:rFonts w:ascii="Times New Roman" w:hAnsi="Times New Roman" w:cs="Times New Roman"/>
          <w:i/>
          <w:iCs/>
          <w:sz w:val="24"/>
          <w:szCs w:val="24"/>
        </w:rPr>
      </w:pPr>
      <w:r w:rsidRPr="00B1213E">
        <w:rPr>
          <w:rFonts w:ascii="Times New Roman" w:hAnsi="Times New Roman" w:cs="Times New Roman"/>
          <w:i/>
          <w:iCs/>
          <w:sz w:val="24"/>
          <w:szCs w:val="24"/>
        </w:rPr>
        <w:t>Muscle Performance</w:t>
      </w:r>
    </w:p>
    <w:p w14:paraId="1F74F60E" w14:textId="30D21C24" w:rsidR="00744146" w:rsidRPr="00B1213E" w:rsidRDefault="3D9FB09B" w:rsidP="00616D11">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Peak torque revealed </w:t>
      </w:r>
      <w:r w:rsidR="00753DC3" w:rsidRPr="00B1213E">
        <w:rPr>
          <w:rFonts w:ascii="Times New Roman" w:hAnsi="Times New Roman" w:cs="Times New Roman"/>
          <w:sz w:val="24"/>
          <w:szCs w:val="24"/>
        </w:rPr>
        <w:t xml:space="preserve">a </w:t>
      </w:r>
      <w:r w:rsidRPr="00B1213E">
        <w:rPr>
          <w:rFonts w:ascii="Times New Roman" w:hAnsi="Times New Roman" w:cs="Times New Roman"/>
          <w:sz w:val="24"/>
          <w:szCs w:val="24"/>
        </w:rPr>
        <w:t>Time</w:t>
      </w:r>
      <w:r w:rsidR="00753DC3" w:rsidRPr="00B1213E">
        <w:rPr>
          <w:rFonts w:ascii="Times New Roman" w:hAnsi="Times New Roman" w:cs="Times New Roman"/>
          <w:sz w:val="24"/>
          <w:szCs w:val="24"/>
        </w:rPr>
        <w:t xml:space="preserve"> effect</w:t>
      </w:r>
      <w:r w:rsidRPr="00B1213E">
        <w:rPr>
          <w:rFonts w:ascii="Times New Roman" w:hAnsi="Times New Roman" w:cs="Times New Roman"/>
          <w:sz w:val="24"/>
          <w:szCs w:val="24"/>
        </w:rPr>
        <w:t xml:space="preserve">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2.24,69.34 </w:t>
      </w:r>
      <w:r w:rsidRPr="00B1213E">
        <w:rPr>
          <w:rFonts w:ascii="Times New Roman" w:hAnsi="Times New Roman" w:cs="Times New Roman"/>
          <w:sz w:val="24"/>
          <w:szCs w:val="24"/>
        </w:rPr>
        <w:t xml:space="preserve">= 38.89,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but not Time*Group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4.47,69.34 </w:t>
      </w:r>
      <w:r w:rsidRPr="00B1213E">
        <w:rPr>
          <w:rFonts w:ascii="Times New Roman" w:hAnsi="Times New Roman" w:cs="Times New Roman"/>
          <w:sz w:val="24"/>
          <w:szCs w:val="24"/>
        </w:rPr>
        <w:t xml:space="preserve">= 0.727,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or Group interactions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2,31 </w:t>
      </w:r>
      <w:r w:rsidRPr="00B1213E">
        <w:rPr>
          <w:rFonts w:ascii="Times New Roman" w:hAnsi="Times New Roman" w:cs="Times New Roman"/>
          <w:sz w:val="24"/>
          <w:szCs w:val="24"/>
        </w:rPr>
        <w:t xml:space="preserve">= 1.61,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additionally no differences were </w:t>
      </w:r>
      <w:r w:rsidR="00753DC3" w:rsidRPr="00B1213E">
        <w:rPr>
          <w:rFonts w:ascii="Times New Roman" w:hAnsi="Times New Roman" w:cs="Times New Roman"/>
          <w:sz w:val="24"/>
          <w:szCs w:val="24"/>
        </w:rPr>
        <w:t xml:space="preserve">observed </w:t>
      </w:r>
      <w:r w:rsidRPr="00B1213E">
        <w:rPr>
          <w:rFonts w:ascii="Times New Roman" w:hAnsi="Times New Roman" w:cs="Times New Roman"/>
          <w:sz w:val="24"/>
          <w:szCs w:val="24"/>
        </w:rPr>
        <w:t>in relative terms between Groups (%). Muscle endurance also revealed Time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2.23,64.7 </w:t>
      </w:r>
      <w:r w:rsidRPr="00B1213E">
        <w:rPr>
          <w:rFonts w:ascii="Times New Roman" w:hAnsi="Times New Roman" w:cs="Times New Roman"/>
          <w:sz w:val="24"/>
          <w:szCs w:val="24"/>
        </w:rPr>
        <w:t xml:space="preserve">= 55.56,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but not Time*Group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4.47,64.7 </w:t>
      </w:r>
      <w:r w:rsidRPr="00B1213E">
        <w:rPr>
          <w:rFonts w:ascii="Times New Roman" w:hAnsi="Times New Roman" w:cs="Times New Roman"/>
          <w:sz w:val="24"/>
          <w:szCs w:val="24"/>
        </w:rPr>
        <w:t xml:space="preserve">= 1.316,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or Group interactions (</w:t>
      </w:r>
      <w:r w:rsidRPr="00B1213E">
        <w:rPr>
          <w:rFonts w:ascii="Times New Roman" w:hAnsi="Times New Roman" w:cs="Times New Roman"/>
          <w:i/>
          <w:iCs/>
          <w:sz w:val="24"/>
          <w:szCs w:val="24"/>
        </w:rPr>
        <w:t>F</w:t>
      </w:r>
      <w:r w:rsidRPr="00B1213E">
        <w:rPr>
          <w:rFonts w:ascii="Times New Roman" w:hAnsi="Times New Roman" w:cs="Times New Roman"/>
          <w:sz w:val="24"/>
          <w:szCs w:val="24"/>
          <w:vertAlign w:val="subscript"/>
        </w:rPr>
        <w:t xml:space="preserve">2,29 </w:t>
      </w:r>
      <w:r w:rsidRPr="00B1213E">
        <w:rPr>
          <w:rFonts w:ascii="Times New Roman" w:hAnsi="Times New Roman" w:cs="Times New Roman"/>
          <w:sz w:val="24"/>
          <w:szCs w:val="24"/>
        </w:rPr>
        <w:t xml:space="preserve">= 0.88, </w:t>
      </w:r>
      <w:r w:rsidRPr="00B1213E">
        <w:rPr>
          <w:rFonts w:ascii="Times New Roman" w:hAnsi="Times New Roman" w:cs="Times New Roman"/>
          <w:i/>
          <w:iCs/>
          <w:sz w:val="24"/>
          <w:szCs w:val="24"/>
        </w:rPr>
        <w:t>P &gt;</w:t>
      </w:r>
      <w:r w:rsidRPr="00B1213E">
        <w:rPr>
          <w:rFonts w:ascii="Times New Roman" w:hAnsi="Times New Roman" w:cs="Times New Roman"/>
          <w:sz w:val="24"/>
          <w:szCs w:val="24"/>
        </w:rPr>
        <w:t xml:space="preserve"> 0.05). However, differences were </w:t>
      </w:r>
      <w:r w:rsidR="004C2D15" w:rsidRPr="00B1213E">
        <w:rPr>
          <w:rFonts w:ascii="Times New Roman" w:hAnsi="Times New Roman" w:cs="Times New Roman"/>
          <w:sz w:val="24"/>
          <w:szCs w:val="24"/>
        </w:rPr>
        <w:t>observed</w:t>
      </w:r>
      <w:r w:rsidRPr="00B1213E">
        <w:rPr>
          <w:rFonts w:ascii="Times New Roman" w:hAnsi="Times New Roman" w:cs="Times New Roman"/>
          <w:sz w:val="24"/>
          <w:szCs w:val="24"/>
        </w:rPr>
        <w:t xml:space="preserve"> in relative terms 24</w:t>
      </w:r>
      <w:r w:rsidR="0069142D" w:rsidRPr="00B1213E">
        <w:rPr>
          <w:rFonts w:ascii="Times New Roman" w:hAnsi="Times New Roman" w:cs="Times New Roman"/>
          <w:sz w:val="24"/>
          <w:szCs w:val="24"/>
        </w:rPr>
        <w:t xml:space="preserve"> </w:t>
      </w:r>
      <w:r w:rsidRPr="00B1213E">
        <w:rPr>
          <w:rFonts w:ascii="Times New Roman" w:hAnsi="Times New Roman" w:cs="Times New Roman"/>
          <w:sz w:val="24"/>
          <w:szCs w:val="24"/>
        </w:rPr>
        <w:t>h post EIMD</w:t>
      </w:r>
      <w:r w:rsidR="004C2D15"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with HIGH </w:t>
      </w:r>
      <w:r w:rsidR="004C2D15" w:rsidRPr="00B1213E">
        <w:rPr>
          <w:rFonts w:ascii="Times New Roman" w:hAnsi="Times New Roman" w:cs="Times New Roman"/>
          <w:sz w:val="24"/>
          <w:szCs w:val="24"/>
        </w:rPr>
        <w:t xml:space="preserve">showing significantly greater </w:t>
      </w:r>
      <w:r w:rsidRPr="00B1213E">
        <w:rPr>
          <w:rFonts w:ascii="Times New Roman" w:hAnsi="Times New Roman" w:cs="Times New Roman"/>
          <w:sz w:val="24"/>
          <w:szCs w:val="24"/>
        </w:rPr>
        <w:t>devia</w:t>
      </w:r>
      <w:r w:rsidR="004C2D15" w:rsidRPr="00B1213E">
        <w:rPr>
          <w:rFonts w:ascii="Times New Roman" w:hAnsi="Times New Roman" w:cs="Times New Roman"/>
          <w:sz w:val="24"/>
          <w:szCs w:val="24"/>
        </w:rPr>
        <w:t>tion</w:t>
      </w:r>
      <w:r w:rsidRPr="00B1213E">
        <w:rPr>
          <w:rFonts w:ascii="Times New Roman" w:hAnsi="Times New Roman" w:cs="Times New Roman"/>
          <w:sz w:val="24"/>
          <w:szCs w:val="24"/>
        </w:rPr>
        <w:t xml:space="preserve"> from Pre values than PLA and LOW </w:t>
      </w:r>
      <w:r w:rsidRPr="00B1213E">
        <w:rPr>
          <w:rFonts w:ascii="Times New Roman" w:hAnsi="Times New Roman" w:cs="Times New Roman"/>
          <w:b/>
          <w:bCs/>
          <w:sz w:val="24"/>
          <w:szCs w:val="24"/>
        </w:rPr>
        <w:t>(Figure 6</w:t>
      </w:r>
      <w:r w:rsidRPr="00B1213E">
        <w:rPr>
          <w:rFonts w:ascii="Times New Roman" w:hAnsi="Times New Roman" w:cs="Times New Roman"/>
          <w:sz w:val="24"/>
          <w:szCs w:val="24"/>
        </w:rPr>
        <w:t xml:space="preserve">). </w:t>
      </w:r>
    </w:p>
    <w:p w14:paraId="6E7021C5" w14:textId="77777777" w:rsidR="00744146" w:rsidRPr="00B1213E" w:rsidRDefault="00744146" w:rsidP="00CB49AE">
      <w:pPr>
        <w:spacing w:after="0" w:line="360" w:lineRule="auto"/>
        <w:jc w:val="both"/>
        <w:rPr>
          <w:rFonts w:ascii="Times New Roman" w:hAnsi="Times New Roman" w:cs="Times New Roman"/>
          <w:i/>
          <w:iCs/>
          <w:sz w:val="24"/>
          <w:szCs w:val="24"/>
        </w:rPr>
      </w:pPr>
    </w:p>
    <w:p w14:paraId="4DDD239D" w14:textId="0699934F" w:rsidR="00600B4A" w:rsidRPr="00B1213E" w:rsidRDefault="00D76C01" w:rsidP="00114877">
      <w:pPr>
        <w:spacing w:after="0" w:line="360" w:lineRule="auto"/>
        <w:jc w:val="center"/>
        <w:rPr>
          <w:rFonts w:ascii="Times New Roman" w:hAnsi="Times New Roman" w:cs="Times New Roman"/>
          <w:sz w:val="24"/>
          <w:szCs w:val="24"/>
        </w:rPr>
      </w:pPr>
      <w:r w:rsidRPr="00B1213E">
        <w:rPr>
          <w:rFonts w:ascii="Times New Roman" w:hAnsi="Times New Roman" w:cs="Times New Roman"/>
          <w:noProof/>
          <w:sz w:val="24"/>
          <w:szCs w:val="24"/>
        </w:rPr>
        <w:drawing>
          <wp:inline distT="0" distB="0" distL="0" distR="0" wp14:anchorId="4CB4DF1E" wp14:editId="5286510F">
            <wp:extent cx="5731510" cy="4020185"/>
            <wp:effectExtent l="0" t="0" r="2540" b="0"/>
            <wp:docPr id="1222308773" name="Picture 18" descr="A graph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08773" name="Picture 18" descr="A graph of different types of graphs&#10;&#10;AI-generated content may be incorrect."/>
                    <pic:cNvPicPr/>
                  </pic:nvPicPr>
                  <pic:blipFill>
                    <a:blip r:embed="rId23"/>
                    <a:stretch>
                      <a:fillRect/>
                    </a:stretch>
                  </pic:blipFill>
                  <pic:spPr>
                    <a:xfrm>
                      <a:off x="0" y="0"/>
                      <a:ext cx="5731510" cy="4020185"/>
                    </a:xfrm>
                    <a:prstGeom prst="rect">
                      <a:avLst/>
                    </a:prstGeom>
                  </pic:spPr>
                </pic:pic>
              </a:graphicData>
            </a:graphic>
          </wp:inline>
        </w:drawing>
      </w:r>
    </w:p>
    <w:p w14:paraId="774DA151" w14:textId="77777777" w:rsidR="00075DA4" w:rsidRPr="00B1213E" w:rsidRDefault="00075DA4" w:rsidP="00075DA4">
      <w:pPr>
        <w:spacing w:after="0" w:line="360" w:lineRule="auto"/>
        <w:jc w:val="both"/>
        <w:rPr>
          <w:rFonts w:ascii="Times New Roman" w:hAnsi="Times New Roman" w:cs="Times New Roman"/>
          <w:b/>
          <w:bCs/>
          <w:sz w:val="24"/>
          <w:szCs w:val="24"/>
        </w:rPr>
      </w:pPr>
      <w:bookmarkStart w:id="20" w:name="_Hlk203125921"/>
      <w:r w:rsidRPr="00B1213E">
        <w:rPr>
          <w:rFonts w:ascii="Times New Roman" w:hAnsi="Times New Roman" w:cs="Times New Roman"/>
          <w:b/>
          <w:bCs/>
          <w:sz w:val="24"/>
          <w:szCs w:val="24"/>
        </w:rPr>
        <w:t>Figure 8.</w:t>
      </w:r>
    </w:p>
    <w:bookmarkEnd w:id="20"/>
    <w:p w14:paraId="2A22FA6F" w14:textId="24A1AA42" w:rsidR="009D7AD7" w:rsidRPr="00B1213E" w:rsidRDefault="009D7AD7" w:rsidP="009D7AD7">
      <w:pPr>
        <w:spacing w:after="0" w:line="360" w:lineRule="auto"/>
        <w:jc w:val="both"/>
        <w:rPr>
          <w:rFonts w:ascii="Times New Roman" w:hAnsi="Times New Roman" w:cs="Times New Roman"/>
          <w:sz w:val="24"/>
          <w:szCs w:val="24"/>
        </w:rPr>
      </w:pPr>
      <w:r w:rsidRPr="00B1213E">
        <w:rPr>
          <w:rFonts w:ascii="Times New Roman" w:hAnsi="Times New Roman" w:cs="Times New Roman"/>
          <w:sz w:val="24"/>
          <w:szCs w:val="24"/>
        </w:rPr>
        <w:t>Muscle function outcomes including Peak Torque (A) and Isometric Endurance (B) were evaluated before, after, and during recovery from muscle damaging exercise. Each is shown using box and whisker plots indicating the median, interquartile range (IQR), and range. Mean ± SD values for relative change from baseline are displayed in the line graph</w:t>
      </w:r>
      <w:r w:rsidR="00262D44" w:rsidRPr="00B1213E">
        <w:rPr>
          <w:rFonts w:ascii="Times New Roman" w:hAnsi="Times New Roman" w:cs="Times New Roman"/>
          <w:sz w:val="24"/>
          <w:szCs w:val="24"/>
        </w:rPr>
        <w:t>s</w:t>
      </w:r>
      <w:r w:rsidRPr="00B1213E">
        <w:rPr>
          <w:rFonts w:ascii="Times New Roman" w:hAnsi="Times New Roman" w:cs="Times New Roman"/>
          <w:sz w:val="24"/>
          <w:szCs w:val="24"/>
        </w:rPr>
        <w:t xml:space="preserve"> below, using matching time points.</w:t>
      </w:r>
    </w:p>
    <w:p w14:paraId="38590C39" w14:textId="77777777" w:rsidR="0046623F" w:rsidRPr="00B1213E" w:rsidRDefault="0046623F" w:rsidP="0046623F">
      <w:pPr>
        <w:tabs>
          <w:tab w:val="left" w:pos="1450"/>
        </w:tabs>
        <w:spacing w:after="0" w:line="360" w:lineRule="auto"/>
        <w:jc w:val="both"/>
        <w:rPr>
          <w:rFonts w:ascii="Times New Roman" w:hAnsi="Times New Roman" w:cs="Times New Roman"/>
          <w:sz w:val="24"/>
          <w:szCs w:val="24"/>
        </w:rPr>
      </w:pPr>
      <w:r w:rsidRPr="00B1213E">
        <w:rPr>
          <w:rFonts w:ascii="Times New Roman" w:hAnsi="Times New Roman" w:cs="Times New Roman"/>
          <w:b/>
          <w:bCs/>
          <w:sz w:val="24"/>
          <w:szCs w:val="24"/>
        </w:rPr>
        <w:lastRenderedPageBreak/>
        <w:t xml:space="preserve">Table 4. </w:t>
      </w:r>
      <w:r w:rsidRPr="00B1213E">
        <w:rPr>
          <w:rFonts w:ascii="Times New Roman" w:hAnsi="Times New Roman" w:cs="Times New Roman"/>
          <w:sz w:val="24"/>
          <w:szCs w:val="24"/>
        </w:rPr>
        <w:t xml:space="preserve">Changes in quadriceps swelling post EIMD across recovery days.  </w:t>
      </w:r>
    </w:p>
    <w:p w14:paraId="4B36B17C" w14:textId="3F5A418D" w:rsidR="0046623F" w:rsidRPr="00B1213E" w:rsidRDefault="0046623F" w:rsidP="0046623F">
      <w:pPr>
        <w:tabs>
          <w:tab w:val="left" w:pos="1450"/>
        </w:tabs>
        <w:spacing w:after="0" w:line="360" w:lineRule="auto"/>
        <w:jc w:val="both"/>
        <w:rPr>
          <w:rFonts w:ascii="Times New Roman" w:hAnsi="Times New Roman" w:cs="Times New Roman"/>
          <w:b/>
          <w:bCs/>
          <w:sz w:val="24"/>
          <w:szCs w:val="24"/>
        </w:rPr>
      </w:pPr>
      <w:r w:rsidRPr="00B1213E">
        <w:rPr>
          <w:rFonts w:ascii="Times New Roman" w:hAnsi="Times New Roman" w:cs="Times New Roman"/>
          <w:sz w:val="24"/>
          <w:szCs w:val="24"/>
        </w:rPr>
        <w:t xml:space="preserve">Data are represented as mean ± SD. VL, </w:t>
      </w:r>
      <w:r w:rsidR="005220C7" w:rsidRPr="00B1213E">
        <w:rPr>
          <w:rFonts w:ascii="Times New Roman" w:hAnsi="Times New Roman" w:cs="Times New Roman"/>
          <w:sz w:val="24"/>
          <w:szCs w:val="24"/>
        </w:rPr>
        <w:t>v</w:t>
      </w:r>
      <w:r w:rsidRPr="00B1213E">
        <w:rPr>
          <w:rFonts w:ascii="Times New Roman" w:hAnsi="Times New Roman" w:cs="Times New Roman"/>
          <w:sz w:val="24"/>
          <w:szCs w:val="24"/>
        </w:rPr>
        <w:t xml:space="preserve">astus </w:t>
      </w:r>
      <w:r w:rsidR="005220C7" w:rsidRPr="00B1213E">
        <w:rPr>
          <w:rFonts w:ascii="Times New Roman" w:hAnsi="Times New Roman" w:cs="Times New Roman"/>
          <w:sz w:val="24"/>
          <w:szCs w:val="24"/>
        </w:rPr>
        <w:t>l</w:t>
      </w:r>
      <w:r w:rsidRPr="00B1213E">
        <w:rPr>
          <w:rFonts w:ascii="Times New Roman" w:hAnsi="Times New Roman" w:cs="Times New Roman"/>
          <w:sz w:val="24"/>
          <w:szCs w:val="24"/>
        </w:rPr>
        <w:t>ateralis.</w:t>
      </w:r>
      <w:r w:rsidRPr="00B1213E">
        <w:t xml:space="preserve"> </w:t>
      </w:r>
      <w:r w:rsidRPr="00B1213E">
        <w:rPr>
          <w:rFonts w:ascii="Times New Roman" w:hAnsi="Times New Roman" w:cs="Times New Roman"/>
          <w:sz w:val="24"/>
          <w:szCs w:val="24"/>
        </w:rPr>
        <w:t xml:space="preserve">Bold,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vs Pre</w:t>
      </w:r>
    </w:p>
    <w:tbl>
      <w:tblPr>
        <w:tblW w:w="96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0"/>
        <w:gridCol w:w="900"/>
        <w:gridCol w:w="1365"/>
        <w:gridCol w:w="1504"/>
        <w:gridCol w:w="1365"/>
        <w:gridCol w:w="1488"/>
        <w:gridCol w:w="1365"/>
      </w:tblGrid>
      <w:tr w:rsidR="00B1213E" w:rsidRPr="00B1213E" w14:paraId="31AB8F2F" w14:textId="77777777" w:rsidTr="006A2877">
        <w:trPr>
          <w:trHeight w:val="334"/>
          <w:jc w:val="center"/>
        </w:trPr>
        <w:tc>
          <w:tcPr>
            <w:tcW w:w="1670" w:type="dxa"/>
            <w:tcBorders>
              <w:top w:val="single" w:sz="6" w:space="0" w:color="auto"/>
              <w:left w:val="nil"/>
              <w:bottom w:val="single" w:sz="6" w:space="0" w:color="auto"/>
              <w:right w:val="nil"/>
            </w:tcBorders>
            <w:vAlign w:val="center"/>
            <w:hideMark/>
          </w:tcPr>
          <w:p w14:paraId="0C43C687" w14:textId="77777777" w:rsidR="0046623F" w:rsidRPr="00B1213E" w:rsidRDefault="0046623F" w:rsidP="006A2877">
            <w:pPr>
              <w:jc w:val="center"/>
              <w:rPr>
                <w:rFonts w:ascii="Times New Roman" w:hAnsi="Times New Roman" w:cs="Times New Roman"/>
              </w:rPr>
            </w:pPr>
            <w:bookmarkStart w:id="21" w:name="_Hlk199239056"/>
            <w:r w:rsidRPr="00B1213E">
              <w:rPr>
                <w:rFonts w:ascii="Times New Roman" w:hAnsi="Times New Roman" w:cs="Times New Roman"/>
              </w:rPr>
              <w:t>Measure</w:t>
            </w:r>
          </w:p>
        </w:tc>
        <w:tc>
          <w:tcPr>
            <w:tcW w:w="900" w:type="dxa"/>
            <w:tcBorders>
              <w:top w:val="single" w:sz="6" w:space="0" w:color="auto"/>
              <w:left w:val="nil"/>
              <w:bottom w:val="single" w:sz="6" w:space="0" w:color="auto"/>
              <w:right w:val="nil"/>
            </w:tcBorders>
            <w:vAlign w:val="center"/>
            <w:hideMark/>
          </w:tcPr>
          <w:p w14:paraId="1F23F2C6"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Group</w:t>
            </w:r>
          </w:p>
        </w:tc>
        <w:tc>
          <w:tcPr>
            <w:tcW w:w="1365" w:type="dxa"/>
            <w:tcBorders>
              <w:top w:val="single" w:sz="6" w:space="0" w:color="auto"/>
              <w:left w:val="nil"/>
              <w:bottom w:val="single" w:sz="6" w:space="0" w:color="auto"/>
              <w:right w:val="nil"/>
            </w:tcBorders>
            <w:vAlign w:val="center"/>
            <w:hideMark/>
          </w:tcPr>
          <w:p w14:paraId="41256594"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Pre</w:t>
            </w:r>
          </w:p>
        </w:tc>
        <w:tc>
          <w:tcPr>
            <w:tcW w:w="1504" w:type="dxa"/>
            <w:tcBorders>
              <w:top w:val="single" w:sz="6" w:space="0" w:color="auto"/>
              <w:left w:val="nil"/>
              <w:bottom w:val="single" w:sz="6" w:space="0" w:color="auto"/>
              <w:right w:val="nil"/>
            </w:tcBorders>
            <w:vAlign w:val="center"/>
            <w:hideMark/>
          </w:tcPr>
          <w:p w14:paraId="52B6BBD3"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Post</w:t>
            </w:r>
          </w:p>
        </w:tc>
        <w:tc>
          <w:tcPr>
            <w:tcW w:w="1365" w:type="dxa"/>
            <w:tcBorders>
              <w:top w:val="single" w:sz="6" w:space="0" w:color="auto"/>
              <w:left w:val="nil"/>
              <w:bottom w:val="single" w:sz="6" w:space="0" w:color="auto"/>
              <w:right w:val="nil"/>
            </w:tcBorders>
            <w:vAlign w:val="center"/>
            <w:hideMark/>
          </w:tcPr>
          <w:p w14:paraId="47507E6B" w14:textId="07F3B071"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24</w:t>
            </w:r>
            <w:r w:rsidR="0069142D" w:rsidRPr="00B1213E">
              <w:rPr>
                <w:rFonts w:ascii="Times New Roman" w:hAnsi="Times New Roman" w:cs="Times New Roman"/>
              </w:rPr>
              <w:t xml:space="preserve"> </w:t>
            </w:r>
            <w:r w:rsidRPr="00B1213E">
              <w:rPr>
                <w:rFonts w:ascii="Times New Roman" w:hAnsi="Times New Roman" w:cs="Times New Roman"/>
              </w:rPr>
              <w:t>h</w:t>
            </w:r>
          </w:p>
        </w:tc>
        <w:tc>
          <w:tcPr>
            <w:tcW w:w="1488" w:type="dxa"/>
            <w:tcBorders>
              <w:top w:val="single" w:sz="6" w:space="0" w:color="auto"/>
              <w:left w:val="nil"/>
              <w:bottom w:val="single" w:sz="6" w:space="0" w:color="auto"/>
              <w:right w:val="nil"/>
            </w:tcBorders>
            <w:vAlign w:val="center"/>
            <w:hideMark/>
          </w:tcPr>
          <w:p w14:paraId="760EB6DE" w14:textId="4389E3B1" w:rsidR="0046623F" w:rsidRPr="00B1213E" w:rsidRDefault="0046623F" w:rsidP="006A2877">
            <w:pPr>
              <w:jc w:val="center"/>
              <w:rPr>
                <w:rFonts w:ascii="Times New Roman" w:hAnsi="Times New Roman" w:cs="Times New Roman"/>
              </w:rPr>
            </w:pPr>
            <w:r w:rsidRPr="00B1213E">
              <w:rPr>
                <w:rFonts w:ascii="Times New Roman" w:hAnsi="Times New Roman" w:cs="Times New Roman"/>
              </w:rPr>
              <w:t>48</w:t>
            </w:r>
            <w:r w:rsidR="0069142D" w:rsidRPr="00B1213E">
              <w:rPr>
                <w:rFonts w:ascii="Times New Roman" w:hAnsi="Times New Roman" w:cs="Times New Roman"/>
              </w:rPr>
              <w:t xml:space="preserve"> </w:t>
            </w:r>
            <w:r w:rsidRPr="00B1213E">
              <w:rPr>
                <w:rFonts w:ascii="Times New Roman" w:hAnsi="Times New Roman" w:cs="Times New Roman"/>
              </w:rPr>
              <w:t>h</w:t>
            </w:r>
          </w:p>
        </w:tc>
        <w:tc>
          <w:tcPr>
            <w:tcW w:w="1365" w:type="dxa"/>
            <w:tcBorders>
              <w:top w:val="single" w:sz="6" w:space="0" w:color="auto"/>
              <w:left w:val="nil"/>
              <w:bottom w:val="single" w:sz="6" w:space="0" w:color="auto"/>
              <w:right w:val="nil"/>
            </w:tcBorders>
            <w:vAlign w:val="center"/>
            <w:hideMark/>
          </w:tcPr>
          <w:p w14:paraId="2D8A6759" w14:textId="06E4AB52" w:rsidR="0046623F" w:rsidRPr="00B1213E" w:rsidRDefault="0046623F" w:rsidP="006A2877">
            <w:pPr>
              <w:jc w:val="center"/>
              <w:rPr>
                <w:rFonts w:ascii="Times New Roman" w:hAnsi="Times New Roman" w:cs="Times New Roman"/>
              </w:rPr>
            </w:pPr>
            <w:r w:rsidRPr="00B1213E">
              <w:rPr>
                <w:rFonts w:ascii="Times New Roman" w:hAnsi="Times New Roman" w:cs="Times New Roman"/>
              </w:rPr>
              <w:t>72</w:t>
            </w:r>
            <w:r w:rsidR="0069142D" w:rsidRPr="00B1213E">
              <w:rPr>
                <w:rFonts w:ascii="Times New Roman" w:hAnsi="Times New Roman" w:cs="Times New Roman"/>
              </w:rPr>
              <w:t xml:space="preserve"> </w:t>
            </w:r>
            <w:r w:rsidRPr="00B1213E">
              <w:rPr>
                <w:rFonts w:ascii="Times New Roman" w:hAnsi="Times New Roman" w:cs="Times New Roman"/>
              </w:rPr>
              <w:t>h</w:t>
            </w:r>
          </w:p>
        </w:tc>
      </w:tr>
      <w:tr w:rsidR="00B1213E" w:rsidRPr="00B1213E" w14:paraId="0220DB73" w14:textId="77777777" w:rsidTr="006A2877">
        <w:trPr>
          <w:trHeight w:val="334"/>
          <w:jc w:val="center"/>
        </w:trPr>
        <w:tc>
          <w:tcPr>
            <w:tcW w:w="1670" w:type="dxa"/>
            <w:tcBorders>
              <w:top w:val="single" w:sz="6" w:space="0" w:color="auto"/>
              <w:left w:val="nil"/>
              <w:bottom w:val="nil"/>
              <w:right w:val="nil"/>
            </w:tcBorders>
            <w:vAlign w:val="center"/>
            <w:hideMark/>
          </w:tcPr>
          <w:p w14:paraId="1DA0CD5A"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Thigh Girth (cm)</w:t>
            </w:r>
          </w:p>
        </w:tc>
        <w:tc>
          <w:tcPr>
            <w:tcW w:w="900" w:type="dxa"/>
            <w:tcBorders>
              <w:top w:val="single" w:sz="6" w:space="0" w:color="auto"/>
              <w:left w:val="nil"/>
              <w:bottom w:val="nil"/>
              <w:right w:val="nil"/>
            </w:tcBorders>
            <w:vAlign w:val="center"/>
            <w:hideMark/>
          </w:tcPr>
          <w:p w14:paraId="3CF2AFEA"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PLA</w:t>
            </w:r>
          </w:p>
        </w:tc>
        <w:tc>
          <w:tcPr>
            <w:tcW w:w="1365" w:type="dxa"/>
            <w:tcBorders>
              <w:top w:val="single" w:sz="6" w:space="0" w:color="auto"/>
              <w:left w:val="nil"/>
              <w:bottom w:val="nil"/>
              <w:right w:val="nil"/>
            </w:tcBorders>
            <w:vAlign w:val="center"/>
            <w:hideMark/>
          </w:tcPr>
          <w:p w14:paraId="45538304"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55.43 ± 5.01</w:t>
            </w:r>
          </w:p>
        </w:tc>
        <w:tc>
          <w:tcPr>
            <w:tcW w:w="1504" w:type="dxa"/>
            <w:tcBorders>
              <w:top w:val="single" w:sz="6" w:space="0" w:color="auto"/>
              <w:left w:val="nil"/>
              <w:bottom w:val="nil"/>
              <w:right w:val="nil"/>
            </w:tcBorders>
            <w:vAlign w:val="center"/>
            <w:hideMark/>
          </w:tcPr>
          <w:p w14:paraId="2FD61695"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56.13 ±4.48</w:t>
            </w:r>
          </w:p>
        </w:tc>
        <w:tc>
          <w:tcPr>
            <w:tcW w:w="1365" w:type="dxa"/>
            <w:tcBorders>
              <w:top w:val="single" w:sz="6" w:space="0" w:color="auto"/>
              <w:left w:val="nil"/>
              <w:bottom w:val="nil"/>
              <w:right w:val="nil"/>
            </w:tcBorders>
            <w:vAlign w:val="center"/>
            <w:hideMark/>
          </w:tcPr>
          <w:p w14:paraId="432D1BB5"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56.31 ± 4.07</w:t>
            </w:r>
          </w:p>
        </w:tc>
        <w:tc>
          <w:tcPr>
            <w:tcW w:w="1488" w:type="dxa"/>
            <w:tcBorders>
              <w:top w:val="single" w:sz="6" w:space="0" w:color="auto"/>
              <w:left w:val="nil"/>
              <w:bottom w:val="nil"/>
              <w:right w:val="nil"/>
            </w:tcBorders>
            <w:vAlign w:val="center"/>
            <w:hideMark/>
          </w:tcPr>
          <w:p w14:paraId="348CD6D5"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56.03 ± 5.05</w:t>
            </w:r>
          </w:p>
        </w:tc>
        <w:tc>
          <w:tcPr>
            <w:tcW w:w="1365" w:type="dxa"/>
            <w:tcBorders>
              <w:top w:val="single" w:sz="6" w:space="0" w:color="auto"/>
              <w:left w:val="nil"/>
              <w:bottom w:val="nil"/>
              <w:right w:val="nil"/>
            </w:tcBorders>
            <w:vAlign w:val="center"/>
            <w:hideMark/>
          </w:tcPr>
          <w:p w14:paraId="1A1A6852"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55.8 ± 5.03</w:t>
            </w:r>
          </w:p>
        </w:tc>
      </w:tr>
      <w:tr w:rsidR="00B1213E" w:rsidRPr="00B1213E" w14:paraId="39C824B3" w14:textId="77777777" w:rsidTr="006A2877">
        <w:trPr>
          <w:trHeight w:val="334"/>
          <w:jc w:val="center"/>
        </w:trPr>
        <w:tc>
          <w:tcPr>
            <w:tcW w:w="1670" w:type="dxa"/>
            <w:tcBorders>
              <w:top w:val="nil"/>
              <w:left w:val="nil"/>
              <w:bottom w:val="nil"/>
              <w:right w:val="nil"/>
            </w:tcBorders>
            <w:vAlign w:val="bottom"/>
            <w:hideMark/>
          </w:tcPr>
          <w:p w14:paraId="418F6D18"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 </w:t>
            </w:r>
          </w:p>
        </w:tc>
        <w:tc>
          <w:tcPr>
            <w:tcW w:w="900" w:type="dxa"/>
            <w:tcBorders>
              <w:top w:val="nil"/>
              <w:left w:val="nil"/>
              <w:bottom w:val="nil"/>
              <w:right w:val="nil"/>
            </w:tcBorders>
            <w:vAlign w:val="center"/>
            <w:hideMark/>
          </w:tcPr>
          <w:p w14:paraId="365912E7"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LOW</w:t>
            </w:r>
          </w:p>
        </w:tc>
        <w:tc>
          <w:tcPr>
            <w:tcW w:w="1365" w:type="dxa"/>
            <w:tcBorders>
              <w:top w:val="nil"/>
              <w:left w:val="nil"/>
              <w:bottom w:val="nil"/>
              <w:right w:val="nil"/>
            </w:tcBorders>
            <w:vAlign w:val="center"/>
            <w:hideMark/>
          </w:tcPr>
          <w:p w14:paraId="123708F4"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55.63 ± 3.79</w:t>
            </w:r>
          </w:p>
        </w:tc>
        <w:tc>
          <w:tcPr>
            <w:tcW w:w="1504" w:type="dxa"/>
            <w:tcBorders>
              <w:top w:val="nil"/>
              <w:left w:val="nil"/>
              <w:bottom w:val="nil"/>
              <w:right w:val="nil"/>
            </w:tcBorders>
            <w:vAlign w:val="center"/>
            <w:hideMark/>
          </w:tcPr>
          <w:p w14:paraId="645F34BB"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56.01 ± 4.22</w:t>
            </w:r>
          </w:p>
        </w:tc>
        <w:tc>
          <w:tcPr>
            <w:tcW w:w="1365" w:type="dxa"/>
            <w:tcBorders>
              <w:top w:val="nil"/>
              <w:left w:val="nil"/>
              <w:bottom w:val="nil"/>
              <w:right w:val="nil"/>
            </w:tcBorders>
            <w:vAlign w:val="center"/>
            <w:hideMark/>
          </w:tcPr>
          <w:p w14:paraId="3376DDB3"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56.45 ± 3.93</w:t>
            </w:r>
          </w:p>
        </w:tc>
        <w:tc>
          <w:tcPr>
            <w:tcW w:w="1488" w:type="dxa"/>
            <w:tcBorders>
              <w:top w:val="nil"/>
              <w:left w:val="nil"/>
              <w:bottom w:val="nil"/>
              <w:right w:val="nil"/>
            </w:tcBorders>
            <w:vAlign w:val="center"/>
            <w:hideMark/>
          </w:tcPr>
          <w:p w14:paraId="7223E7DA"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56.72 ± 4.63</w:t>
            </w:r>
          </w:p>
        </w:tc>
        <w:tc>
          <w:tcPr>
            <w:tcW w:w="1365" w:type="dxa"/>
            <w:tcBorders>
              <w:top w:val="nil"/>
              <w:left w:val="nil"/>
              <w:bottom w:val="nil"/>
              <w:right w:val="nil"/>
            </w:tcBorders>
            <w:vAlign w:val="center"/>
            <w:hideMark/>
          </w:tcPr>
          <w:p w14:paraId="66828F81"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55.91 ± 3.98</w:t>
            </w:r>
          </w:p>
        </w:tc>
      </w:tr>
      <w:tr w:rsidR="00B1213E" w:rsidRPr="00B1213E" w14:paraId="736FBE8A" w14:textId="77777777" w:rsidTr="006A2877">
        <w:trPr>
          <w:trHeight w:val="334"/>
          <w:jc w:val="center"/>
        </w:trPr>
        <w:tc>
          <w:tcPr>
            <w:tcW w:w="1670" w:type="dxa"/>
            <w:tcBorders>
              <w:top w:val="nil"/>
              <w:left w:val="nil"/>
              <w:bottom w:val="nil"/>
              <w:right w:val="nil"/>
            </w:tcBorders>
            <w:vAlign w:val="bottom"/>
            <w:hideMark/>
          </w:tcPr>
          <w:p w14:paraId="4E34C2E4"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 </w:t>
            </w:r>
          </w:p>
        </w:tc>
        <w:tc>
          <w:tcPr>
            <w:tcW w:w="900" w:type="dxa"/>
            <w:tcBorders>
              <w:top w:val="nil"/>
              <w:left w:val="nil"/>
              <w:bottom w:val="nil"/>
              <w:right w:val="nil"/>
            </w:tcBorders>
            <w:vAlign w:val="center"/>
            <w:hideMark/>
          </w:tcPr>
          <w:p w14:paraId="592572D4"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HIGH</w:t>
            </w:r>
          </w:p>
        </w:tc>
        <w:tc>
          <w:tcPr>
            <w:tcW w:w="1365" w:type="dxa"/>
            <w:tcBorders>
              <w:top w:val="nil"/>
              <w:left w:val="nil"/>
              <w:bottom w:val="nil"/>
              <w:right w:val="nil"/>
            </w:tcBorders>
            <w:vAlign w:val="center"/>
            <w:hideMark/>
          </w:tcPr>
          <w:p w14:paraId="0CB30C3B"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54.03 ± 3.86</w:t>
            </w:r>
          </w:p>
        </w:tc>
        <w:tc>
          <w:tcPr>
            <w:tcW w:w="1504" w:type="dxa"/>
            <w:tcBorders>
              <w:top w:val="nil"/>
              <w:left w:val="nil"/>
              <w:bottom w:val="nil"/>
              <w:right w:val="nil"/>
            </w:tcBorders>
            <w:vAlign w:val="center"/>
            <w:hideMark/>
          </w:tcPr>
          <w:p w14:paraId="4BE8E569"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55.02 ± 4.55</w:t>
            </w:r>
          </w:p>
        </w:tc>
        <w:tc>
          <w:tcPr>
            <w:tcW w:w="1365" w:type="dxa"/>
            <w:tcBorders>
              <w:top w:val="nil"/>
              <w:left w:val="nil"/>
              <w:bottom w:val="nil"/>
              <w:right w:val="nil"/>
            </w:tcBorders>
            <w:vAlign w:val="center"/>
            <w:hideMark/>
          </w:tcPr>
          <w:p w14:paraId="40B5CCE7"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54.73 ± 4.25</w:t>
            </w:r>
          </w:p>
        </w:tc>
        <w:tc>
          <w:tcPr>
            <w:tcW w:w="1488" w:type="dxa"/>
            <w:tcBorders>
              <w:top w:val="nil"/>
              <w:left w:val="nil"/>
              <w:bottom w:val="nil"/>
              <w:right w:val="nil"/>
            </w:tcBorders>
            <w:vAlign w:val="center"/>
            <w:hideMark/>
          </w:tcPr>
          <w:p w14:paraId="19829901"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54.63 ± 4.14</w:t>
            </w:r>
          </w:p>
        </w:tc>
        <w:tc>
          <w:tcPr>
            <w:tcW w:w="1365" w:type="dxa"/>
            <w:tcBorders>
              <w:top w:val="nil"/>
              <w:left w:val="nil"/>
              <w:bottom w:val="nil"/>
              <w:right w:val="nil"/>
            </w:tcBorders>
            <w:vAlign w:val="center"/>
            <w:hideMark/>
          </w:tcPr>
          <w:p w14:paraId="42348219"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54.38 ± 4.14</w:t>
            </w:r>
          </w:p>
        </w:tc>
      </w:tr>
      <w:tr w:rsidR="00B1213E" w:rsidRPr="00B1213E" w14:paraId="5CD6E225" w14:textId="77777777" w:rsidTr="006A2877">
        <w:trPr>
          <w:trHeight w:val="334"/>
          <w:jc w:val="center"/>
        </w:trPr>
        <w:tc>
          <w:tcPr>
            <w:tcW w:w="1670" w:type="dxa"/>
            <w:tcBorders>
              <w:top w:val="nil"/>
              <w:left w:val="nil"/>
              <w:bottom w:val="nil"/>
              <w:right w:val="nil"/>
            </w:tcBorders>
            <w:vAlign w:val="center"/>
            <w:hideMark/>
          </w:tcPr>
          <w:p w14:paraId="20ED9C96"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VL Ultrasound (mm)</w:t>
            </w:r>
          </w:p>
        </w:tc>
        <w:tc>
          <w:tcPr>
            <w:tcW w:w="900" w:type="dxa"/>
            <w:tcBorders>
              <w:top w:val="nil"/>
              <w:left w:val="nil"/>
              <w:bottom w:val="nil"/>
              <w:right w:val="nil"/>
            </w:tcBorders>
            <w:vAlign w:val="center"/>
            <w:hideMark/>
          </w:tcPr>
          <w:p w14:paraId="569CE20F"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PLA</w:t>
            </w:r>
          </w:p>
        </w:tc>
        <w:tc>
          <w:tcPr>
            <w:tcW w:w="1365" w:type="dxa"/>
            <w:tcBorders>
              <w:top w:val="nil"/>
              <w:left w:val="nil"/>
              <w:bottom w:val="nil"/>
              <w:right w:val="nil"/>
            </w:tcBorders>
            <w:vAlign w:val="center"/>
            <w:hideMark/>
          </w:tcPr>
          <w:p w14:paraId="5B9942CC"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26.6 ± 4.88</w:t>
            </w:r>
          </w:p>
        </w:tc>
        <w:tc>
          <w:tcPr>
            <w:tcW w:w="1504" w:type="dxa"/>
            <w:tcBorders>
              <w:top w:val="nil"/>
              <w:left w:val="nil"/>
              <w:bottom w:val="nil"/>
              <w:right w:val="nil"/>
            </w:tcBorders>
            <w:vAlign w:val="center"/>
            <w:hideMark/>
          </w:tcPr>
          <w:p w14:paraId="21A474C9"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28 ± 5.49</w:t>
            </w:r>
          </w:p>
        </w:tc>
        <w:tc>
          <w:tcPr>
            <w:tcW w:w="1365" w:type="dxa"/>
            <w:tcBorders>
              <w:top w:val="nil"/>
              <w:left w:val="nil"/>
              <w:bottom w:val="nil"/>
              <w:right w:val="nil"/>
            </w:tcBorders>
            <w:vAlign w:val="center"/>
            <w:hideMark/>
          </w:tcPr>
          <w:p w14:paraId="3D211358"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27.4 ± 5.32</w:t>
            </w:r>
          </w:p>
        </w:tc>
        <w:tc>
          <w:tcPr>
            <w:tcW w:w="1488" w:type="dxa"/>
            <w:tcBorders>
              <w:top w:val="nil"/>
              <w:left w:val="nil"/>
              <w:bottom w:val="nil"/>
              <w:right w:val="nil"/>
            </w:tcBorders>
            <w:vAlign w:val="center"/>
            <w:hideMark/>
          </w:tcPr>
          <w:p w14:paraId="38EFE605"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27.8 ± 4.98</w:t>
            </w:r>
          </w:p>
        </w:tc>
        <w:tc>
          <w:tcPr>
            <w:tcW w:w="1365" w:type="dxa"/>
            <w:tcBorders>
              <w:top w:val="nil"/>
              <w:left w:val="nil"/>
              <w:bottom w:val="nil"/>
              <w:right w:val="nil"/>
            </w:tcBorders>
            <w:vAlign w:val="center"/>
            <w:hideMark/>
          </w:tcPr>
          <w:p w14:paraId="6658197E"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27.6 ± 5.11</w:t>
            </w:r>
          </w:p>
        </w:tc>
      </w:tr>
      <w:tr w:rsidR="00B1213E" w:rsidRPr="00B1213E" w14:paraId="6319F426" w14:textId="77777777" w:rsidTr="006A2877">
        <w:trPr>
          <w:trHeight w:val="334"/>
          <w:jc w:val="center"/>
        </w:trPr>
        <w:tc>
          <w:tcPr>
            <w:tcW w:w="1670" w:type="dxa"/>
            <w:tcBorders>
              <w:top w:val="nil"/>
              <w:left w:val="nil"/>
              <w:bottom w:val="nil"/>
              <w:right w:val="nil"/>
            </w:tcBorders>
            <w:vAlign w:val="bottom"/>
            <w:hideMark/>
          </w:tcPr>
          <w:p w14:paraId="3AAE8A72"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 </w:t>
            </w:r>
          </w:p>
        </w:tc>
        <w:tc>
          <w:tcPr>
            <w:tcW w:w="900" w:type="dxa"/>
            <w:tcBorders>
              <w:top w:val="nil"/>
              <w:left w:val="nil"/>
              <w:bottom w:val="nil"/>
              <w:right w:val="nil"/>
            </w:tcBorders>
            <w:vAlign w:val="center"/>
            <w:hideMark/>
          </w:tcPr>
          <w:p w14:paraId="55020B8F"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LOW</w:t>
            </w:r>
          </w:p>
        </w:tc>
        <w:tc>
          <w:tcPr>
            <w:tcW w:w="1365" w:type="dxa"/>
            <w:tcBorders>
              <w:top w:val="nil"/>
              <w:left w:val="nil"/>
              <w:bottom w:val="nil"/>
              <w:right w:val="nil"/>
            </w:tcBorders>
            <w:vAlign w:val="center"/>
            <w:hideMark/>
          </w:tcPr>
          <w:p w14:paraId="4A82461D"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27.1 ± 5.9</w:t>
            </w:r>
          </w:p>
        </w:tc>
        <w:tc>
          <w:tcPr>
            <w:tcW w:w="1504" w:type="dxa"/>
            <w:tcBorders>
              <w:top w:val="nil"/>
              <w:left w:val="nil"/>
              <w:bottom w:val="nil"/>
              <w:right w:val="nil"/>
            </w:tcBorders>
            <w:vAlign w:val="center"/>
            <w:hideMark/>
          </w:tcPr>
          <w:p w14:paraId="02C8A639"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28.9 ± 5.9</w:t>
            </w:r>
          </w:p>
        </w:tc>
        <w:tc>
          <w:tcPr>
            <w:tcW w:w="1365" w:type="dxa"/>
            <w:tcBorders>
              <w:top w:val="nil"/>
              <w:left w:val="nil"/>
              <w:bottom w:val="nil"/>
              <w:right w:val="nil"/>
            </w:tcBorders>
            <w:vAlign w:val="center"/>
            <w:hideMark/>
          </w:tcPr>
          <w:p w14:paraId="669D8A75"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28 ± 5.4</w:t>
            </w:r>
          </w:p>
        </w:tc>
        <w:tc>
          <w:tcPr>
            <w:tcW w:w="1488" w:type="dxa"/>
            <w:tcBorders>
              <w:top w:val="nil"/>
              <w:left w:val="nil"/>
              <w:bottom w:val="nil"/>
              <w:right w:val="nil"/>
            </w:tcBorders>
            <w:vAlign w:val="center"/>
            <w:hideMark/>
          </w:tcPr>
          <w:p w14:paraId="44D59BB9"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b/>
                <w:bCs/>
              </w:rPr>
              <w:t>27.7 ± 5.4</w:t>
            </w:r>
          </w:p>
        </w:tc>
        <w:tc>
          <w:tcPr>
            <w:tcW w:w="1365" w:type="dxa"/>
            <w:tcBorders>
              <w:top w:val="nil"/>
              <w:left w:val="nil"/>
              <w:bottom w:val="nil"/>
              <w:right w:val="nil"/>
            </w:tcBorders>
            <w:vAlign w:val="center"/>
            <w:hideMark/>
          </w:tcPr>
          <w:p w14:paraId="51C3E44B"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28 ± 5.6</w:t>
            </w:r>
          </w:p>
        </w:tc>
      </w:tr>
      <w:tr w:rsidR="0046623F" w:rsidRPr="00B1213E" w14:paraId="190D509D" w14:textId="77777777" w:rsidTr="006A2877">
        <w:trPr>
          <w:trHeight w:val="334"/>
          <w:jc w:val="center"/>
        </w:trPr>
        <w:tc>
          <w:tcPr>
            <w:tcW w:w="1670" w:type="dxa"/>
            <w:tcBorders>
              <w:top w:val="nil"/>
              <w:left w:val="nil"/>
              <w:bottom w:val="single" w:sz="6" w:space="0" w:color="auto"/>
              <w:right w:val="nil"/>
            </w:tcBorders>
            <w:vAlign w:val="bottom"/>
            <w:hideMark/>
          </w:tcPr>
          <w:p w14:paraId="75B84D03"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 </w:t>
            </w:r>
          </w:p>
        </w:tc>
        <w:tc>
          <w:tcPr>
            <w:tcW w:w="900" w:type="dxa"/>
            <w:tcBorders>
              <w:top w:val="nil"/>
              <w:left w:val="nil"/>
              <w:bottom w:val="single" w:sz="6" w:space="0" w:color="auto"/>
              <w:right w:val="nil"/>
            </w:tcBorders>
            <w:vAlign w:val="center"/>
            <w:hideMark/>
          </w:tcPr>
          <w:p w14:paraId="3A6F6BEB"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HIGH</w:t>
            </w:r>
          </w:p>
        </w:tc>
        <w:tc>
          <w:tcPr>
            <w:tcW w:w="1365" w:type="dxa"/>
            <w:tcBorders>
              <w:top w:val="nil"/>
              <w:left w:val="nil"/>
              <w:bottom w:val="single" w:sz="6" w:space="0" w:color="auto"/>
              <w:right w:val="nil"/>
            </w:tcBorders>
            <w:vAlign w:val="center"/>
            <w:hideMark/>
          </w:tcPr>
          <w:p w14:paraId="5F8BEBB6"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25 ± 2.4</w:t>
            </w:r>
          </w:p>
        </w:tc>
        <w:tc>
          <w:tcPr>
            <w:tcW w:w="1504" w:type="dxa"/>
            <w:tcBorders>
              <w:top w:val="nil"/>
              <w:left w:val="nil"/>
              <w:bottom w:val="single" w:sz="6" w:space="0" w:color="auto"/>
              <w:right w:val="nil"/>
            </w:tcBorders>
            <w:vAlign w:val="center"/>
            <w:hideMark/>
          </w:tcPr>
          <w:p w14:paraId="15DEA10D"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25.9 ± 3</w:t>
            </w:r>
          </w:p>
        </w:tc>
        <w:tc>
          <w:tcPr>
            <w:tcW w:w="1365" w:type="dxa"/>
            <w:tcBorders>
              <w:top w:val="nil"/>
              <w:left w:val="nil"/>
              <w:bottom w:val="single" w:sz="6" w:space="0" w:color="auto"/>
              <w:right w:val="nil"/>
            </w:tcBorders>
            <w:vAlign w:val="center"/>
            <w:hideMark/>
          </w:tcPr>
          <w:p w14:paraId="18D533D6"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25.1 ± 2.7</w:t>
            </w:r>
          </w:p>
        </w:tc>
        <w:tc>
          <w:tcPr>
            <w:tcW w:w="1488" w:type="dxa"/>
            <w:tcBorders>
              <w:top w:val="nil"/>
              <w:left w:val="nil"/>
              <w:bottom w:val="single" w:sz="6" w:space="0" w:color="auto"/>
              <w:right w:val="nil"/>
            </w:tcBorders>
            <w:vAlign w:val="center"/>
            <w:hideMark/>
          </w:tcPr>
          <w:p w14:paraId="4632507D"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25.6 ± 2.8</w:t>
            </w:r>
          </w:p>
        </w:tc>
        <w:tc>
          <w:tcPr>
            <w:tcW w:w="1365" w:type="dxa"/>
            <w:tcBorders>
              <w:top w:val="nil"/>
              <w:left w:val="nil"/>
              <w:bottom w:val="single" w:sz="6" w:space="0" w:color="auto"/>
              <w:right w:val="nil"/>
            </w:tcBorders>
            <w:vAlign w:val="center"/>
            <w:hideMark/>
          </w:tcPr>
          <w:p w14:paraId="1346AAA6" w14:textId="77777777" w:rsidR="0046623F" w:rsidRPr="00B1213E" w:rsidRDefault="0046623F" w:rsidP="006A2877">
            <w:pPr>
              <w:jc w:val="center"/>
              <w:rPr>
                <w:rFonts w:ascii="Times New Roman" w:hAnsi="Times New Roman" w:cs="Times New Roman"/>
              </w:rPr>
            </w:pPr>
            <w:r w:rsidRPr="00B1213E">
              <w:rPr>
                <w:rFonts w:ascii="Times New Roman" w:hAnsi="Times New Roman" w:cs="Times New Roman"/>
              </w:rPr>
              <w:t>25.7 2.6</w:t>
            </w:r>
          </w:p>
        </w:tc>
      </w:tr>
      <w:bookmarkEnd w:id="21"/>
    </w:tbl>
    <w:p w14:paraId="2EDA5441" w14:textId="77777777" w:rsidR="0046623F" w:rsidRPr="00B1213E" w:rsidRDefault="0046623F" w:rsidP="0046623F">
      <w:pPr>
        <w:spacing w:after="0" w:line="360" w:lineRule="auto"/>
        <w:ind w:firstLine="709"/>
        <w:jc w:val="both"/>
        <w:rPr>
          <w:rFonts w:ascii="Times New Roman" w:hAnsi="Times New Roman" w:cs="Times New Roman"/>
          <w:sz w:val="24"/>
          <w:szCs w:val="24"/>
        </w:rPr>
      </w:pPr>
    </w:p>
    <w:p w14:paraId="08DF0474" w14:textId="77777777" w:rsidR="0046623F" w:rsidRPr="00B1213E" w:rsidRDefault="0046623F" w:rsidP="0046623F">
      <w:pPr>
        <w:spacing w:after="0" w:line="360" w:lineRule="auto"/>
        <w:ind w:firstLine="709"/>
        <w:jc w:val="both"/>
        <w:rPr>
          <w:rFonts w:ascii="Times New Roman" w:hAnsi="Times New Roman" w:cs="Times New Roman"/>
          <w:sz w:val="24"/>
          <w:szCs w:val="24"/>
        </w:rPr>
      </w:pPr>
    </w:p>
    <w:p w14:paraId="0C7FAAB4" w14:textId="77777777" w:rsidR="00F25456" w:rsidRPr="00B1213E" w:rsidRDefault="00F25456" w:rsidP="00F25456">
      <w:pPr>
        <w:rPr>
          <w:rFonts w:ascii="Times New Roman" w:hAnsi="Times New Roman" w:cs="Times New Roman"/>
          <w:b/>
          <w:bCs/>
          <w:sz w:val="24"/>
          <w:szCs w:val="24"/>
        </w:rPr>
      </w:pPr>
    </w:p>
    <w:p w14:paraId="45BDEB36" w14:textId="77777777" w:rsidR="00F25456" w:rsidRPr="00B1213E" w:rsidRDefault="00F25456" w:rsidP="00F25456">
      <w:pPr>
        <w:rPr>
          <w:rFonts w:ascii="Times New Roman" w:hAnsi="Times New Roman" w:cs="Times New Roman"/>
          <w:b/>
          <w:bCs/>
          <w:sz w:val="24"/>
          <w:szCs w:val="24"/>
        </w:rPr>
      </w:pPr>
    </w:p>
    <w:p w14:paraId="6870D041" w14:textId="1F9A7E4A" w:rsidR="00F25456" w:rsidRPr="00B1213E" w:rsidRDefault="00F25456" w:rsidP="00F25456">
      <w:pPr>
        <w:rPr>
          <w:rFonts w:ascii="Times New Roman" w:hAnsi="Times New Roman" w:cs="Times New Roman"/>
          <w:sz w:val="24"/>
          <w:szCs w:val="24"/>
        </w:rPr>
        <w:sectPr w:rsidR="00F25456" w:rsidRPr="00B1213E" w:rsidSect="00F25456">
          <w:headerReference w:type="default" r:id="rId24"/>
          <w:pgSz w:w="11906" w:h="16838" w:code="9"/>
          <w:pgMar w:top="1440" w:right="1440" w:bottom="1440" w:left="1440" w:header="709" w:footer="709" w:gutter="0"/>
          <w:lnNumType w:countBy="1"/>
          <w:cols w:space="708"/>
          <w:docGrid w:linePitch="360"/>
        </w:sectPr>
      </w:pPr>
    </w:p>
    <w:p w14:paraId="37A7C498" w14:textId="64B33395" w:rsidR="006C3360" w:rsidRPr="00B1213E" w:rsidRDefault="006C3360" w:rsidP="006E424E">
      <w:pPr>
        <w:tabs>
          <w:tab w:val="left" w:pos="1450"/>
        </w:tabs>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D</w:t>
      </w:r>
      <w:r w:rsidR="00D77C80" w:rsidRPr="00B1213E">
        <w:rPr>
          <w:rFonts w:ascii="Times New Roman" w:hAnsi="Times New Roman" w:cs="Times New Roman"/>
          <w:b/>
          <w:bCs/>
          <w:sz w:val="24"/>
          <w:szCs w:val="24"/>
        </w:rPr>
        <w:t>ISCUSSION</w:t>
      </w:r>
    </w:p>
    <w:p w14:paraId="2155E4D3" w14:textId="0FEC2CC6" w:rsidR="00DB4174" w:rsidRPr="00B1213E" w:rsidRDefault="3D9FB09B" w:rsidP="3D9FB09B">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 The aim of this study was to investigate the effect of two different doses (750</w:t>
      </w:r>
      <w:r w:rsidR="009547BA" w:rsidRPr="00B1213E">
        <w:rPr>
          <w:rFonts w:ascii="Times New Roman" w:hAnsi="Times New Roman" w:cs="Times New Roman"/>
          <w:sz w:val="24"/>
          <w:szCs w:val="24"/>
        </w:rPr>
        <w:t xml:space="preserve"> </w:t>
      </w:r>
      <w:r w:rsidRPr="00B1213E">
        <w:rPr>
          <w:rFonts w:ascii="Times New Roman" w:hAnsi="Times New Roman" w:cs="Times New Roman"/>
          <w:sz w:val="24"/>
          <w:szCs w:val="24"/>
        </w:rPr>
        <w:t>mg/day and 1500 mg/day) of a hydrolysed curcumin supplement on physiological recovery following EIMD. To the author</w:t>
      </w:r>
      <w:r w:rsidR="00CD2B85" w:rsidRPr="00B1213E">
        <w:rPr>
          <w:rFonts w:ascii="Times New Roman" w:hAnsi="Times New Roman" w:cs="Times New Roman"/>
          <w:sz w:val="24"/>
          <w:szCs w:val="24"/>
        </w:rPr>
        <w:t>’</w:t>
      </w:r>
      <w:r w:rsidRPr="00B1213E">
        <w:rPr>
          <w:rFonts w:ascii="Times New Roman" w:hAnsi="Times New Roman" w:cs="Times New Roman"/>
          <w:sz w:val="24"/>
          <w:szCs w:val="24"/>
        </w:rPr>
        <w:t>s knowledge, the present study was the first to examine the effect of hydrolysed curcumin on EIMD recovery. The key finding was that HIGH (1500 mg/day) exhibited superior effects in mitigating hydroperoxides, IL-6</w:t>
      </w:r>
      <w:r w:rsidR="00CD2B85" w:rsidRPr="00B1213E">
        <w:rPr>
          <w:rFonts w:ascii="Times New Roman" w:hAnsi="Times New Roman" w:cs="Times New Roman"/>
          <w:sz w:val="24"/>
          <w:szCs w:val="24"/>
        </w:rPr>
        <w:t>,</w:t>
      </w:r>
      <w:r w:rsidRPr="00B1213E">
        <w:rPr>
          <w:rFonts w:ascii="Times New Roman" w:hAnsi="Times New Roman" w:cs="Times New Roman"/>
          <w:sz w:val="24"/>
          <w:szCs w:val="24"/>
        </w:rPr>
        <w:t xml:space="preserve"> and CK release post-exercise, compared to the LOW (750 mg/day) (see </w:t>
      </w:r>
      <w:r w:rsidRPr="00B1213E">
        <w:rPr>
          <w:rFonts w:ascii="Times New Roman" w:hAnsi="Times New Roman" w:cs="Times New Roman"/>
          <w:b/>
          <w:bCs/>
          <w:sz w:val="24"/>
          <w:szCs w:val="24"/>
        </w:rPr>
        <w:t>Figures 3 &amp; 4</w:t>
      </w:r>
      <w:r w:rsidRPr="00B1213E">
        <w:rPr>
          <w:rFonts w:ascii="Times New Roman" w:hAnsi="Times New Roman" w:cs="Times New Roman"/>
          <w:sz w:val="24"/>
          <w:szCs w:val="24"/>
        </w:rPr>
        <w:t xml:space="preserve">). Additionally, both curcumin groups demonstrated significant reductions in subjective pain measures (VAS) and changes in pain pressure thresholds during the recovery days (see </w:t>
      </w:r>
      <w:r w:rsidRPr="00B1213E">
        <w:rPr>
          <w:rFonts w:ascii="Times New Roman" w:hAnsi="Times New Roman" w:cs="Times New Roman"/>
          <w:b/>
          <w:bCs/>
          <w:sz w:val="24"/>
          <w:szCs w:val="24"/>
        </w:rPr>
        <w:t xml:space="preserve">Figure </w:t>
      </w:r>
      <w:r w:rsidR="001556D2" w:rsidRPr="00B1213E">
        <w:rPr>
          <w:rFonts w:ascii="Times New Roman" w:hAnsi="Times New Roman" w:cs="Times New Roman"/>
          <w:b/>
          <w:bCs/>
          <w:sz w:val="24"/>
          <w:szCs w:val="24"/>
        </w:rPr>
        <w:t>5</w:t>
      </w:r>
      <w:r w:rsidRPr="00B1213E">
        <w:rPr>
          <w:rFonts w:ascii="Times New Roman" w:hAnsi="Times New Roman" w:cs="Times New Roman"/>
          <w:sz w:val="24"/>
          <w:szCs w:val="24"/>
        </w:rPr>
        <w:t xml:space="preserve">). Despite alterations in pain levels and inflammation markers, the curcumin groups did not demonstrate a significant advantage in muscle performance recovery. These findings support previous research indicating that curcumin supplementation may modulate some aspects of recovery </w:t>
      </w:r>
      <w:r w:rsidR="00651285"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{"citationID":"MWmu3Z9n","properties":{"formattedCitation":"(Drobnic et al., 2014; McFarlin et al., 2016; Ms et al., 2020; Nicol et al., 2015)","plainCitation":"(Drobnic et al., 2014; McFarlin et al., 2016; Ms et al., 2020; Nicol et al., 2015)","noteIndex":0},"citationItems":[{"id":25,"uris":["http://zotero.org/users/local/7vKBzLRM/items/HA6PNPWC"],"itemData":{"id":25,"type":"article-journal","abstract":"BACKGROUND: Delayed onset muscle soreness (DOMS) due to eccentric muscle activity is associated with inflammatory responses and production of reactive oxygen species (ROS) that sustain both inflammation and oxidative stress. Curcumin, a powerful promoter of anti-oxidant response, is one of the best-investigated natural products, and is now commercially available as a lecithin delivery system (Meriva®, Indena SpA, Milan) with improved bio-availability. The aim of this study was to test whether curcumin could attenuate damage from oxidative stress and inflammation related to acute muscle injury induced by eccentric continuous exercise.\nMETHODS: This was a randomised, placebo-controlled, single-blind pilot trial. Twenty male healthy, moderately active volunteers were randomised to curcumin given as the Phytosome® delivery system 1 g twice daily (200 mg curcumin b.i.d.) or matching placebo. Supplementation was initiated 48 hours prior to a downhill running test and was continued for 24 hours after the test (4 days in total). Muscle damage was quantified by magnetic resonance imaging, laboratory tests and histological analyses on muscle samples obtained 48 hours after the test. Patient-reported pain intensity was also recorded.\nRESULTS: Subjects in the curcumin group reported less pain in the lower limb as compared with subjects in the placebo group, although significant differences were observed only for the right and left anterior thighs. Significantly fewer subjects in the curcumin group had MRI evidence of muscle injury in the posterior or medial compartment of both thighs. Increases in markers of muscle damage and inflammation tended to be lower in the curcumin group, but significant differences were only observed for interleukin-8 at 2 h after exercise. No differences in markers of oxidative stress and muscle histology were observed.\nCONCLUSIONS: Curcumin has the potential for preventing DOMS, as suggested by its effects on pain intensity and muscle injury. Larger studies are needed to confirm these results and further clarify the mechanism of action of curcumin.","container-title":"Journal of the International Society of Sports Nutrition","DOI":"10.1186/1550-2783-11-31","ISSN":"1550-2783","journalAbbreviation":"J Int Soc Sports Nutr","language":"eng","note":"PMID: 24982601\nPMCID: PMC4074833","page":"31","source":"PubMed","title":"Reduction of delayed onset muscle soreness by a novel curcumin delivery system (Meriva®): a randomised, placebo-controlled trial","title-short":"Reduction of delayed onset muscle soreness by a novel curcumin delivery system (Meriva®)","volume":"11","author":[{"family":"Drobnic","given":"Franchek"},{"family":"Riera","given":"Joan"},{"family":"Appendino","given":"Giovanni"},{"family":"Togni","given":"Stefano"},{"family":"Franceschi","given":"Federico"},{"family":"Valle","given":"Xavier"},{"family":"Pons","given":"Antoni"},{"family":"Tur","given":"Josep"}],"issued":{"date-parts":[["2014"]]}}},{"id":61,"uris":["http://zotero.org/users/local/7vKBzLRM/items/AKMN998C"],"itemData":{"id":61,"type":"article-journal","abstract":"BACKGROUND: Exercise-Induced Muscle Damage (EIMD) and delayed onset muscle soreness (DOMS) impact subsequent training sessions and activities of daily living (ADL) even in active individuals. In sedentary or diseased individuals, EIMD and DOMS may be even more pronounced and present even in the absence of structured exercise.\nMETHODS: The purpose of this study was to determine the effects of oral curcumin supplementation (Longvida® 400 mg/days) on muscle &amp; ADL soreness, creatine kinase (CK), and inflammatory cytokines (TNF-α, IL-6, IL-8, IL-10) following EMID (eccentric-only dual-leg press exercise). Subjects (N = 28) were randomly assigned to either curcumin (400 mg/day) or placebo (rice flour) and supplemented 2 days before to 4 days after EMID. Blood samples were collected prior to (PRE), and 1, 2, 3, and 4 days after EIMD to measure CK and inflammatory cytokines. Data were analyzed by ANOVA with P &lt; 0.05.\nRESULTS: Curcumin supplementation resulted in significantly smaller increases in CK (- 48%), TNF-α (- 25%), and IL-8 (- 21%) following EIMD compared to placebo. We observed no significant differences in IL-6, IL-10, or quadriceps muscle soreness between conditions for this sample size.\nCONCLUSIONS: Collectively, the findings demonstrated that consumption of curcumin reduced biological inflammation, but not quadriceps muscle soreness, during recovery after EIMD. The observed improvements in biological inflammation may translate to faster recovery and improved functional capacity during subsequent exercise sessions.\nGENERAL SIGNIFICANCE: These findings support the use of oral curcumin supplementation to reduce the symptoms of EIMD. The next logical step is to evaluate further the efficacy of an inflammatory clinical disease model.","container-title":"BBA clinical","DOI":"10.1016/j.bbacli.2016.02.003","ISSN":"2214-6474","journalAbbreviation":"BBA Clin","language":"eng","note":"PMID: 27051592\nPMCID: PMC4802396","page":"72-78","source":"PubMed","title":"Reduced inflammatory and muscle damage biomarkers following oral supplementation with bioavailable curcumin","volume":"5","author":[{"family":"McFarlin","given":"Brian K."},{"family":"Venable","given":"Adam S."},{"family":"Henning","given":"Andrea L."},{"family":"Sampson","given":"Jill N. Best"},{"family":"Pennel","given":"Kathryn"},{"family":"Vingren","given":"Jakob L."},{"family":"Hill","given":"David W."}],"issued":{"date-parts":[["2016",6]]}}},{"id":136,"uris":["http://zotero.org/users/local/7vKBzLRM/items/KICGHF3U"],"itemData":{"id":136,"type":"article-journal","abstract":"Curcumin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J."}],"issued":{"date-parts":[["2020"]]}}},{"id":73,"uris":["http://zotero.org/users/local/7vKBzLRM/items/YZ8LKPEE"],"itemData":{"id":73,"type":"article-journal","abstract":"INTRODUCTION: Oral curcumin decreases inflammatory cytokines and increases muscle regeneration in mice.\nPURPOSE: To determine effects of curcumin on muscle damage, inflammation and delayed onset muscle soreness (DOMS) in humans.\nMETHOD: Seventeen men completed a double-blind randomized-controlled crossover trial to estimate the effects of oral curcumin supplementation (2.5 g twice daily) versus placebo on single-leg jump performance and DOMS following unaccustomed heavy eccentric exercise. Curcumin or placebo was taken 2 d before to 3 d after eccentric single-leg press exercise, separated by 14-d washout. Measurements were made at baseline, and 0, 24 and 48-h post-exercise comprising: (a) limb pain (1-10 cm visual analogue scale; VAS), (b) muscle swelling, (c) single-leg jump height, and (d) serum markers of muscle damage and inflammation. Standardized magnitude-based inference was used to define outcomes.\nRESULTS: At 24 and 48-h post-exercise, curcumin caused moderate-large reductions in pain during single-leg squat (VAS scale -1.4 to -1.7; 90 %CL: ±1.0), gluteal stretch (-1.0 to -1.9; ±0.9), squat jump (-1.5 to -1.1; ± 1.2) and small reductions in creatine kinase activity (-22-29 %; ±21-22 %). Associated with the pain reduction was a small increase in single-leg jump performance (15 %; 90 %CL ± 12 %). Curcumin increased interleukin-6 concentrations at 0-h (31 %; ±29 %) and 48-h (32 %; ±29 %) relative to baseline, but decreased IL-6 at 24-h relative to post-exercise (-20 %; ±18 %).\nCONCLUSIONS: Oral curcumin likely reduces pain associated with DOMS with some evidence for enhanced recovery of muscle performance. Further study is required on mechanisms and translational effects on sport or vocational performance.","container-title":"European Journal of Applied Physiology","DOI":"10.1007/s00421-015-3152-6","ISSN":"1439-6327","issue":"8","journalAbbreviation":"Eur J Appl Physiol","language":"eng","note":"PMID: 25795285","page":"1769-1777","source":"PubMed","title":"Curcumin supplementation likely attenuates delayed onset muscle soreness (DOMS)","volume":"115","author":[{"family":"Nicol","given":"Lesley M."},{"family":"Rowlands","given":"David S."},{"family":"Fazakerly","given":"Ruth"},{"family":"Kellett","given":"John"}],"issued":{"date-parts":[["2015",8]]}}}],"schema":"https://github.com/citation-style-language/schema/raw/master/csl-citation.json"} </w:instrText>
      </w:r>
      <w:r w:rsidR="00651285"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(Drobnic et al., 2014; McFarlin et al., 2016; Ms et al., 2020; Nicol et al., 2015)</w:t>
      </w:r>
      <w:r w:rsidR="00651285" w:rsidRPr="00B1213E">
        <w:rPr>
          <w:rFonts w:ascii="Times New Roman" w:hAnsi="Times New Roman" w:cs="Times New Roman"/>
          <w:sz w:val="24"/>
          <w:szCs w:val="24"/>
        </w:rPr>
        <w:fldChar w:fldCharType="end"/>
      </w:r>
      <w:r w:rsidRPr="00B1213E">
        <w:rPr>
          <w:rFonts w:ascii="Times New Roman" w:hAnsi="Times New Roman" w:cs="Times New Roman"/>
          <w:sz w:val="24"/>
          <w:szCs w:val="24"/>
        </w:rPr>
        <w:t>.</w:t>
      </w:r>
    </w:p>
    <w:p w14:paraId="6032989E" w14:textId="77777777" w:rsidR="00130AC1" w:rsidRPr="00B1213E" w:rsidRDefault="00130AC1" w:rsidP="005E5594">
      <w:pPr>
        <w:tabs>
          <w:tab w:val="left" w:pos="1450"/>
        </w:tabs>
        <w:spacing w:after="0" w:line="360" w:lineRule="auto"/>
        <w:ind w:firstLine="709"/>
        <w:jc w:val="both"/>
        <w:rPr>
          <w:rFonts w:ascii="Times New Roman" w:hAnsi="Times New Roman" w:cs="Times New Roman"/>
          <w:sz w:val="24"/>
          <w:szCs w:val="24"/>
        </w:rPr>
      </w:pPr>
    </w:p>
    <w:p w14:paraId="3BFC1BFA" w14:textId="55AF6635" w:rsidR="00372BE8" w:rsidRPr="00B1213E" w:rsidRDefault="3D9FB09B" w:rsidP="3D9FB09B">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This is the first study to evaluate the effects of curcumin on recovery, utilising the FORD and FORT assays to assess antioxidant capacity and hydroperoxide levels. The present study found that FORT levels in the HIGH group were 23% lower than in the PLA group immediately after exercise and 19.5</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 lower 24 h post-exercise. Curcumin is thought to both upregulate nuclear factor erythroid 2 related factor 2 and downregulate the oxidative stress expression of nuclear factor kappa-B (NF-kB) (37). Although FORT levels were significantly reduced in the HIGH group, no differences were observed in FORD between groups. However, both the curcumin groups also reduced oxidative stress as estimated using the ratio of FORT:FORD. This contrasts with the findings of Takahashi et al. </w:t>
      </w:r>
      <w:r w:rsidR="006A7CC7"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{"citationID":"OCNq6djk","properties":{"formattedCitation":"(Takahashi et al., 2014)","plainCitation":"(Takahashi et al., 2014)","noteIndex":0},"citationItems":[{"id":148,"uris":["http://zotero.org/users/local/7vKBzLRM/items/FWJ37AKR"],"itemData":{"id":148,"type":"article-journal","abstract":"The purpose of this study was to investigate the effects of curcumin supplementation on exercise-induced oxidative stress in humans. 10 male participants, ages 26.8±2.0 years (mean±SE), completed 3 trials in a random order: (1) placebo (control), (2) single (only before exercise) and (3) double (before and immediately after exercise) curcumin supplementation trials. Each participant received oral administration of 90 mg of curcumin or the placebo 2h before exercise and immediately after exercise. Each participant walked or ran at 65% of V˙2max on a treadmill for 60min. Blood samples were collected pre-exercise, immediately after exercise and 2h after exercise. The concentrations of serum derivatives of reactive oxygen metabolites measured immediately after exercise were significantly higher than pre-exercise values in the placebo trial (308.8±12.9 U. CARR, P&lt;0.05), but not in the single (259.9±17.1 U. CARR) or double (273.6±19.7 U. CARR) curcumin supplementation trials. Serum biological antioxidant potential concentrations measured immediately after exercise were significantly elevated in the single and double curcumin supplementation trials compared with pre-exercise values (P&lt;0.05). These findings indicate that curcumin supplementation can attenuate exercise-induced oxidative stress by increasing blood antioxidant capacity.","container-title":"International Journal of Sports Medicine","DOI":"10.1055/s-0033-1357185","ISSN":"1439-3964","issue":"6","journalAbbreviation":"Int J Sports Med","language":"eng","note":"PMID: 24165958","page":"469-475","source":"PubMed","title":"Effects of curcumin supplementation on exercise-induced oxidative stress in humans","volume":"35","author":[{"family":"Takahashi","given":"M."},{"family":"Suzuki","given":"K."},{"family":"Kim","given":"H. K."},{"family":"Otsuka","given":"Y."},{"family":"Imaizumi","given":"A."},{"family":"Miyashita","given":"M."},{"family":"Sakamoto","given":"S."}],"issued":{"date-parts":[["2014",6]]}}}],"schema":"https://github.com/citation-style-language/schema/raw/master/csl-citation.json"} </w:instrText>
      </w:r>
      <w:r w:rsidR="006A7CC7"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(Takahashi et al., 2014)</w:t>
      </w:r>
      <w:r w:rsidR="006A7CC7"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who reported that curcumin reduced oxidative stress after EIMD by enhancing antioxidant capacity (biological antioxidant potential and glutathione). However, in the present study no changes were observed in antioxidant capacity, but rather in hydroperoxide levels, a downstream marker of ROS. In the present study, a 48-hour loading phase was employed. However, this duration might have been too brief to significantly boost plasma antioxidant capacity, as longer loading phases, such as 28 days, have been demonstrated to effectively increase antioxidant levels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{"citationID":"2bjOSzXH","properties":{"formattedCitation":"(Ms et al., 2020)","plainCitation":"(Ms et al., 2020)","noteIndex":0},"citationItems":[{"id":136,"uris":["http://zotero.org/users/local/7vKBzLRM/items/KICGHF3U"],"itemData":{"id":136,"type":"article-journal","abstract":"Curcumin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(Ms et al., 2020)</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Interestingly, Takahashi et al. </w:t>
      </w:r>
      <w:r w:rsidR="006A7CC7"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{"citationID":"ZmiQP0SF","properties":{"formattedCitation":"(Takahashi et al., 2014)","plainCitation":"(Takahashi et al., 2014)","noteIndex":0},"citationItems":[{"id":148,"uris":["http://zotero.org/users/local/7vKBzLRM/items/FWJ37AKR"],"itemData":{"id":148,"type":"article-journal","abstract":"The purpose of this study was to investigate the effects of curcumin supplementation on exercise-induced oxidative stress in humans. 10 male participants, ages 26.8±2.0 years (mean±SE), completed 3 trials in a random order: (1) placebo (control), (2) single (only before exercise) and (3) double (before and immediately after exercise) curcumin supplementation trials. Each participant received oral administration of 90 mg of curcumin or the placebo 2h before exercise and immediately after exercise. Each participant walked or ran at 65% of V˙2max on a treadmill for 60min. Blood samples were collected pre-exercise, immediately after exercise and 2h after exercise. The concentrations of serum derivatives of reactive oxygen metabolites measured immediately after exercise were significantly higher than pre-exercise values in the placebo trial (308.8±12.9 U. CARR, P&lt;0.05), but not in the single (259.9±17.1 U. CARR) or double (273.6±19.7 U. CARR) curcumin supplementation trials. Serum biological antioxidant potential concentrations measured immediately after exercise were significantly elevated in the single and double curcumin supplementation trials compared with pre-exercise values (P&lt;0.05). These findings indicate that curcumin supplementation can attenuate exercise-induced oxidative stress by increasing blood antioxidant capacity.","container-title":"International Journal of Sports Medicine","DOI":"10.1055/s-0033-1357185","ISSN":"1439-3964","issue":"6","journalAbbreviation":"Int J Sports Med","language":"eng","note":"PMID: 24165958","page":"469-475","source":"PubMed","title":"Effects of curcumin supplementation on exercise-induced oxidative stress in humans","volume":"35","author":[{"family":"Takahashi","given":"M."},{"family":"Suzuki","given":"K."},{"family":"Kim","given":"H. K."},{"family":"Otsuka","given":"Y."},{"family":"Imaizumi","given":"A."},{"family":"Miyashita","given":"M."},{"family":"Sakamoto","given":"S."}],"issued":{"date-parts":[["2014",6]]}}}],"schema":"https://github.com/citation-style-language/schema/raw/master/csl-citation.json"} </w:instrText>
      </w:r>
      <w:r w:rsidR="006A7CC7"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(Takahashi et al., 2014)</w:t>
      </w:r>
      <w:r w:rsidR="006A7CC7"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reported differences in antioxidant levels with supplementation taken just 2 h before and after exercise. The reduction in FORT levels observed support</w:t>
      </w:r>
      <w:r w:rsidR="00CD2B85" w:rsidRPr="00B1213E">
        <w:rPr>
          <w:rFonts w:ascii="Times New Roman" w:hAnsi="Times New Roman" w:cs="Times New Roman"/>
          <w:sz w:val="24"/>
          <w:szCs w:val="24"/>
        </w:rPr>
        <w:t>s</w:t>
      </w:r>
      <w:r w:rsidRPr="00B1213E">
        <w:rPr>
          <w:rFonts w:ascii="Times New Roman" w:hAnsi="Times New Roman" w:cs="Times New Roman"/>
          <w:sz w:val="24"/>
          <w:szCs w:val="24"/>
        </w:rPr>
        <w:t xml:space="preserve"> the evidence that curcumin decreases the oxidative stress properties of NF-kB as seen by</w:t>
      </w:r>
      <w:r w:rsidR="006A7CC7" w:rsidRPr="00B1213E">
        <w:rPr>
          <w:rFonts w:ascii="Times New Roman" w:hAnsi="Times New Roman" w:cs="Times New Roman"/>
          <w:sz w:val="24"/>
          <w:szCs w:val="24"/>
        </w:rPr>
        <w:t xml:space="preserve"> Sahin et al.</w:t>
      </w:r>
      <w:r w:rsidR="004C375D" w:rsidRPr="00B1213E">
        <w:rPr>
          <w:rFonts w:ascii="Times New Roman" w:hAnsi="Times New Roman" w:cs="Times New Roman"/>
          <w:sz w:val="24"/>
          <w:szCs w:val="24"/>
        </w:rPr>
        <w:t xml:space="preserve">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{"citationID":"Qh56YVYe","properties":{"formattedCitation":"(Sahin et al., 2016)","plainCitation":"(Sahin et al., 2016)","noteIndex":0},"citationItems":[{"id":95,"uris":["http://zotero.org/users/local/7vKBzLRM/items/7BNFB9Y5"],"itemData":{"id":95,"type":"article-journal","abstract":"PURPOSE: Exercise (Ex) increases reactive oxygen species and impairs antioxidant defense systems. Recent data suggest that curcumin (CW) possesses peroxisome proliferator-activated receptor gamma activity and anti-inflammatory properties. Therefore, this study was designed to investigate the effects of CW supplementation on Ex performance, endurance, and changes in serum and muscle proteins in rats after exhaustive Ex.\nMATERIALS AND METHODS: Twenty-eight (28) male Wistar rats (age: 8 weeks and body weight: 180±20 g) were divided into four treatment groups: 1) control (C; no Ex), 2) C + CW (no Ex + CW), 3) C + Ex, and 4) C + Ex + CW (Ex + CW). CW was administered as 100 mg/kg CurcuWin(®), providing 20 mg of curcuminoids daily for 6 weeks. A motor-driven rodent treadmill was used to carry out the Ex protocols. During a 5-day period, animals in chronic Ex groups were put through different regimens: day 1, 10 m/min for 10 minutes; day 2, 20 m/min for 10 minutes; day 3, 25 m/min for 10 minutes; day 4, 25 m/min for 20 minutes; and day 5, 25 m/min for 30 minutes. Animals were exercised at 25 m/min for 45 min/d for 5 d/wk for 6 weeks. Blood and muscle samples were analyzed for muscle markers, oxidative stress, and antioxidant markers.\nRESULTS: Lactate and muscle malondialdehyde levels decreased in the CW-treated groups (P&lt;0.0001). However, activities of antioxidant enzyme levels increased in the CW-treated groups. Run to exhaustion (minutes) improved in the CW-treated groups. Muscle nuclear factor-κB (P&lt;0.05) and heat shock protein 70 (P&lt;0.05) levels were much lowered in the CW treated group followed by Ex group. In addition, muscle inhibitors of kappa B, peroxisome proliferator-activated receptor gamma coactivator 1-alpha, thioredoxin-1, sirtuin 1, nuclear factor (erythroid-derived 2)-like 2, and glucose transporter 4 protein levels in the Ex + CW group were higher than those in the control and Ex groups (P&lt;0.05).\nCONCLUSION: This study suggests that novel CW has the potential to help prevent muscle damage by regulating the nuclear factor-κB and nuclear factor (erythroid-derived 2)-like 2 pathways and improve the performance and nutritional values of CW.","container-title":"Journal of Inflammation Research","DOI":"10.2147/JIR.S110873","ISSN":"1178-7031","journalAbbreviation":"J Inflamm Res","language":"eng","note":"PMID: 27621662\nPMCID: PMC5010171","page":"147-154","source":"PubMed","title":"Curcumin prevents muscle damage by regulating NF-κB and Nrf2 pathways and improves performance: an in vivo model","title-short":"Curcumin prevents muscle damage by regulating NF-κB and Nrf2 pathways and improves performance","volume":"9","author":[{"family":"Sahin","given":"Kazim"},{"family":"Pala","given":"Ragip"},{"family":"Tuzcu","given":"Mehmet"},{"family":"Ozdemir","given":"Oguzhan"},{"family":"Orhan","given":"Cemal"},{"family":"Sahin","given":"Nurhan"},{"family":"Juturu","given":"Vijaya"}],"issued":{"date-parts":[["2016"]]}}}],"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(Sahin et al., 2016)</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t>
      </w:r>
    </w:p>
    <w:p w14:paraId="7ED65CCA" w14:textId="77777777" w:rsidR="00A8309C" w:rsidRPr="00B1213E" w:rsidRDefault="00A8309C" w:rsidP="3D9FB09B">
      <w:pPr>
        <w:tabs>
          <w:tab w:val="left" w:pos="1450"/>
        </w:tabs>
        <w:spacing w:after="0" w:line="360" w:lineRule="auto"/>
        <w:ind w:firstLine="709"/>
        <w:jc w:val="both"/>
        <w:rPr>
          <w:rFonts w:ascii="Times New Roman" w:hAnsi="Times New Roman" w:cs="Times New Roman"/>
          <w:sz w:val="24"/>
          <w:szCs w:val="24"/>
        </w:rPr>
      </w:pPr>
    </w:p>
    <w:p w14:paraId="6A5B7282" w14:textId="7BD5EC6A" w:rsidR="006A5282" w:rsidRPr="00B1213E" w:rsidRDefault="3D9FB09B" w:rsidP="00595397">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lastRenderedPageBreak/>
        <w:t>The observed blunting of the CK rise directly post</w:t>
      </w:r>
      <w:r w:rsidR="00682CDC" w:rsidRPr="00B1213E">
        <w:rPr>
          <w:rFonts w:ascii="Times New Roman" w:hAnsi="Times New Roman" w:cs="Times New Roman"/>
          <w:sz w:val="24"/>
          <w:szCs w:val="24"/>
        </w:rPr>
        <w:t xml:space="preserve"> </w:t>
      </w:r>
      <w:r w:rsidRPr="00B1213E">
        <w:rPr>
          <w:rFonts w:ascii="Times New Roman" w:hAnsi="Times New Roman" w:cs="Times New Roman"/>
          <w:sz w:val="24"/>
          <w:szCs w:val="24"/>
        </w:rPr>
        <w:t>EIMD and through to 48</w:t>
      </w:r>
      <w:r w:rsidR="0069142D" w:rsidRPr="00B1213E">
        <w:rPr>
          <w:rFonts w:ascii="Times New Roman" w:hAnsi="Times New Roman" w:cs="Times New Roman"/>
          <w:sz w:val="24"/>
          <w:szCs w:val="24"/>
        </w:rPr>
        <w:t xml:space="preserve"> </w:t>
      </w:r>
      <w:r w:rsidRPr="00B1213E">
        <w:rPr>
          <w:rFonts w:ascii="Times New Roman" w:hAnsi="Times New Roman" w:cs="Times New Roman"/>
          <w:sz w:val="24"/>
          <w:szCs w:val="24"/>
        </w:rPr>
        <w:t>h post exercise in HIGH further supports the notion that consumption of curcumin close to exercise (&lt; 2 h) downregulates the cyclooxygenase (COX-2) pathway. This could influence cell permeability, offering a protective effect</w:t>
      </w:r>
      <w:r w:rsidR="00C679A7" w:rsidRPr="00B1213E">
        <w:rPr>
          <w:rFonts w:ascii="Times New Roman" w:hAnsi="Times New Roman" w:cs="Times New Roman"/>
          <w:sz w:val="24"/>
          <w:szCs w:val="24"/>
        </w:rPr>
        <w:t xml:space="preserve"> by</w:t>
      </w:r>
      <w:r w:rsidRPr="00B1213E">
        <w:rPr>
          <w:rFonts w:ascii="Times New Roman" w:hAnsi="Times New Roman" w:cs="Times New Roman"/>
          <w:sz w:val="24"/>
          <w:szCs w:val="24"/>
        </w:rPr>
        <w:t xml:space="preserve"> alte</w:t>
      </w:r>
      <w:r w:rsidR="00C679A7" w:rsidRPr="00B1213E">
        <w:rPr>
          <w:rFonts w:ascii="Times New Roman" w:hAnsi="Times New Roman" w:cs="Times New Roman"/>
          <w:sz w:val="24"/>
          <w:szCs w:val="24"/>
        </w:rPr>
        <w:t>ring</w:t>
      </w:r>
      <w:r w:rsidRPr="00B1213E">
        <w:rPr>
          <w:rFonts w:ascii="Times New Roman" w:hAnsi="Times New Roman" w:cs="Times New Roman"/>
          <w:sz w:val="24"/>
          <w:szCs w:val="24"/>
        </w:rPr>
        <w:t xml:space="preserve"> membrane </w:t>
      </w:r>
      <w:r w:rsidR="00C679A7" w:rsidRPr="00B1213E">
        <w:rPr>
          <w:rFonts w:ascii="Times New Roman" w:hAnsi="Times New Roman" w:cs="Times New Roman"/>
          <w:sz w:val="24"/>
          <w:szCs w:val="24"/>
        </w:rPr>
        <w:t xml:space="preserve">structure and </w:t>
      </w:r>
      <w:r w:rsidRPr="00B1213E">
        <w:rPr>
          <w:rFonts w:ascii="Times New Roman" w:hAnsi="Times New Roman" w:cs="Times New Roman"/>
          <w:sz w:val="24"/>
          <w:szCs w:val="24"/>
        </w:rPr>
        <w:t xml:space="preserve">improving its integrity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{"citationID":"S28BULDK","properties":{"formattedCitation":"(Nanavati et al., 2022)","plainCitation":"(Nanavati et al., 2022)","noteIndex":0},"citationItems":[{"id":70,"uris":["http://zotero.org/users/local/7vKBzLRM/items/TVI7HZHU"],"itemData":{"id":70,"type":"article-journal","abstract":"Curcumin, a natural polyphenol extracted from turmeric, is a potent antioxidant and anti-inflammatory agent. In the past few decades, curcumin's ability to impact chronic inflammatory conditions such as metabolic syndrome, arthritis, and cancer has been widely researched, along with growing interest in understanding its role in exercise-induced muscle damage (EIMD). EIMD impacts individuals differently depending on the type (resistance exercise, high-intensity interval training, and running), intensity, and duration of the exercise. Exercise disrupts the muscles' ultrastructure, raises inflammatory cytokine levels, and can cause swelling in the affected limb, a reduction in range of motion (ROM), and a reduction in muscular force-producing capacity. This review focuses on the metabolism, pharmacokinetics of various brands of curcumin supplements, and the effect of curcumin supplementation on EIMD regarding muscle soreness, activity of creatine kinase (CK), and production of inflammatory markers. Curcumin supplementation in the dose range of 90-5000 mg/day can decrease the subjective perception of muscle pain intensity, increase antioxidant capacity, and reduce CK activity, which reduces muscle damage when consumed close to exercise. Consumption of curcumin also improves muscle performance and has an anti-inflammatory effect, downregulating the production of pro-inflammatory cytokines, including TNF-α, IL-6, and IL-8. Curcumin may also improve oxidative capacity without hampering training adaptations in untrained and recreationally active individuals. The optimal curcumin dose to ameliorate EIMD is challenging to assess as its effect depends on the curcumin concentration in the supplement and its bioavailability.","container-title":"European Journal of Nutrition","DOI":"10.1007/s00394-022-02943-7","ISSN":"1436-6215","issue":"8","journalAbbreviation":"Eur J Nutr","language":"eng","note":"PMID: 35831667\nPMCID: PMC9596560","page":"3835-3855","source":"PubMed","title":"Effect of curcumin supplementation on exercise-induced muscle damage: a narrative review","title-short":"Effect of curcumin supplementation on exercise-induced muscle damage","volume":"61","author":[{"family":"Nanavati","given":"K."},{"family":"Rutherfurd-Markwick","given":"K."},{"family":"Lee","given":"S. J."},{"family":"Bishop","given":"N. C."},{"family":"Ali","given":"A."}],"issued":{"date-parts":[["2022",12]]}}}],"schema":"https://github.com/citation-style-language/schema/raw/master/csl-citation.json"}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(Nanavati et al., 2022)</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These findings agree with Tanabe et al.</w:t>
      </w:r>
      <w:r w:rsidR="006A7CC7" w:rsidRPr="00B1213E">
        <w:rPr>
          <w:rFonts w:ascii="Times New Roman" w:hAnsi="Times New Roman" w:cs="Times New Roman"/>
          <w:sz w:val="24"/>
          <w:szCs w:val="24"/>
        </w:rPr>
        <w:t xml:space="preserve"> </w:t>
      </w:r>
      <w:r w:rsidR="006A7CC7"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{"citationID":"GazIw0oR","properties":{"formattedCitation":"(Tanabe et al., 2019)","plainCitation":"(Tanabe et al., 2019)","noteIndex":0},"citationItems":[{"id":118,"uris":["http://zotero.org/users/local/7vKBzLRM/items/WVVLJE36"],"itemData":{"id":118,"type":"article-journal","abstract":"We examined the effect of curcumin (CUR) ingestion before or after exercise on changes in muscle damage and inflammatory responses after exercise. We conducted two parallel experiments with different CUR ingestion timings using a double-blind crossover. In Exp. 1, ten healthy men ingested 180 mg d-1 of CUR or placebo (PLA) 7 days before exercise. In Exp. 2, ten other healthy men ingested 180 mg d-1 of CUR or PLA 7 days after exercise. They performed 30 maximal isokinetic (120°s-1 ) eccentric contractions of the elbow flexors using an isokinetic dynamometer, and this was repeated with the other arm ≥4 weeks later. Maximal voluntary contraction (MVC) torque of the elbow flexors, elbow joint range of motion (ROM), muscle soreness, and serum creatine kinase (CK) activity were measured before, immediately after, and 1-7 days after exercise. Plasma interleukin-8 (IL-8) was measured before, immediately after, 12 hours after, and 1-7 days after exercise. The changes were compared over time. In Exp. 1, no significant differences were found between CUR and PLA subjects for each parameter. However, increases in IL-8 were significantly reduced 12 hours after exercise when CUR was ingested before exercise. In Exp. 2, compared to the PLA subjects, MVC torque and ROM were higher 3-7 days and 2-7 days after exercise (P &lt; 0.05), respectively, whereas muscle soreness and CK activity were lower 3-6 days and 5-7 days after exercise (P &lt; 0.05), respectively, in CUR subjects. CUR ingestion before exercise could attenuate acute inflammation, and after exercise could attenuate muscle damage and facilitate faster recovery.","container-title":"Scandinavian Journal of Medicine &amp; Science in Sports","DOI":"10.1111/sms.13373","ISSN":"1600-0838","issue":"4","journalAbbreviation":"Scand J Med Sci Sports","language":"eng","note":"PMID: 30566760","page":"524-534","source":"PubMed","title":"Effects of oral curcumin ingested before or after eccentric exercise on markers of muscle damage and inflammation","volume":"29","author":[{"family":"Tanabe","given":"Yoko"},{"family":"Chino","given":"Kentaro"},{"family":"Ohnishi","given":"Takahiro"},{"family":"Ozawa","given":"Hitomi"},{"family":"Sagayama","given":"Hiroyuki"},{"family":"Maeda","given":"Seiji"},{"family":"Takahashi","given":"Hideyuki"}],"issued":{"date-parts":[["2019",4]]}}}],"schema":"https://github.com/citation-style-language/schema/raw/master/csl-citation.json"} </w:instrText>
      </w:r>
      <w:r w:rsidR="006A7CC7"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(Tanabe et al., 2019)</w:t>
      </w:r>
      <w:r w:rsidR="006A7CC7"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who found taking curcumin after exercise reduced CK levels across recovery days. Downregulating COX-2 pathway signalling also reduces prostaglandin production which is thought to reduce inflammation as well as pain severity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{"citationID":"wu6R14r7","properties":{"formattedCitation":"(Hatcher et al., 2008; Nanavati et al., 2022)","plainCitation":"(Hatcher et al., 2008; Nanavati et al., 2022)","noteIndex":0},"citationItems":[{"id":70,"uris":["http://zotero.org/users/local/7vKBzLRM/items/TVI7HZHU"],"itemData":{"id":70,"type":"article-journal","abstract":"Curcumin, a natural polyphenol extracted from turmeric, is a potent antioxidant and anti-inflammatory agent. In the past few decades, curcumin's ability to impact chronic inflammatory conditions such as metabolic syndrome, arthritis, and cancer has been widely researched, along with growing interest in understanding its role in exercise-induced muscle damage (EIMD). EIMD impacts individuals differently depending on the type (resistance exercise, high-intensity interval training, and running), intensity, and duration of the exercise. Exercise disrupts the muscles' ultrastructure, raises inflammatory cytokine levels, and can cause swelling in the affected limb, a reduction in range of motion (ROM), and a reduction in muscular force-producing capacity. This review focuses on the metabolism, pharmacokinetics of various brands of curcumin supplements, and the effect of curcumin supplementation on EIMD regarding muscle soreness, activity of creatine kinase (CK), and production of inflammatory markers. Curcumin supplementation in the dose range of 90-5000 mg/day can decrease the subjective perception of muscle pain intensity, increase antioxidant capacity, and reduce CK activity, which reduces muscle damage when consumed close to exercise. Consumption of curcumin also improves muscle performance and has an anti-inflammatory effect, downregulating the production of pro-inflammatory cytokines, including TNF-α, IL-6, and IL-8. Curcumin may also improve oxidative capacity without hampering training adaptations in untrained and recreationally active individuals. The optimal curcumin dose to ameliorate EIMD is challenging to assess as its effect depends on the curcumin concentration in the supplement and its bioavailability.","container-title":"European Journal of Nutrition","DOI":"10.1007/s00394-022-02943-7","ISSN":"1436-6215","issue":"8","journalAbbreviation":"Eur J Nutr","language":"eng","note":"PMID: 35831667\nPMCID: PMC9596560","page":"3835-3855","source":"PubMed","title":"Effect of curcumin supplementation on exercise-induced muscle damage: a narrative review","title-short":"Effect of curcumin supplementation on exercise-induced muscle damage","volume":"61","author":[{"family":"Nanavati","given":"K."},{"family":"Rutherfurd-Markwick","given":"K."},{"family":"Lee","given":"S. J."},{"family":"Bishop","given":"N. C."},{"family":"Ali","given":"A."}],"issued":{"date-parts":[["2022",12]]}}},{"id":41,"uris":["http://zotero.org/users/local/7vKBzLRM/items/ZFS66FM7"],"itemData":{"id":41,"type":"article-journal","abstract":"Curcumin is the active ingredient in the traditional herbal remedy and dietary spice turmeric (Curcuma longa). Curcumin has a surprisingly wide range of beneficial properties, including anti-inflammatory, antioxidant, chemopreventive and chemotherapeutic activity. The pleiotropic activities of curcumin derive from its complex chemistry as well as its ability to influence multiple signaling pathways, including survival pathways such as those regulated by NF-kappaB, Akt, and growth factors; cytoprotective pathways dependent on Nrf2; and metastatic and angiogenic pathways. Curcumin is a free radical scavenger and hydrogen donor, and exhibits both pro- and antioxidant activity. It also binds metals, particularly iron and copper, and can function as an iron chelator. Curcumin is remarkably non-toxic and exhibits limited bioavailability. Curcumin exhibits great promise as a therapeutic agent, and is currently in human clinical trials for a variety of conditions, including multiple myeloma, pancreatic cancer, myelodysplastic syndromes, colon cancer, psoriasis and Alzheimer's disease.","container-title":"Cellular and molecular life sciences: CMLS","DOI":"10.1007/s00018-008-7452-4","ISSN":"1420-682X","issue":"11","journalAbbreviation":"Cell Mol Life Sci","language":"eng","note":"PMID: 18324353\nPMCID: PMC4686230","page":"1631-1652","source":"PubMed","title":"Curcumin: from ancient medicine to current clinical trials","title-short":"Curcumin","volume":"65","author":[{"family":"Hatcher","given":"H."},{"family":"Planalp","given":"R."},{"family":"Cho","given":"J."},{"family":"Torti","given":"F. M."},{"family":"Torti","given":"S. V."}],"issued":{"date-parts":[["2008",6]]}}}],"schema":"https://github.com/citation-style-language/schema/raw/master/csl-citation.json"}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(Hatcher et al., 2008; Nanavati et al., 2022)</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A reduction in subjective pain (VAS</w:t>
      </w:r>
      <w:r w:rsidR="00827571" w:rsidRPr="00B1213E">
        <w:rPr>
          <w:rFonts w:ascii="Times New Roman" w:hAnsi="Times New Roman" w:cs="Times New Roman"/>
          <w:sz w:val="24"/>
          <w:szCs w:val="24"/>
        </w:rPr>
        <w:t xml:space="preserve"> and BORG</w:t>
      </w:r>
      <w:r w:rsidRPr="00B1213E">
        <w:rPr>
          <w:rFonts w:ascii="Times New Roman" w:hAnsi="Times New Roman" w:cs="Times New Roman"/>
          <w:sz w:val="24"/>
          <w:szCs w:val="24"/>
        </w:rPr>
        <w:t>), was observed at both 24- and 48-h post-exercise with both LOW and HIGH protocols.</w:t>
      </w:r>
      <w:r w:rsidR="00827571" w:rsidRPr="00B1213E">
        <w:rPr>
          <w:rFonts w:ascii="Times New Roman" w:hAnsi="Times New Roman" w:cs="Times New Roman"/>
          <w:sz w:val="24"/>
          <w:szCs w:val="24"/>
        </w:rPr>
        <w:t xml:space="preserve"> PPT markers were significantly reduced 24 h post-exercise; however, this reduction was attenuated in both curcumin groups. </w:t>
      </w:r>
      <w:r w:rsidRPr="00B1213E">
        <w:rPr>
          <w:rFonts w:ascii="Times New Roman" w:hAnsi="Times New Roman" w:cs="Times New Roman"/>
          <w:sz w:val="24"/>
          <w:szCs w:val="24"/>
        </w:rPr>
        <w:t>The observed reduction in pain may be associated with the 75</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 decrease in CK levels following exercise, indicating less initial muscle damage and potentially a reduction in subsequent muscle damage in the HIGH group. Additionally, this effect could be attributed to the significant decrease in the inflammatory cytokine IL-6 observed in the HIGH group, as lower IL-6 levels may reflect a dampened inflammatory response. This reduction in inflammation could contribute to decreased muscle soreness and pain, as IL-6 is known to play a key role in promoting inflammation and sensitizing pain receptors in response to muscle injury. Consequently, the lowered IL-6 levels in the HIGH group may help mitigate both the perception of pain and the progression of inflammation</w:t>
      </w:r>
      <w:r w:rsidR="00682CDC"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induced secondary muscle damage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{"citationID":"TGj8TKje","properties":{"formattedCitation":"(Sebba, 2021)","plainCitation":"(Sebba, 2021)","noteIndex":0},"citationItems":[{"id":133,"uris":["http://zotero.org/users/local/7vKBzLRM/items/CLZDXDU7"],"itemData":{"id":133,"type":"article-journal","abstract":"Pain is a major and common symptom reported as a top priority in patients with rheumatoid arthritis (RA). Intuitively, RA-related pain is often considered to be a natural consequence of peripheral inflammation, so treatment of RA is expected to manage pain concurrently as part of inflammation control. However, pain in patients with RA can be poorly correlated with objective measures of inflammation, for example, in patients who are otherwise in remission. Joint damage appears to account for only a fraction of this residual pain. Emerging evidence suggests that alteration of peripheral and central pain processing contributes to RA-related pain; this is parallel to, but somewhat independent of, joint inflammation. Interleukin (IL)-6 is a proinflammatory cytokine that contributes to the pathogenesis of RA. It exerts systemic effects via signaling through soluble forms of the IL-6 receptor (\"trans-signaling\"). Evidence from preclinical studies demonstrates that intra-articular IL-6 can produce long-lasting peripheral sensitization to mechanical stimulation and suggests an important role for IL-6 in central pain sensitization. This may be partly explained by its ability to activate neurons through trans-signaling, affecting nociceptive plasticity and nerve fiber regrowth. Local activity at neuron endings may culminate in altered pain processing in the central nervous system because of persistent signaling from sensitized peripheral neurons. Peripheral and central sensitization can promote the development of chronic pain, which can have a significant impact on patients' health and quality of life. A proportion of pain in RA may be more appropriately managed as an entity separate from inflammation. Both the peripheral and central nervous systems should be recognized as important potential systems targeted by RA. The substantial burden of RA-related chronic pain suggests that pain should be a key focus in RA management and should be assessed and addressed early and separately from the inflammatory component.","container-title":"Open Access Rheumatology: Research and Reviews","DOI":"10.2147/OARRR.S291388","ISSN":"1179-156X","journalAbbreviation":"Open Access Rheumatol","language":"eng","note":"PMID: 33707975\nPMCID: PMC7943546","page":"31-43","source":"PubMed","title":"Pain: A Review of Interleukin-6 and Its Roles in the Pain of Rheumatoid Arthritis","title-short":"Pain","volume":"13","author":[{"family":"Sebba","given":"Anthony"}],"issued":{"date-parts":[["2021"]]}}}],"schema":"https://github.com/citation-style-language/schema/raw/master/csl-citation.json"}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(Sebba, 2021)</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This may support the notion that prostaglandin productions were inhibited as both curcumin groups exhibited reduced perceived muscle soreness. These findings support the work from Nicol et al. </w:t>
      </w:r>
      <w:r w:rsidR="006A7CC7"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{"citationID":"GYKnoV32","properties":{"formattedCitation":"(Nicol et al., 2015)","plainCitation":"(Nicol et al., 2015)","noteIndex":0},"citationItems":[{"id":73,"uris":["http://zotero.org/users/local/7vKBzLRM/items/YZ8LKPEE"],"itemData":{"id":73,"type":"article-journal","abstract":"INTRODUCTION: Oral curcumin decreases inflammatory cytokines and increases muscle regeneration in mice.\nPURPOSE: To determine effects of curcumin on muscle damage, inflammation and delayed onset muscle soreness (DOMS) in humans.\nMETHOD: Seventeen men completed a double-blind randomized-controlled crossover trial to estimate the effects of oral curcumin supplementation (2.5 g twice daily) versus placebo on single-leg jump performance and DOMS following unaccustomed heavy eccentric exercise. Curcumin or placebo was taken 2 d before to 3 d after eccentric single-leg press exercise, separated by 14-d washout. Measurements were made at baseline, and 0, 24 and 48-h post-exercise comprising: (a) limb pain (1-10 cm visual analogue scale; VAS), (b) muscle swelling, (c) single-leg jump height, and (d) serum markers of muscle damage and inflammation. Standardized magnitude-based inference was used to define outcomes.\nRESULTS: At 24 and 48-h post-exercise, curcumin caused moderate-large reductions in pain during single-leg squat (VAS scale -1.4 to -1.7; 90 %CL: ±1.0), gluteal stretch (-1.0 to -1.9; ±0.9), squat jump (-1.5 to -1.1; ± 1.2) and small reductions in creatine kinase activity (-22-29 %; ±21-22 %). Associated with the pain reduction was a small increase in single-leg jump performance (15 %; 90 %CL ± 12 %). Curcumin increased interleukin-6 concentrations at 0-h (31 %; ±29 %) and 48-h (32 %; ±29 %) relative to baseline, but decreased IL-6 at 24-h relative to post-exercise (-20 %; ±18 %).\nCONCLUSIONS: Oral curcumin likely reduces pain associated with DOMS with some evidence for enhanced recovery of muscle performance. Further study is required on mechanisms and translational effects on sport or vocational performance.","container-title":"European Journal of Applied Physiology","DOI":"10.1007/s00421-015-3152-6","ISSN":"1439-6327","issue":"8","journalAbbreviation":"Eur J Appl Physiol","language":"eng","note":"PMID: 25795285","page":"1769-1777","source":"PubMed","title":"Curcumin supplementation likely attenuates delayed onset muscle soreness (DOMS)","volume":"115","author":[{"family":"Nicol","given":"Lesley M."},{"family":"Rowlands","given":"David S."},{"family":"Fazakerly","given":"Ruth"},{"family":"Kellett","given":"John"}],"issued":{"date-parts":[["2015",8]]}}}],"schema":"https://github.com/citation-style-language/schema/raw/master/csl-citation.json"} </w:instrText>
      </w:r>
      <w:r w:rsidR="006A7CC7"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(Nicol et al., 2015)</w:t>
      </w:r>
      <w:r w:rsidR="006A7CC7"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who showed decreases in perceived muscle soreness alongside decreases in CK as well as no changes in TNF-α whilst taking a high curcumin dose of 2500 mg/day. Thus, perhaps suggesting that curcumin may act through multiple biochemical pathways rather than just simply suppression of the COX-2 pathway and may be more enzyme/tissue specific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{"citationID":"vxD9svN8","properties":{"formattedCitation":"(Ms et al., 2020)","plainCitation":"(Ms et al., 2020)","noteIndex":0},"citationItems":[{"id":136,"uris":["http://zotero.org/users/local/7vKBzLRM/items/KICGHF3U"],"itemData":{"id":136,"type":"article-journal","abstract":"Curcumin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(Ms et al., 2020)</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t>
      </w:r>
    </w:p>
    <w:p w14:paraId="5F82B88A" w14:textId="77777777" w:rsidR="00874508" w:rsidRPr="00B1213E" w:rsidRDefault="00874508" w:rsidP="005E5594">
      <w:pPr>
        <w:tabs>
          <w:tab w:val="left" w:pos="1450"/>
        </w:tabs>
        <w:spacing w:after="0" w:line="360" w:lineRule="auto"/>
        <w:ind w:firstLine="709"/>
        <w:jc w:val="both"/>
        <w:rPr>
          <w:rFonts w:ascii="Times New Roman" w:hAnsi="Times New Roman" w:cs="Times New Roman"/>
          <w:sz w:val="24"/>
          <w:szCs w:val="24"/>
        </w:rPr>
      </w:pPr>
    </w:p>
    <w:p w14:paraId="14A1F21C" w14:textId="2AA8A390" w:rsidR="00470319" w:rsidRPr="00B1213E" w:rsidRDefault="3D9FB09B" w:rsidP="005E5594">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Although a decline in perceived pain was observed throughout the recovery period from both curcumin groups, the present study did not discern variations in inflammatory and anti-inflammatory markers among groups other than IL-6. Curcumin is recognized for mitigating inflammation by suppressing the prominent COX-2 pathway, resulting in a reduction of inflammatory markers like TNF-α and IL-4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{"citationID":"4xiG5HHo","properties":{"formattedCitation":"(Fern\\uc0\\u225{}ndez-L\\uc0\\u225{}zaro et al., 2020)","plainCitation":"(Fernández-Lázaro et al., 2020)","noteIndex":0},"citationItems":[{"id":33,"uris":["http://zotero.org/users/local/7vKBzLRM/items/3JQBYGHN"],"itemData":{"id":33,"type":"article-journal","abstract":"Physical activity, particularly high-intensity eccentric muscle contractions, produces exercise-induced muscle damage (EIMD). The breakdown of muscle fibers and the consequent inflammatory responses derived from EIMD affect exercise performance. Curcumin, a natural polyphenol extracted from turmeric, has been shown to have mainly antioxidant and also anti-inflammatory properties. This effect of curcumin could improve EIMD and exercise performance. The main objective of this systematic review was to critically evaluate the effectiveness of curcumin supplementation on EIMD and inflammatory and oxidative markers in a physically active population. A structured search was carried out following Preferred Reporting Items for Systematic Review and Meta-Analyses (PRISMA) guidelines in the databases SCOPUS, Web of Science (WOS), and Medline (PubMed) from inception to October 2019. The search included original articles with randomized controlled crossover or parallel design in which the intake of curcumin administered before and/or after exercise was compared with an identical placebo situation. No filters were applied to the type of physical exercise performed, the sex or the age of the participants. Of the 301 articles identified in the search, 11 met the established criteria and were included in this systematic review. The methodological quality of the studies was assessed using the McMaster Critical Review Form. The use of curcumin reduces the subjective perception of the intensity of muscle pain; reduces muscle damage through the decrease of creatine kinase (CK); increases muscle performance; has an anti-inflammatory effect by modulating the pro-inflammatory cytokines, such as TNF-α, IL-6, and IL-8; and may have a slight antioxidant effect. In summary, the administration of curcumin at a dose between 150-1500 mg/day before and during exercise, and up until 72 h' post-exercise, improved performance by reducing EIMD and modulating the inflammation caused by physical activity. In addition, humans appear to be able to tolerate high doses of curcumin without significant side-effects.","container-title":"Nutrients","DOI":"10.3390/nu12020501","ISSN":"2072-6643","issue":"2","journalAbbreviation":"Nutrients","language":"eng","note":"PMID: 32075287\nPMCID: PMC7071279","page":"501","source":"PubMed","title":"Modulation of Exercise-Induced Muscle Damage, Inflammation, and Oxidative Markers by Curcumin Supplementation in a Physically Active Population: A Systematic Review","title-short":"Modulation of Exercise-Induced Muscle Damage, Inflammation, and Oxidative Markers by Curcumin Supplementation in a Physically Active Population","volume":"12","author":[{"family":"Fernández-Lázaro","given":"Diego"},{"family":"Mielgo-Ayuso","given":"Juan"},{"family":"Seco Calvo","given":"Jesús"},{"family":"Córdova Martínez","given":"Alfredo"},{"family":"Caballero García","given":"Alberto"},{"family":"Fernandez-Lazaro","given":"Cesar I."}],"issued":{"date-parts":[["2020",2,15]]}}}],"schema":"https://github.com/citation-style-language/schema/raw/master/csl-citation.json"}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(Fernández-Lázaro et al., 2020)</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Yet, the current study revealed no distinctions in inflammatory, anti-inflammatory markers, or swelling, </w:t>
      </w:r>
      <w:proofErr w:type="gramStart"/>
      <w:r w:rsidRPr="00B1213E">
        <w:rPr>
          <w:rFonts w:ascii="Times New Roman" w:hAnsi="Times New Roman" w:cs="Times New Roman"/>
          <w:sz w:val="24"/>
          <w:szCs w:val="24"/>
        </w:rPr>
        <w:t xml:space="preserve">with </w:t>
      </w:r>
      <w:r w:rsidRPr="00B1213E">
        <w:rPr>
          <w:rFonts w:ascii="Times New Roman" w:hAnsi="Times New Roman" w:cs="Times New Roman"/>
          <w:sz w:val="24"/>
          <w:szCs w:val="24"/>
        </w:rPr>
        <w:lastRenderedPageBreak/>
        <w:t>the exception of</w:t>
      </w:r>
      <w:proofErr w:type="gramEnd"/>
      <w:r w:rsidRPr="00B1213E">
        <w:rPr>
          <w:rFonts w:ascii="Times New Roman" w:hAnsi="Times New Roman" w:cs="Times New Roman"/>
          <w:sz w:val="24"/>
          <w:szCs w:val="24"/>
        </w:rPr>
        <w:t xml:space="preserve"> IL-6. In agreement, with our findings Sciberras et al. </w:t>
      </w:r>
      <w:r w:rsidR="00FB25C6"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{"citationID":"CB6xorva","properties":{"formattedCitation":"(Sciberras et al., 2015)","plainCitation":"(Sciberras et al., 2015)","noteIndex":0},"citationItems":[{"id":102,"uris":["http://zotero.org/users/local/7vKBzLRM/items/PCGJH544"],"itemData":{"id":102,"type":"article-journal","abstract":"BACKGROUND: Endurance exercise induces IL-6 production from myocytes that is thought to impair intracellular defence mechanisms. Curcumin inhibits NF-κB and activator protein 1, responsible for cytokine transcription, in cell lines. The aim of this study was to investigate the effect of curcumin supplementation on the cytokine and stress responses following 2 h of cycling.\nMETHODS: Eleven male recreational athletes (35.5 ± 5.7 years; Wmax 275 ± 6 W; 87.2 ± 10.3 kg) consuming a low carbohydrate diet of 2.3 ± 0.2 g/kg/day underwent three double blind trials with curcumin supplementation, placebo supplementation, and no supplementation (control) to observe the response of serum interleukins (IL-6, IL1-RA, IL-10), cortisol, c-reactive protein (CRP), and subjective assessment of training stress. Exercise was set at 95% lactate threshold (54 ± 7% Wmax) to ensure that all athletes completed the trial protocol.\nRESULTS: The trial protocol elicted a rise in IL-6 and IL1-RA, but not IL-10. The supplementation regimen failed to produce statistically significant results when compared to placebo and control. IL-6 serum concentrations one hour following exercise were (Median (IQR): 2.0 (1.8-3.6) Curcumin; 4.8 (2.1-7.3) Placebo; 3.5 (1.9-7.7) Control). Differences between supplementation and placebo failed to reach statistical significance (p = 0.18) with the median test. Repeated measures ANOVA time-trial interaction was at p = 0.06 between curcumin supplementation and placebo. A positive correlation (p = 0.02) between absolute exercise intensity and 1 h post-exercise for IL-6 concentration was observed. Participants reported \"better than usual\" scores in the subjective assessment of psychological stress when supplementing with curcumin, indicating that they felt less stressed during training days (p = 0.04) compared to placebo even though there was no difference in RPE during any of the training days or trials.\nCONCLUSION: The limitations of the current regimen and trial involved a number of factors including sample size, mode of exercise, intensity of exercise, and dose of curcumin. Nevertheless these results provide insight for future studies with larger samples, and multiple curcumin dosages to investigate if different curcumin regimens can lead to statistically different interleukin levels when compared to a control and placebo.","container-title":"Journal of the International Society of Sports Nutrition","DOI":"10.1186/s12970-014-0066-3","ISSN":"1550-2783","issue":"1","journalAbbreviation":"J Int Soc Sports Nutr","language":"eng","note":"PMID: 25628521\nPMCID: PMC4307740","page":"5","source":"PubMed","title":"The effect of turmeric (Curcumin) supplementation on cytokine and inflammatory marker responses following 2 hours of endurance cycling","volume":"12","author":[{"family":"Sciberras","given":"Joseph N."},{"family":"Galloway","given":"Stuart Dr"},{"family":"Fenech","given":"Anthony"},{"family":"Grech","given":"Godfrey"},{"family":"Farrugia","given":"Claude"},{"family":"Duca","given":"Deborah"},{"family":"Mifsud","given":"Janet"}],"issued":{"date-parts":[["2015"]]}}}],"schema":"https://github.com/citation-style-language/schema/raw/master/csl-citation.json"} </w:instrText>
      </w:r>
      <w:r w:rsidR="00FB25C6"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(Sciberras et al., 2015)</w:t>
      </w:r>
      <w:r w:rsidR="00FB25C6" w:rsidRPr="00B1213E">
        <w:rPr>
          <w:rFonts w:ascii="Times New Roman" w:hAnsi="Times New Roman" w:cs="Times New Roman"/>
          <w:sz w:val="24"/>
          <w:szCs w:val="24"/>
        </w:rPr>
        <w:fldChar w:fldCharType="end"/>
      </w:r>
      <w:r w:rsidRPr="00B1213E">
        <w:rPr>
          <w:rFonts w:ascii="Times New Roman" w:hAnsi="Times New Roman" w:cs="Times New Roman"/>
          <w:sz w:val="24"/>
          <w:szCs w:val="24"/>
        </w:rPr>
        <w:t>, Basham et al.</w:t>
      </w:r>
      <w:r w:rsidR="00FB25C6" w:rsidRPr="00B1213E">
        <w:rPr>
          <w:rFonts w:ascii="Times New Roman" w:hAnsi="Times New Roman" w:cs="Times New Roman"/>
          <w:sz w:val="24"/>
          <w:szCs w:val="24"/>
        </w:rPr>
        <w:t xml:space="preserve"> </w:t>
      </w:r>
      <w:r w:rsidR="00FB25C6"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{"citationID":"bvCo1Pwa","properties":{"formattedCitation":"(Ms et al., 2020)","plainCitation":"(Ms et al., 2020)","noteIndex":0},"citationItems":[{"id":136,"uris":["http://zotero.org/users/local/7vKBzLRM/items/KICGHF3U"],"itemData":{"id":136,"type":"article-journal","abstract":"Curcumin has been shown to reduce exercise-induced oxidative stress (OS) and inflammation. The purpose of this investigation was to examine the effects of curcumin supplementation on OS, inflammation, muscle damage, and muscle soreness. Nineteen males participated in a randomized, double-blinded, placebo-controlled trial to examine the effects of curcumin supplementation (1.5 g/day) compared to a placebo (PLA) following a muscle-damaging protocol (MDP) on OS, inflammation, muscle damage, and soreness. Participants were randomized to two groups, curcumin or placebo group. The MDP was performed before and after supplementation (28 days). Blood was sampled pre- and postexercise and 60 min, 24 h, and 48 h postexercise and analyzed for total antioxidant capacity (TAC), malondialdehyde (MDA), tumor necrosis factor alpha (TNF-α), and creatine kinase (CK). In addition, a visual analog scale (VAS) was used on each blood sample to measure perceived muscle soreness. After supplementation, curcumin significantly blunted CK levels (199.62 U/L) compared to the placebo (287.03 U/L), overall (p &lt; 0.0001). In addition, curcumin resulted in decreased muscle soreness, overall (VAS scale 2.88), when compared to the placebo (VAS scale 3.36) (p = 0.0120). There were no differences found in TAC, TNF-α, or MDA. Curcumin may reduce muscle damage and perceived muscle soreness without negatively impacting a natural inflammatory response following exercise. Future research should investigate chronic curcumin supplementation and its mechanistic effects on muscle recovery from exercise.","container-title":"Journal of Dietary Supplements","DOI":"10.1080/19390211.2019.1604604","ISSN":"1939-022X","issue":"4","journalAbbreviation":"J Diet Suppl","language":"eng","note":"PMID: 31025894","page":"401-414","source":"PubMed","title":"Effect of Curcumin Supplementation on Exercise-Induced Oxidative Stress, Inflammation, Muscle Damage, and Muscle Soreness","volume":"17","author":[{"family":"Ms","given":"Steven A. Basham"},{"family":"Waldman PhD","given":"Hunter S."},{"family":"Krings PhD","given":"Ben M."},{"family":"Lamberth PhD","given":"John"},{"family":"Smith PhD","given":"JohnEric W."},{"family":"McAllister PhD","given":"Matthew J."}],"issued":{"date-parts":[["2020"]]}}}],"schema":"https://github.com/citation-style-language/schema/raw/master/csl-citation.json"} </w:instrText>
      </w:r>
      <w:r w:rsidR="00FB25C6"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(Ms et al., 2020)</w:t>
      </w:r>
      <w:r w:rsidR="00FB25C6"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and </w:t>
      </w:r>
      <w:proofErr w:type="spellStart"/>
      <w:r w:rsidRPr="00B1213E">
        <w:rPr>
          <w:rFonts w:ascii="Times New Roman" w:hAnsi="Times New Roman" w:cs="Times New Roman"/>
          <w:sz w:val="24"/>
          <w:szCs w:val="24"/>
        </w:rPr>
        <w:t>Drobnic</w:t>
      </w:r>
      <w:proofErr w:type="spellEnd"/>
      <w:r w:rsidRPr="00B1213E">
        <w:rPr>
          <w:rFonts w:ascii="Times New Roman" w:hAnsi="Times New Roman" w:cs="Times New Roman"/>
          <w:sz w:val="24"/>
          <w:szCs w:val="24"/>
        </w:rPr>
        <w:t xml:space="preserve"> et al.</w:t>
      </w:r>
      <w:r w:rsidR="00FB25C6" w:rsidRPr="00B1213E">
        <w:rPr>
          <w:rFonts w:ascii="Times New Roman" w:hAnsi="Times New Roman" w:cs="Times New Roman"/>
          <w:sz w:val="24"/>
          <w:szCs w:val="24"/>
        </w:rPr>
        <w:t xml:space="preserve"> </w:t>
      </w:r>
      <w:r w:rsidR="00FB25C6"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{"citationID":"bZ4La3nG","properties":{"formattedCitation":"(Drobnic et al., 2014)","plainCitation":"(Drobnic et al., 2014)","noteIndex":0},"citationItems":[{"id":25,"uris":["http://zotero.org/users/local/7vKBzLRM/items/HA6PNPWC"],"itemData":{"id":25,"type":"article-journal","abstract":"BACKGROUND: Delayed onset muscle soreness (DOMS) due to eccentric muscle activity is associated with inflammatory responses and production of reactive oxygen species (ROS) that sustain both inflammation and oxidative stress. Curcumin, a powerful promoter of anti-oxidant response, is one of the best-investigated natural products, and is now commercially available as a lecithin delivery system (Meriva®, Indena SpA, Milan) with improved bio-availability. The aim of this study was to test whether curcumin could attenuate damage from oxidative stress and inflammation related to acute muscle injury induced by eccentric continuous exercise.\nMETHODS: This was a randomised, placebo-controlled, single-blind pilot trial. Twenty male healthy, moderately active volunteers were randomised to curcumin given as the Phytosome® delivery system 1 g twice daily (200 mg curcumin b.i.d.) or matching placebo. Supplementation was initiated 48 hours prior to a downhill running test and was continued for 24 hours after the test (4 days in total). Muscle damage was quantified by magnetic resonance imaging, laboratory tests and histological analyses on muscle samples obtained 48 hours after the test. Patient-reported pain intensity was also recorded.\nRESULTS: Subjects in the curcumin group reported less pain in the lower limb as compared with subjects in the placebo group, although significant differences were observed only for the right and left anterior thighs. Significantly fewer subjects in the curcumin group had MRI evidence of muscle injury in the posterior or medial compartment of both thighs. Increases in markers of muscle damage and inflammation tended to be lower in the curcumin group, but significant differences were only observed for interleukin-8 at 2 h after exercise. No differences in markers of oxidative stress and muscle histology were observed.\nCONCLUSIONS: Curcumin has the potential for preventing DOMS, as suggested by its effects on pain intensity and muscle injury. Larger studies are needed to confirm these results and further clarify the mechanism of action of curcumin.","container-title":"Journal of the International Society of Sports Nutrition","DOI":"10.1186/1550-2783-11-31","ISSN":"1550-2783","journalAbbreviation":"J Int Soc Sports Nutr","language":"eng","note":"PMID: 24982601\nPMCID: PMC4074833","page":"31","source":"PubMed","title":"Reduction of delayed onset muscle soreness by a novel curcumin delivery system (Meriva®): a randomised, placebo-controlled trial","title-short":"Reduction of delayed onset muscle soreness by a novel curcumin delivery system (Meriva®)","volume":"11","author":[{"family":"Drobnic","given":"Franchek"},{"family":"Riera","given":"Joan"},{"family":"Appendino","given":"Giovanni"},{"family":"Togni","given":"Stefano"},{"family":"Franceschi","given":"Federico"},{"family":"Valle","given":"Xavier"},{"family":"Pons","given":"Antoni"},{"family":"Tur","given":"Josep"}],"issued":{"date-parts":[["2014"]]}}}],"schema":"https://github.com/citation-style-language/schema/raw/master/csl-citation.json"} </w:instrText>
      </w:r>
      <w:r w:rsidR="00FB25C6"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(Drobnic et al., 2014)</w:t>
      </w:r>
      <w:r w:rsidR="00FB25C6"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have shown that whilst inflammation biomarkers tend to be reduced post exercise with curcumin, significant reductions are lacking in the literature comparing low and high doses. Therefore, the reductions in muscle soreness observed may be attributed to mechanisms beyond the COX-2 pathway, such as the NF-kB pathway, which has been associated with pain modulation </w:t>
      </w:r>
      <w:r w:rsidR="007749E1"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{"citationID":"5qR4ReLn","properties":{"formattedCitation":"(Ahmed et al., 2019)","plainCitation":"(Ahmed et al., 2019)","noteIndex":0},"citationItems":[{"id":3,"uris":["http://zotero.org/users/local/7vKBzLRM/items/RLVMTDV7"],"itemData":{"id":3,"type":"article-journal","abstract":"The role of nuclear factor kappa-light-chain-enhancer of activated B cells (NF-κB) has been highlighted in mechanisms underlying inflammatory and neuropathic pain processes. The present study was designed to investigate whether NF-κB signaling is associated with pain-related neuropeptide expression in patients with chronic back pain related to degenerative disc disease (DDD). Intervertebral disc (IVD) tissues were collected from forty DDD patients undergoing disc replacement or fusion surgery, and from eighteen postmortem (PM) control subjects. RELA, NFKB1, CGRP, TAC1, TRPV1, and MMP-3 gene expression were analyzed by RT-qPCR, while NF-κB subunit RelA and NF-κB1⁻DNA binding in nuclear extracts and calcitonin gene related peptide (CGRP), substance P (SP), and transient receptor potential, subfamily V, member 1 (TRPV1) protein levels in cytosolic extracts of tissues were assessed by enzyme-linked immunosorbent assay (ELISA). An upregulated NF-κB1⁻DNA binding, and higher CGRP and TRPV1 protein levels were observed in DDD patients compared to PM controls. In DDD patients, NF-κB1⁻DNA binding was positively correlated with nuclear RelA levels. Moreover, NF-κB1⁻DNA binding was positively associated with TRPV1 and MMP-3 gene and SP and TRPV1 protein expression in DDD patients. Our results indicate that the expression of SP and TRPV1 in IVD tissues was associated with NF-κB activation. Moreover, NF-κB may be involved in the generation or maintenance of peripheral pain mechanisms by the regulation of pain-related neuropeptide expression in DDD patients.","container-title":"International Journal of Molecular Sciences","DOI":"10.3390/ijms20030658","ISSN":"1422-0067","issue":"3","journalAbbreviation":"Int J Mol Sci","language":"eng","note":"PMID: 30717434\nPMCID: PMC6386867","page":"658","source":"PubMed","title":"NF-κB-Associated Pain-Related Neuropeptide Expression in Patients with Degenerative Disc Disease","volume":"20","author":[{"family":"Ahmed","given":"Aisha S."},{"family":"Berg","given":"Svante"},{"family":"Alkass","given":"Kanar"},{"family":"Druid","given":"Henrik"},{"family":"Hart","given":"David A."},{"family":"Svensson","given":"Camilla I."},{"family":"Kosek","given":"Eva"}],"issued":{"date-parts":[["2019",2,3]]}}}],"schema":"https://github.com/citation-style-language/schema/raw/master/csl-citation.json"} </w:instrText>
      </w:r>
      <w:r w:rsidR="007749E1"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(Ahmed et al., 2019)</w:t>
      </w:r>
      <w:r w:rsidR="007749E1"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Additionally, the significant decrease in CK levels observed post-exercise in the HIGH group suggests less muscle damage, further contributing to the reduced soreness. </w:t>
      </w:r>
    </w:p>
    <w:p w14:paraId="6EFBBCAB" w14:textId="138CC83A" w:rsidR="3D9FB09B" w:rsidRPr="00B1213E" w:rsidRDefault="3D9FB09B" w:rsidP="3D9FB09B">
      <w:pPr>
        <w:tabs>
          <w:tab w:val="left" w:pos="1450"/>
        </w:tabs>
        <w:spacing w:after="0" w:line="360" w:lineRule="auto"/>
        <w:ind w:firstLine="709"/>
        <w:jc w:val="both"/>
        <w:rPr>
          <w:rFonts w:ascii="Times New Roman" w:hAnsi="Times New Roman" w:cs="Times New Roman"/>
          <w:sz w:val="24"/>
          <w:szCs w:val="24"/>
        </w:rPr>
      </w:pPr>
    </w:p>
    <w:p w14:paraId="38877DD4" w14:textId="4A7FF9FA" w:rsidR="00470319" w:rsidRPr="00B1213E" w:rsidRDefault="3D9FB09B" w:rsidP="000025BA">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Loss of muscle strength is a frequently utilized marker for quantifying muscle damage and assessing recovery following exercise-induced muscle damage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{"citationID":"lpukvkh1","properties":{"formattedCitation":"(Shoji et al., 2021)","plainCitation":"(Shoji et al., 2021)","noteIndex":0},"citationItems":[{"id":105,"uris":["http://zotero.org/users/local/7vKBzLRM/items/8DEZS9KW"],"itemData":{"id":105,"type":"article-journal","abstract":"The present study examined if the magnitude of changes in indirect muscle damage markers could be predicted by maximal voluntary isometric contraction (MVIC) torque changes from immediately to 1 day after eccentric exercise. Twenty-eight young men performed 100 maximal isokinetic (60°/s) eccentric contractions of the knee extensors. MVIC torque, potentiated doublet torque, voluntary activation (VA) during MVIC, shear modulus of rectus femoris (RF), vastus medialis and lateralis, and muscle soreness of these muscles were measured before, immediately after, and 1-3 days post-exercise. Based on the recovery rate of the MVIC torque from immediately to 1-day post-exercise, the participants were placed to a recovery group that showed an increase in the MVIC torque (11.3-79.9%, n = 15) or a no-recovery group that showed no recovery (-71.9 to 0%, n = 13). No significant difference in MVIC torque decrease immediately post-exercise was found between the recovery (-33 ± 12%) and no-recovery (-32 ± 9%) groups. At 1-3 days, changes in MVIC torque (-40 to -26% vs. -22 to -12%), potentiated doublet torque (-37 to -22% vs. -20 to -9%), and proximal RF shear modulus (29-34% vs. 8-15%) were greater (p &lt; 0.05) for the no-recovery than recovery group. No significant group differences were found for muscle soreness. The recovery rate of MVIC torque was correlated (p &lt; 0.05) with the change in MVIC torque from baseline to 2 (r = 0.624) or 3 days post-exercise (r = 0.526), or peak change in potentiated doublet torque at 1-3 days post-exercise from baseline (r = 0.691), but not correlated with the changes in other dependent variables. These results suggest that the recovery rate of MVIC torque predicts changes in neuromuscular function but not muscle soreness and stiffness following eccentric exercise of the knee extensors.","container-title":"Frontiers in Physiology","DOI":"10.3389/fphys.2021.775157","ISSN":"1664-042X","journalAbbreviation":"Front Physiol","language":"eng","note":"PMID: 34867482\nPMCID: PMC8635727","page":"775157","source":"PubMed","title":"Muscle Damage Indicated by Maximal Voluntary Contraction Strength Changes From Immediately to 1 Day After Eccentric Exercise of the Knee Extensors","volume":"12","author":[{"family":"Shoji","given":"Mikio"},{"family":"Ema","given":"Ryoichi"},{"family":"Nosaka","given":"Kazunori"},{"family":"Kanda","given":"Akihiro"},{"family":"Hirata","given":"Kosuke"},{"family":"Akagi","given":"Ryota"}],"issued":{"date-parts":[["2021"]]}}}],"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(Shoji et al., 2021)</w:t>
      </w:r>
      <w:r w:rsidR="004C375D" w:rsidRPr="00B1213E">
        <w:rPr>
          <w:rFonts w:ascii="Times New Roman" w:hAnsi="Times New Roman" w:cs="Times New Roman"/>
          <w:sz w:val="24"/>
          <w:szCs w:val="24"/>
        </w:rPr>
        <w:fldChar w:fldCharType="end"/>
      </w:r>
      <w:r w:rsidRPr="00B1213E">
        <w:rPr>
          <w:rFonts w:ascii="Times New Roman" w:hAnsi="Times New Roman" w:cs="Times New Roman"/>
          <w:sz w:val="24"/>
          <w:szCs w:val="24"/>
        </w:rPr>
        <w:t>. In this study, muscle function declined following the damaging protocol, as evidenced by both muscle performance tests, peak torque and isometric endurance. While no differences were observed in peak torque, a significant reduction in muscle endurance at 24 h post</w:t>
      </w:r>
      <w:r w:rsidR="00C44DDB"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EIMD was noted between the LOW and HIGH groups, with the HIGH group showing markedly </w:t>
      </w:r>
      <w:r w:rsidR="00F026F6" w:rsidRPr="00B1213E">
        <w:rPr>
          <w:rFonts w:ascii="Times New Roman" w:hAnsi="Times New Roman" w:cs="Times New Roman"/>
          <w:sz w:val="24"/>
          <w:szCs w:val="24"/>
        </w:rPr>
        <w:t>delayed</w:t>
      </w:r>
      <w:r w:rsidRPr="00B1213E">
        <w:rPr>
          <w:rFonts w:ascii="Times New Roman" w:hAnsi="Times New Roman" w:cs="Times New Roman"/>
          <w:sz w:val="24"/>
          <w:szCs w:val="24"/>
        </w:rPr>
        <w:t xml:space="preserve"> recovery (</w:t>
      </w:r>
      <w:r w:rsidRPr="00B1213E">
        <w:rPr>
          <w:rFonts w:ascii="Times New Roman" w:hAnsi="Times New Roman" w:cs="Times New Roman"/>
          <w:i/>
          <w:iCs/>
          <w:sz w:val="24"/>
          <w:szCs w:val="24"/>
        </w:rPr>
        <w:t>P</w:t>
      </w:r>
      <w:r w:rsidRPr="00B1213E">
        <w:rPr>
          <w:rFonts w:ascii="Times New Roman" w:hAnsi="Times New Roman" w:cs="Times New Roman"/>
          <w:sz w:val="24"/>
          <w:szCs w:val="24"/>
        </w:rPr>
        <w:t xml:space="preserve"> &lt; 0.05). </w:t>
      </w:r>
      <w:r w:rsidR="00C679A7" w:rsidRPr="00B1213E">
        <w:rPr>
          <w:rFonts w:ascii="Times New Roman" w:hAnsi="Times New Roman" w:cs="Times New Roman"/>
          <w:sz w:val="24"/>
          <w:szCs w:val="24"/>
        </w:rPr>
        <w:t>Contrary to</w:t>
      </w:r>
      <w:r w:rsidRPr="00B1213E">
        <w:rPr>
          <w:rFonts w:ascii="Times New Roman" w:hAnsi="Times New Roman" w:cs="Times New Roman"/>
          <w:sz w:val="24"/>
          <w:szCs w:val="24"/>
        </w:rPr>
        <w:t xml:space="preserve"> previous studies where curcumin has </w:t>
      </w:r>
      <w:r w:rsidR="007E2F4D" w:rsidRPr="00B1213E">
        <w:rPr>
          <w:rFonts w:ascii="Times New Roman" w:hAnsi="Times New Roman" w:cs="Times New Roman"/>
          <w:sz w:val="24"/>
          <w:szCs w:val="24"/>
        </w:rPr>
        <w:t xml:space="preserve">either </w:t>
      </w:r>
      <w:r w:rsidRPr="00B1213E">
        <w:rPr>
          <w:rFonts w:ascii="Times New Roman" w:hAnsi="Times New Roman" w:cs="Times New Roman"/>
          <w:sz w:val="24"/>
          <w:szCs w:val="24"/>
        </w:rPr>
        <w:t xml:space="preserve">showed </w:t>
      </w:r>
      <w:r w:rsidR="007E2F4D" w:rsidRPr="00B1213E">
        <w:rPr>
          <w:rFonts w:ascii="Times New Roman" w:hAnsi="Times New Roman" w:cs="Times New Roman"/>
          <w:sz w:val="24"/>
          <w:szCs w:val="24"/>
        </w:rPr>
        <w:t xml:space="preserve">no </w:t>
      </w:r>
      <w:r w:rsidRPr="00B1213E">
        <w:rPr>
          <w:rFonts w:ascii="Times New Roman" w:hAnsi="Times New Roman" w:cs="Times New Roman"/>
          <w:sz w:val="24"/>
          <w:szCs w:val="24"/>
        </w:rPr>
        <w:t>significant</w:t>
      </w:r>
      <w:r w:rsidR="007E2F4D"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differences in MVC peak torque after 7 days of supplementation </w:t>
      </w:r>
      <w:r w:rsidR="004C375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{"citationID":"nm6vkM3F","properties":{"formattedCitation":"(Tanabe et al., 2019)","plainCitation":"(Tanabe et al., 2019)","noteIndex":0},"citationItems":[{"id":118,"uris":["http://zotero.org/users/local/7vKBzLRM/items/WVVLJE36"],"itemData":{"id":118,"type":"article-journal","abstract":"We examined the effect of curcumin (CUR) ingestion before or after exercise on changes in muscle damage and inflammatory responses after exercise. We conducted two parallel experiments with different CUR ingestion timings using a double-blind crossover. In Exp. 1, ten healthy men ingested 180 mg d-1 of CUR or placebo (PLA) 7 days before exercise. In Exp. 2, ten other healthy men ingested 180 mg d-1 of CUR or PLA 7 days after exercise. They performed 30 maximal isokinetic (120°s-1 ) eccentric contractions of the elbow flexors using an isokinetic dynamometer, and this was repeated with the other arm ≥4 weeks later. Maximal voluntary contraction (MVC) torque of the elbow flexors, elbow joint range of motion (ROM), muscle soreness, and serum creatine kinase (CK) activity were measured before, immediately after, and 1-7 days after exercise. Plasma interleukin-8 (IL-8) was measured before, immediately after, 12 hours after, and 1-7 days after exercise. The changes were compared over time. In Exp. 1, no significant differences were found between CUR and PLA subjects for each parameter. However, increases in IL-8 were significantly reduced 12 hours after exercise when CUR was ingested before exercise. In Exp. 2, compared to the PLA subjects, MVC torque and ROM were higher 3-7 days and 2-7 days after exercise (P &lt; 0.05), respectively, whereas muscle soreness and CK activity were lower 3-6 days and 5-7 days after exercise (P &lt; 0.05), respectively, in CUR subjects. CUR ingestion before exercise could attenuate acute inflammation, and after exercise could attenuate muscle damage and facilitate faster recovery.","container-title":"Scandinavian Journal of Medicine &amp; Science in Sports","DOI":"10.1111/sms.13373","ISSN":"1600-0838","issue":"4","journalAbbreviation":"Scand J Med Sci Sports","language":"eng","note":"PMID: 30566760","page":"524-534","source":"PubMed","title":"Effects of oral curcumin ingested before or after eccentric exercise on markers of muscle damage and inflammation","volume":"29","author":[{"family":"Tanabe","given":"Yoko"},{"family":"Chino","given":"Kentaro"},{"family":"Ohnishi","given":"Takahiro"},{"family":"Ozawa","given":"Hitomi"},{"family":"Sagayama","given":"Hiroyuki"},{"family":"Maeda","given":"Seiji"},{"family":"Takahashi","given":"Hideyuki"}],"issued":{"date-parts":[["2019",4]]}}}],"schema":"https://github.com/citation-style-language/schema/raw/master/csl-citation.json"} </w:instrText>
      </w:r>
      <w:r w:rsidR="004C375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(Tanabe et al., 2019)</w:t>
      </w:r>
      <w:r w:rsidR="004C375D" w:rsidRPr="00B1213E">
        <w:rPr>
          <w:rFonts w:ascii="Times New Roman" w:hAnsi="Times New Roman" w:cs="Times New Roman"/>
          <w:sz w:val="24"/>
          <w:szCs w:val="24"/>
        </w:rPr>
        <w:fldChar w:fldCharType="end"/>
      </w:r>
      <w:r w:rsidR="007E2F4D" w:rsidRPr="00B1213E">
        <w:rPr>
          <w:rFonts w:ascii="Times New Roman" w:hAnsi="Times New Roman" w:cs="Times New Roman"/>
          <w:sz w:val="24"/>
          <w:szCs w:val="24"/>
        </w:rPr>
        <w:t xml:space="preserve"> or attenuated reductions in peak torque compared to placebo after 8 weeks of supplementation </w:t>
      </w:r>
      <w:r w:rsidR="007E2F4D"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{"citationID":"XegJGhLK","properties":{"formattedCitation":"(J\\uc0\\u228{}ger et al., 2019)","plainCitation":"(Jäger et al., 2019)","noteIndex":0},"citationItems":[{"id":46,"uris":["http://zotero.org/users/local/7vKBzLRM/items/YMMSVPE6"],"itemData":{"id":46,"type":"article-journal","abstract":"BACKGROUND: It is known that unaccustomed exercise-especially when it has an eccentric component-causes muscle damage and subsequent performance decrements. Attenuating muscle damage may improve performance and recovery, allowing for improved training quality and adaptations. Therefore, the current study sought to examine the effect of two doses of curcumin supplementation on performance decrements following downhill running.\nMETHODS: Sixty-three physically active men and women (21 ± 2 y; 70.0 ± 13.7 kg; 169.3 ± 15.2 cm; 25.6 ± 14.3 body mass index (BMI), 32 women, 31 men) were randomly assigned to ingest 250 mg of CurcuWIN® (50 mg of curcuminoids), 1000 mg of CurcuWIN® (200 mg of curcuminoids), or a corn starch placebo (PLA) for eight weeks in a double-blind, randomized, placebo-controlled parallel design. At the end of the supplementation period, subjects completed a downhill running protocol intended to induce muscle damage. Muscle function using isokinetic dynamometry and perceived soreness was assessed prior to and at 1 h, 24 h, 48 h, and 72 h post-downhill run.\nRESULTS: Isokinetic peak extension torque did not change in the 200-mg dose, while significant reductions occurred in the PLA and 50-mg groups through the first 24 h of recovery. Isokinetic peak flexion torque and power both decreased in the 50-mg group, while no change was observed in the PLA or 200-mg groups. All the groups experienced no changes in isokinetic extension power and isometric average peak torque. Soreness was significantly increased in all the groups compared to the baseline. Non-significant improvements in total soreness were observed for the 200-mg group, but these changes failed to reach statistical significance.\nCONCLUSION: When compared to changes observed against PLA, a 200-mg dose of curcumin attenuated reductions in some but not all observed changes in performance and soreness after completion of a downhill running bout. Additionally, a 50-mg dose appears to offer no advantage to changes observed in the PLA and 200-mg groups.","container-title":"Nutrients","DOI":"10.3390/nu11071692","ISSN":"2072-6643","issue":"7","journalAbbreviation":"Nutrients","language":"eng","note":"PMID: 31340534\nPMCID: PMC6683062","page":"1692","source":"PubMed","title":"Eight Weeks of a High Dose of Curcumin Supplementation May Attenuate Performance Decrements Following Muscle-Damaging Exercise","volume":"11","author":[{"family":"Jäger","given":"Ralf"},{"family":"Purpura","given":"Martin"},{"family":"Kerksick","given":"Chad M."}],"issued":{"date-parts":[["2019",7,23]]}}}],"schema":"https://github.com/citation-style-language/schema/raw/master/csl-citation.json"} </w:instrText>
      </w:r>
      <w:r w:rsidR="007E2F4D"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(Jäger et al., 2019)</w:t>
      </w:r>
      <w:r w:rsidR="007E2F4D" w:rsidRPr="00B1213E">
        <w:rPr>
          <w:rFonts w:ascii="Times New Roman" w:hAnsi="Times New Roman" w:cs="Times New Roman"/>
          <w:sz w:val="24"/>
          <w:szCs w:val="24"/>
        </w:rPr>
        <w:fldChar w:fldCharType="end"/>
      </w:r>
      <w:r w:rsidR="007E2F4D" w:rsidRPr="00B1213E">
        <w:rPr>
          <w:rFonts w:ascii="Times New Roman" w:hAnsi="Times New Roman" w:cs="Times New Roman"/>
          <w:sz w:val="24"/>
          <w:szCs w:val="24"/>
        </w:rPr>
        <w:t>.</w:t>
      </w:r>
      <w:r w:rsidR="00E64CFA" w:rsidRPr="00B1213E">
        <w:rPr>
          <w:rFonts w:ascii="Times New Roman" w:hAnsi="Times New Roman" w:cs="Times New Roman"/>
          <w:sz w:val="24"/>
          <w:szCs w:val="24"/>
        </w:rPr>
        <w:t xml:space="preserve"> In another randomized controlled trial investigating antioxidant supplementation with N-acetylcysteine </w:t>
      </w:r>
      <w:r w:rsidR="00E64CFA" w:rsidRPr="00B1213E">
        <w:rPr>
          <w:rFonts w:ascii="Times New Roman" w:hAnsi="Times New Roman" w:cs="Times New Roman"/>
          <w:sz w:val="24"/>
          <w:szCs w:val="24"/>
        </w:rPr>
        <w:fldChar w:fldCharType="begin"/>
      </w:r>
      <w:r w:rsidR="00E64CFA" w:rsidRPr="00B1213E">
        <w:rPr>
          <w:rFonts w:ascii="Times New Roman" w:hAnsi="Times New Roman" w:cs="Times New Roman"/>
          <w:sz w:val="24"/>
          <w:szCs w:val="24"/>
        </w:rPr>
        <w:instrText xml:space="preserve"> ADDIN ZOTERO_ITEM CSL_CITATION {"citationID":"EUBILNI8","properties":{"formattedCitation":"(Michailidis et al., 2013)","plainCitation":"(Michailidis et al., 2013)","noteIndex":0},"citationItems":[{"id":1045,"uris":["http://zotero.org/users/local/7vKBzLRM/items/CRCYFKAJ"],"itemData":{"id":1045,"type":"article-journal","abstract":"BACKGROUND: The major thiol-disulfide couple of reduced glutathione (GSH) and oxidized glutathione is a key regulator of major transcriptional pathways regulating aseptic inflammation and recovery of skeletal muscle after aseptic injury. Antioxidant supplementation may hamper exercise-induced cellular adaptations.\nOBJECTIVE: The objective was to examine how thiol-based antioxidant supplementation affects skeletal muscle's performance and redox-sensitive signaling during the inflammatory and repair phases associated with exercise-induced microtrauma.\nDESIGN: In a double-blind, crossover design, 10 men received placebo or N-acetylcysteine (NAC; 20 mg · kg(-1) · d(-1)) after muscle-damaging exercise (300 eccentric contractions). In each trial, muscle performance was measured at baseline, after exercise, 2 h after exercise, and daily for 8 consecutive days. Muscle biopsy samples from vastus lateralis and blood samples were collected before exercise and 2 h, 2 d, and 8 d after exercise.\nRESULTS: NAC attenuated the elevation of inflammatory markers of muscle damage (creatine kinase activity, C-reactive protein, proinflammatory cytokines), nuclear factor κB phosphorylation, and the decrease in strength during the first 2 d of recovery. NAC also blunted the increase in phosphorylation of protein kinase B, mammalian target of rapamycin, p70 ribosomal S6 kinase, ribosomal protein S6, and mitogen activated protein kinase p38 at 2 and 8 d after exercise. NAC also abolished the increase in myogenic determination factor and reduced tumor necrosis factor-α 8 d after exercise. Performance was completely recovered only in the placebo group.\nCONCLUSION: Although thiol-based antioxidant supplementation enhances GSH availability in skeletal muscle, it disrupts the skeletal muscle inflammatory response and repair capability, potentially because of a blunted activation of redox-sensitive signaling pathways. This trial was registered at clinicaltrials.gov as NCT01778309.","container-title":"The American Journal of Clinical Nutrition","DOI":"10.3945/ajcn.112.049163","ISSN":"1938-3207","issue":"1","journalAbbreviation":"Am J Clin Nutr","language":"eng","note":"PMID: 23719546","page":"233-245","source":"PubMed","title":"Thiol-based antioxidant supplementation alters human skeletal muscle signaling and attenuates its inflammatory response and recovery after intense eccentric exercise","volume":"98","author":[{"family":"Michailidis","given":"Yannis"},{"family":"Karagounis","given":"Leonidas G."},{"family":"Terzis","given":"Gerasimos"},{"family":"Jamurtas","given":"Athanasios Z."},{"family":"Spengos","given":"Kontantinos"},{"family":"Tsoukas","given":"Dimitrios"},{"family":"Chatzinikolaou","given":"Athanasios"},{"family":"Mandalidis","given":"Dimitrios"},{"family":"Stefanetti","given":"Renae J."},{"family":"Papassotiriou","given":"Ioannis"},{"family":"Athanasopoulos","given":"Spyros"},{"family":"Hawley","given":"John A."},{"family":"Russell","given":"Aaron P."},{"family":"Fatouros","given":"Ioannis G."}],"issued":{"date-parts":[["2013",7]]}}}],"schema":"https://github.com/citation-style-language/schema/raw/master/csl-citation.json"} </w:instrText>
      </w:r>
      <w:r w:rsidR="00E64CFA" w:rsidRPr="00B1213E">
        <w:rPr>
          <w:rFonts w:ascii="Times New Roman" w:hAnsi="Times New Roman" w:cs="Times New Roman"/>
          <w:sz w:val="24"/>
          <w:szCs w:val="24"/>
        </w:rPr>
        <w:fldChar w:fldCharType="separate"/>
      </w:r>
      <w:r w:rsidR="00E64CFA" w:rsidRPr="00B1213E">
        <w:rPr>
          <w:rFonts w:ascii="Times New Roman" w:hAnsi="Times New Roman" w:cs="Times New Roman"/>
          <w:sz w:val="24"/>
        </w:rPr>
        <w:t>(Michailidis et al., 2013)</w:t>
      </w:r>
      <w:r w:rsidR="00E64CFA" w:rsidRPr="00B1213E">
        <w:rPr>
          <w:rFonts w:ascii="Times New Roman" w:hAnsi="Times New Roman" w:cs="Times New Roman"/>
          <w:sz w:val="24"/>
          <w:szCs w:val="24"/>
        </w:rPr>
        <w:fldChar w:fldCharType="end"/>
      </w:r>
      <w:r w:rsidR="00E64CFA" w:rsidRPr="00B1213E">
        <w:rPr>
          <w:rFonts w:ascii="Times New Roman" w:hAnsi="Times New Roman" w:cs="Times New Roman"/>
          <w:sz w:val="24"/>
          <w:szCs w:val="24"/>
        </w:rPr>
        <w:t xml:space="preserve">, similar results to the present study were reported, with improvements in markers of inflammation, muscle damage, and oxidative stress with antioxidant supplementation; however, these benefits were accompanied by a blunting of the muscle repair process following eccentric exercise. </w:t>
      </w:r>
      <w:r w:rsidR="007D6F7C" w:rsidRPr="00B1213E">
        <w:rPr>
          <w:rFonts w:ascii="Times New Roman" w:hAnsi="Times New Roman" w:cs="Times New Roman"/>
          <w:sz w:val="24"/>
          <w:szCs w:val="24"/>
        </w:rPr>
        <w:t>Given the LOW dose of curcumin did not impair muscle recovery</w:t>
      </w:r>
      <w:r w:rsidR="00E64CFA" w:rsidRPr="00B1213E">
        <w:rPr>
          <w:rFonts w:ascii="Times New Roman" w:hAnsi="Times New Roman" w:cs="Times New Roman"/>
          <w:sz w:val="24"/>
          <w:szCs w:val="24"/>
        </w:rPr>
        <w:t xml:space="preserve"> in the present study</w:t>
      </w:r>
      <w:r w:rsidR="007D6F7C" w:rsidRPr="00B1213E">
        <w:rPr>
          <w:rFonts w:ascii="Times New Roman" w:hAnsi="Times New Roman" w:cs="Times New Roman"/>
          <w:sz w:val="24"/>
          <w:szCs w:val="24"/>
        </w:rPr>
        <w:t xml:space="preserve">, it is possible that an “inverted U” dose relationship exists whereby high doses above a certain threshold may </w:t>
      </w:r>
      <w:proofErr w:type="gramStart"/>
      <w:r w:rsidR="007D6F7C" w:rsidRPr="00B1213E">
        <w:rPr>
          <w:rFonts w:ascii="Times New Roman" w:hAnsi="Times New Roman" w:cs="Times New Roman"/>
          <w:sz w:val="24"/>
          <w:szCs w:val="24"/>
        </w:rPr>
        <w:t>actually impair</w:t>
      </w:r>
      <w:proofErr w:type="gramEnd"/>
      <w:r w:rsidR="007D6F7C" w:rsidRPr="00B1213E">
        <w:rPr>
          <w:rFonts w:ascii="Times New Roman" w:hAnsi="Times New Roman" w:cs="Times New Roman"/>
          <w:sz w:val="24"/>
          <w:szCs w:val="24"/>
        </w:rPr>
        <w:t xml:space="preserve"> recovery compared to placebo. </w:t>
      </w:r>
      <w:r w:rsidRPr="00B1213E">
        <w:rPr>
          <w:rFonts w:ascii="Times New Roman" w:hAnsi="Times New Roman" w:cs="Times New Roman"/>
          <w:sz w:val="24"/>
          <w:szCs w:val="24"/>
        </w:rPr>
        <w:t>This result warrants further investigation to determine whether it represents a singular occurrence or a consistent pattern.</w:t>
      </w:r>
    </w:p>
    <w:p w14:paraId="6B5355B1" w14:textId="77777777" w:rsidR="000025BA" w:rsidRPr="00B1213E" w:rsidRDefault="000025BA" w:rsidP="000025BA">
      <w:pPr>
        <w:tabs>
          <w:tab w:val="left" w:pos="1450"/>
        </w:tabs>
        <w:spacing w:after="0" w:line="360" w:lineRule="auto"/>
        <w:ind w:firstLine="709"/>
        <w:jc w:val="both"/>
        <w:rPr>
          <w:rFonts w:ascii="Times New Roman" w:hAnsi="Times New Roman" w:cs="Times New Roman"/>
          <w:sz w:val="24"/>
          <w:szCs w:val="24"/>
        </w:rPr>
      </w:pPr>
    </w:p>
    <w:p w14:paraId="6EF39D9F" w14:textId="32D70C78" w:rsidR="00A41136" w:rsidRPr="00B1213E" w:rsidRDefault="3D9FB09B" w:rsidP="00A41136">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There are limitations in the current study. The severity of the EIMD may have created conditions too extreme for the dosage of curcumin/polyphenols to show any discernible effect across some of the inflammatory/anti-inflammatory markers. Secondly the present study did not control the diet of the participants or </w:t>
      </w:r>
      <w:r w:rsidR="00C679A7" w:rsidRPr="00B1213E">
        <w:rPr>
          <w:rFonts w:ascii="Times New Roman" w:hAnsi="Times New Roman" w:cs="Times New Roman"/>
          <w:sz w:val="24"/>
          <w:szCs w:val="24"/>
        </w:rPr>
        <w:t xml:space="preserve">implement </w:t>
      </w:r>
      <w:r w:rsidRPr="00B1213E">
        <w:rPr>
          <w:rFonts w:ascii="Times New Roman" w:hAnsi="Times New Roman" w:cs="Times New Roman"/>
          <w:sz w:val="24"/>
          <w:szCs w:val="24"/>
        </w:rPr>
        <w:t xml:space="preserve">a food diary. This was decided to reduce the burden on the participants who agreed to participate. Prior research has shown that an elevated dietary consumption of fruits and vegetables correlates with diminished </w:t>
      </w:r>
      <w:r w:rsidRPr="00B1213E">
        <w:rPr>
          <w:rFonts w:ascii="Times New Roman" w:hAnsi="Times New Roman" w:cs="Times New Roman"/>
          <w:sz w:val="24"/>
          <w:szCs w:val="24"/>
        </w:rPr>
        <w:lastRenderedPageBreak/>
        <w:t xml:space="preserve">concentrations of systemic inflammatory markers and augments levels of anti-inflammatory cytokines </w:t>
      </w:r>
      <w:r w:rsidR="007749E1" w:rsidRPr="00B1213E">
        <w:rPr>
          <w:rFonts w:ascii="Times New Roman" w:hAnsi="Times New Roman" w:cs="Times New Roman"/>
          <w:sz w:val="24"/>
          <w:szCs w:val="24"/>
        </w:rPr>
        <w:fldChar w:fldCharType="begin"/>
      </w:r>
      <w:r w:rsidR="00502DF6" w:rsidRPr="00B1213E">
        <w:rPr>
          <w:rFonts w:ascii="Times New Roman" w:hAnsi="Times New Roman" w:cs="Times New Roman"/>
          <w:sz w:val="24"/>
          <w:szCs w:val="24"/>
        </w:rPr>
        <w:instrText xml:space="preserve"> ADDIN ZOTERO_ITEM CSL_CITATION {"citationID":"wQ2yJOyY","properties":{"formattedCitation":"(Dryer-Beers et al., 2024)","plainCitation":"(Dryer-Beers et al., 2024)","noteIndex":0},"citationItems":[{"id":28,"uris":["http://zotero.org/users/local/7vKBzLRM/items/MYDRLVK9"],"itemData":{"id":28,"type":"article-journal","abstract":"BACKGROUND: Evidence suggests a link between polyphenol intake and reduced incidence of several chronic diseases. This could arise through associations between polyphenol intake and reduced systemic oxidative stress and subsequent inflammation. However, confirming this association is difficult, as few large cohorts allow for comprehensive assessments of both polyphenol intake and markers of systemic inflammation.\nOBJECTIVES: To address this, polyphenol intake was assessed in the UK-based Airwave cohort using 7-d diet diaries and data from Phenol-Explorer to test for associations between polyphenol intake and blood biomarkers of inflammation.\nMETHODS: Participants included 9008 males and females aged 17-74 y (median age: 42 y) whose data was included in a cross-sectional analysis. Phenol-Explorer was used to estimate individuals' polyphenol intake from diet data describing the consumption of 4104 unique food items. C-reactive protein (CRP) and fibrinogen were used as blood biomarkers of inflammation.\nRESULTS: There were 448 polyphenols found in reported diet items. Median total polyphenol intake was 1536 mg/d (1058-2092 mg/d). Phenolic acids and flavonoids were the main types of polyphenols, and nonalcoholic beverages, vegetables, and fruit were the primary sources. Variation in energy-adjusted polyphenol intake was explained by age, sex, salary, body mass index, education level, smoking, and alcohol consumption. Linear regressions showed inverse associations between total daily intake and both CRP (β: -0.00702; P &lt; 0.001) and fibrinogen (β: -0.00221; P = 0.038). Associations with specific polyphenol compound groups were also found. Logistic regressions using total polyphenol intake quartiles showed stepwise reductions in the odds of elevated CRP with higher intake (6%, 23%, and 24% compared with quartile 1; P = 0.003), alongside 3% and 7% lower odds per unit of polyphenol consumption equivalent to 1 cup of tea or coffee per day.\nCONCLUSIONS: This study describes polyphenol intake in a large, contemporary UK cohort. We observed associations between higher intake and lower CRP and fibrinogen. This contributes to evidence supporting the health benefits of dietary polyphenols.","container-title":"The Journal of Nutrition","DOI":"10.1016/j.tjnut.2024.05.005","ISSN":"1541-6100","issue":"8","journalAbbreviation":"J Nutr","language":"eng","note":"PMID: 38740187\nPMCID: PMC11375465","page":"2470-2480","source":"PubMed","title":"Higher Dietary Polyphenol Intake Is Associated With Lower Blood Inflammatory Markers","volume":"154","author":[{"family":"Dryer-Beers","given":"Elliot R."},{"family":"Griffin","given":"Jennifer"},{"family":"Matthews","given":"Paul M."},{"family":"Frost","given":"Gary S."}],"issued":{"date-parts":[["2024",8]]}}}],"schema":"https://github.com/citation-style-language/schema/raw/master/csl-citation.json"} </w:instrText>
      </w:r>
      <w:r w:rsidR="007749E1" w:rsidRPr="00B1213E">
        <w:rPr>
          <w:rFonts w:ascii="Times New Roman" w:hAnsi="Times New Roman" w:cs="Times New Roman"/>
          <w:sz w:val="24"/>
          <w:szCs w:val="24"/>
        </w:rPr>
        <w:fldChar w:fldCharType="separate"/>
      </w:r>
      <w:r w:rsidR="00502DF6" w:rsidRPr="00B1213E">
        <w:rPr>
          <w:rFonts w:ascii="Times New Roman" w:hAnsi="Times New Roman" w:cs="Times New Roman"/>
          <w:sz w:val="24"/>
        </w:rPr>
        <w:t>(Dryer-Beers et al., 2024)</w:t>
      </w:r>
      <w:r w:rsidR="007749E1" w:rsidRPr="00B1213E">
        <w:rPr>
          <w:rFonts w:ascii="Times New Roman" w:hAnsi="Times New Roman" w:cs="Times New Roman"/>
          <w:sz w:val="24"/>
          <w:szCs w:val="24"/>
        </w:rPr>
        <w:fldChar w:fldCharType="end"/>
      </w:r>
      <w:r w:rsidRPr="00B1213E">
        <w:rPr>
          <w:rFonts w:ascii="Times New Roman" w:hAnsi="Times New Roman" w:cs="Times New Roman"/>
          <w:sz w:val="24"/>
          <w:szCs w:val="24"/>
        </w:rPr>
        <w:t xml:space="preserve">. </w:t>
      </w:r>
      <w:r w:rsidR="00002883" w:rsidRPr="00B1213E">
        <w:rPr>
          <w:rFonts w:ascii="Times New Roman" w:hAnsi="Times New Roman" w:cs="Times New Roman"/>
          <w:sz w:val="24"/>
          <w:szCs w:val="24"/>
        </w:rPr>
        <w:t xml:space="preserve">Consequently, including participants with varying levels of fruit and vegetable intake may have introduced </w:t>
      </w:r>
      <w:r w:rsidR="00A41136" w:rsidRPr="00B1213E">
        <w:rPr>
          <w:rFonts w:ascii="Times New Roman" w:hAnsi="Times New Roman" w:cs="Times New Roman"/>
          <w:sz w:val="24"/>
          <w:szCs w:val="24"/>
        </w:rPr>
        <w:t>confounding factors affecting inflammatory and anti-inflammatory markers. However, this also provided real-world insight, as hydrolysed curcumin demonstrated recovery effects within a typical population, thus enhancing the study’s ecological validity.</w:t>
      </w:r>
    </w:p>
    <w:p w14:paraId="5212B9A1" w14:textId="12F2C477" w:rsidR="00002883" w:rsidRPr="00B1213E" w:rsidRDefault="00002883" w:rsidP="005E5594">
      <w:pPr>
        <w:tabs>
          <w:tab w:val="left" w:pos="1450"/>
        </w:tabs>
        <w:spacing w:after="0" w:line="360" w:lineRule="auto"/>
        <w:ind w:firstLine="709"/>
        <w:jc w:val="both"/>
        <w:rPr>
          <w:rFonts w:ascii="Times New Roman" w:hAnsi="Times New Roman" w:cs="Times New Roman"/>
          <w:sz w:val="24"/>
          <w:szCs w:val="24"/>
        </w:rPr>
      </w:pPr>
    </w:p>
    <w:p w14:paraId="7BE9F3B1" w14:textId="6E1F6854" w:rsidR="00931CE0" w:rsidRPr="00B1213E" w:rsidRDefault="3D9FB09B" w:rsidP="005E5594">
      <w:pPr>
        <w:tabs>
          <w:tab w:val="left" w:pos="1450"/>
        </w:tabs>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 In conclusion, both curcumin groups (750</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mg/day and 1500</w:t>
      </w:r>
      <w:r w:rsidR="00E0586F" w:rsidRPr="00B1213E">
        <w:rPr>
          <w:rFonts w:ascii="Times New Roman" w:hAnsi="Times New Roman" w:cs="Times New Roman"/>
          <w:sz w:val="24"/>
          <w:szCs w:val="24"/>
        </w:rPr>
        <w:t xml:space="preserve"> </w:t>
      </w:r>
      <w:r w:rsidRPr="00B1213E">
        <w:rPr>
          <w:rFonts w:ascii="Times New Roman" w:hAnsi="Times New Roman" w:cs="Times New Roman"/>
          <w:sz w:val="24"/>
          <w:szCs w:val="24"/>
        </w:rPr>
        <w:t xml:space="preserve">mg/day) improved recovery post EIMD through reduced perceived pain, oxidative stress and muscle damage makers demonstrating that hydrolysed curcumin may be effective in modifying recovery. Moreover, a higher dose of 1500 mg/day showed greater effects in reducing VAS, CK and FORT compared to a lower dose. </w:t>
      </w:r>
      <w:r w:rsidR="005220C7" w:rsidRPr="00B1213E">
        <w:rPr>
          <w:rFonts w:ascii="Times New Roman" w:hAnsi="Times New Roman" w:cs="Times New Roman"/>
          <w:sz w:val="24"/>
          <w:szCs w:val="24"/>
        </w:rPr>
        <w:t xml:space="preserve">Nevertheless, although these effects were substantial, they did not confer performance benefits in the HIGH group and, in fact, impaired recovery as measured by the muscle endurance test. </w:t>
      </w:r>
      <w:r w:rsidRPr="00B1213E">
        <w:rPr>
          <w:rFonts w:ascii="Times New Roman" w:hAnsi="Times New Roman" w:cs="Times New Roman"/>
          <w:sz w:val="24"/>
          <w:szCs w:val="24"/>
        </w:rPr>
        <w:t xml:space="preserve">These results support previous evidence that the bioavailability of curcumin is low, and a high dose is needed to elicit </w:t>
      </w:r>
      <w:r w:rsidR="00C679A7" w:rsidRPr="00B1213E">
        <w:rPr>
          <w:rFonts w:ascii="Times New Roman" w:hAnsi="Times New Roman" w:cs="Times New Roman"/>
          <w:sz w:val="24"/>
          <w:szCs w:val="24"/>
        </w:rPr>
        <w:t>effects</w:t>
      </w:r>
      <w:r w:rsidRPr="00B1213E">
        <w:rPr>
          <w:rFonts w:ascii="Times New Roman" w:hAnsi="Times New Roman" w:cs="Times New Roman"/>
          <w:sz w:val="24"/>
          <w:szCs w:val="24"/>
        </w:rPr>
        <w:t xml:space="preserve">. </w:t>
      </w:r>
    </w:p>
    <w:p w14:paraId="17F9EF9E" w14:textId="77777777" w:rsidR="00D2160C" w:rsidRPr="00B1213E" w:rsidRDefault="00D2160C" w:rsidP="005E5594">
      <w:pPr>
        <w:spacing w:after="0" w:line="360" w:lineRule="auto"/>
        <w:ind w:firstLine="709"/>
        <w:jc w:val="both"/>
        <w:rPr>
          <w:rFonts w:ascii="Times New Roman" w:hAnsi="Times New Roman" w:cs="Times New Roman"/>
          <w:sz w:val="24"/>
          <w:szCs w:val="24"/>
        </w:rPr>
      </w:pPr>
    </w:p>
    <w:p w14:paraId="72B02A87" w14:textId="21C2F3B0" w:rsidR="0050226C" w:rsidRPr="00B1213E" w:rsidRDefault="0050226C" w:rsidP="00027419">
      <w:pPr>
        <w:spacing w:after="0" w:line="360" w:lineRule="auto"/>
        <w:jc w:val="both"/>
        <w:rPr>
          <w:rFonts w:ascii="Times New Roman" w:hAnsi="Times New Roman" w:cs="Times New Roman"/>
          <w:sz w:val="24"/>
          <w:szCs w:val="24"/>
        </w:rPr>
      </w:pPr>
      <w:r w:rsidRPr="00B1213E">
        <w:rPr>
          <w:rFonts w:ascii="Times New Roman" w:hAnsi="Times New Roman" w:cs="Times New Roman"/>
          <w:b/>
          <w:bCs/>
          <w:sz w:val="24"/>
          <w:szCs w:val="24"/>
        </w:rPr>
        <w:t>A</w:t>
      </w:r>
      <w:r w:rsidR="00C80734" w:rsidRPr="00B1213E">
        <w:rPr>
          <w:rFonts w:ascii="Times New Roman" w:hAnsi="Times New Roman" w:cs="Times New Roman"/>
          <w:b/>
          <w:bCs/>
          <w:sz w:val="24"/>
          <w:szCs w:val="24"/>
        </w:rPr>
        <w:t>CKNOWLEDGMENTS</w:t>
      </w:r>
    </w:p>
    <w:p w14:paraId="03731077" w14:textId="2A01209B" w:rsidR="00DC0CAB" w:rsidRPr="00B1213E" w:rsidRDefault="0050226C" w:rsidP="00D7348C">
      <w:pPr>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The authors wish to </w:t>
      </w:r>
      <w:r w:rsidR="00ED7A7F" w:rsidRPr="00B1213E">
        <w:rPr>
          <w:rFonts w:ascii="Times New Roman" w:hAnsi="Times New Roman" w:cs="Times New Roman"/>
          <w:sz w:val="24"/>
          <w:szCs w:val="24"/>
        </w:rPr>
        <w:t>thank</w:t>
      </w:r>
      <w:r w:rsidRPr="00B1213E">
        <w:rPr>
          <w:rFonts w:ascii="Times New Roman" w:hAnsi="Times New Roman" w:cs="Times New Roman"/>
          <w:sz w:val="24"/>
          <w:szCs w:val="24"/>
        </w:rPr>
        <w:t xml:space="preserve"> all the participants for agreeing to participate in the research. </w:t>
      </w:r>
      <w:r w:rsidR="008D3174" w:rsidRPr="00B1213E">
        <w:rPr>
          <w:rFonts w:ascii="Times New Roman" w:hAnsi="Times New Roman" w:cs="Times New Roman"/>
          <w:sz w:val="24"/>
          <w:szCs w:val="24"/>
        </w:rPr>
        <w:t xml:space="preserve">Figure 1 in this manuscript was created using BioRender.com. We are grateful to </w:t>
      </w:r>
      <w:proofErr w:type="spellStart"/>
      <w:r w:rsidR="008D3174" w:rsidRPr="00B1213E">
        <w:rPr>
          <w:rFonts w:ascii="Times New Roman" w:hAnsi="Times New Roman" w:cs="Times New Roman"/>
          <w:sz w:val="24"/>
          <w:szCs w:val="24"/>
        </w:rPr>
        <w:t>BioRender</w:t>
      </w:r>
      <w:proofErr w:type="spellEnd"/>
      <w:r w:rsidR="008D3174" w:rsidRPr="00B1213E">
        <w:rPr>
          <w:rFonts w:ascii="Times New Roman" w:hAnsi="Times New Roman" w:cs="Times New Roman"/>
          <w:sz w:val="24"/>
          <w:szCs w:val="24"/>
        </w:rPr>
        <w:t xml:space="preserve"> for offering intuitive and </w:t>
      </w:r>
      <w:r w:rsidR="004B1EDA" w:rsidRPr="00B1213E">
        <w:rPr>
          <w:rFonts w:ascii="Times New Roman" w:hAnsi="Times New Roman" w:cs="Times New Roman"/>
          <w:sz w:val="24"/>
          <w:szCs w:val="24"/>
        </w:rPr>
        <w:t>high-quality</w:t>
      </w:r>
      <w:r w:rsidR="008D3174" w:rsidRPr="00B1213E">
        <w:rPr>
          <w:rFonts w:ascii="Times New Roman" w:hAnsi="Times New Roman" w:cs="Times New Roman"/>
          <w:sz w:val="24"/>
          <w:szCs w:val="24"/>
        </w:rPr>
        <w:t xml:space="preserve"> tools for scientific illustration</w:t>
      </w:r>
      <w:r w:rsidR="001C15A0" w:rsidRPr="00B1213E">
        <w:rPr>
          <w:rFonts w:ascii="Times New Roman" w:hAnsi="Times New Roman" w:cs="Times New Roman"/>
          <w:sz w:val="24"/>
          <w:szCs w:val="24"/>
        </w:rPr>
        <w:t xml:space="preserve"> (</w:t>
      </w:r>
      <w:hyperlink r:id="rId25" w:history="1">
        <w:r w:rsidR="001C15A0" w:rsidRPr="00B1213E">
          <w:rPr>
            <w:rStyle w:val="Hyperlink"/>
            <w:rFonts w:ascii="Times New Roman" w:hAnsi="Times New Roman" w:cs="Times New Roman"/>
            <w:color w:val="auto"/>
            <w:sz w:val="24"/>
            <w:szCs w:val="24"/>
          </w:rPr>
          <w:t>https://BioRender.com/a51s411</w:t>
        </w:r>
      </w:hyperlink>
      <w:r w:rsidR="001C15A0" w:rsidRPr="00B1213E">
        <w:rPr>
          <w:rFonts w:ascii="Times New Roman" w:hAnsi="Times New Roman" w:cs="Times New Roman"/>
          <w:sz w:val="24"/>
          <w:szCs w:val="24"/>
        </w:rPr>
        <w:t>).</w:t>
      </w:r>
    </w:p>
    <w:p w14:paraId="61F913CB" w14:textId="77777777" w:rsidR="0095778E" w:rsidRPr="00B1213E" w:rsidRDefault="0095778E" w:rsidP="00D7348C">
      <w:pPr>
        <w:spacing w:after="0" w:line="360" w:lineRule="auto"/>
        <w:ind w:firstLine="709"/>
        <w:jc w:val="both"/>
        <w:rPr>
          <w:rFonts w:ascii="Times New Roman" w:hAnsi="Times New Roman" w:cs="Times New Roman"/>
          <w:sz w:val="24"/>
          <w:szCs w:val="24"/>
        </w:rPr>
      </w:pPr>
    </w:p>
    <w:p w14:paraId="278E8A36" w14:textId="2ED02866" w:rsidR="001C15A0" w:rsidRPr="00B1213E" w:rsidRDefault="0095778E" w:rsidP="00DC0CAB">
      <w:pPr>
        <w:spacing w:after="0" w:line="360" w:lineRule="auto"/>
        <w:jc w:val="both"/>
        <w:rPr>
          <w:rFonts w:ascii="Times New Roman" w:hAnsi="Times New Roman" w:cs="Times New Roman"/>
          <w:sz w:val="24"/>
          <w:szCs w:val="24"/>
        </w:rPr>
      </w:pPr>
      <w:r w:rsidRPr="00B1213E">
        <w:rPr>
          <w:rFonts w:ascii="Times New Roman" w:hAnsi="Times New Roman" w:cs="Times New Roman"/>
          <w:b/>
          <w:bCs/>
          <w:sz w:val="24"/>
          <w:szCs w:val="24"/>
        </w:rPr>
        <w:tab/>
      </w:r>
      <w:r w:rsidRPr="00B1213E">
        <w:rPr>
          <w:rFonts w:ascii="Times New Roman" w:hAnsi="Times New Roman" w:cs="Times New Roman"/>
          <w:sz w:val="24"/>
          <w:szCs w:val="24"/>
        </w:rPr>
        <w:t>The authors would also like to thank</w:t>
      </w:r>
      <w:r w:rsidR="00F81397" w:rsidRPr="00B1213E">
        <w:rPr>
          <w:rFonts w:ascii="Times New Roman" w:hAnsi="Times New Roman" w:cs="Times New Roman"/>
          <w:sz w:val="24"/>
          <w:szCs w:val="24"/>
        </w:rPr>
        <w:t xml:space="preserve"> M</w:t>
      </w:r>
      <w:r w:rsidR="00932EA7" w:rsidRPr="00B1213E">
        <w:rPr>
          <w:rFonts w:ascii="Times New Roman" w:hAnsi="Times New Roman" w:cs="Times New Roman"/>
          <w:sz w:val="24"/>
          <w:szCs w:val="24"/>
        </w:rPr>
        <w:t>s</w:t>
      </w:r>
      <w:r w:rsidRPr="00B1213E">
        <w:rPr>
          <w:rFonts w:ascii="Times New Roman" w:hAnsi="Times New Roman" w:cs="Times New Roman"/>
          <w:sz w:val="24"/>
          <w:szCs w:val="24"/>
        </w:rPr>
        <w:t xml:space="preserve"> Phoebe Law and</w:t>
      </w:r>
      <w:r w:rsidR="00F81397" w:rsidRPr="00B1213E">
        <w:rPr>
          <w:rFonts w:ascii="Times New Roman" w:hAnsi="Times New Roman" w:cs="Times New Roman"/>
          <w:sz w:val="24"/>
          <w:szCs w:val="24"/>
        </w:rPr>
        <w:t xml:space="preserve"> Dr</w:t>
      </w:r>
      <w:r w:rsidRPr="00B1213E">
        <w:rPr>
          <w:rFonts w:ascii="Times New Roman" w:hAnsi="Times New Roman" w:cs="Times New Roman"/>
          <w:sz w:val="24"/>
          <w:szCs w:val="24"/>
        </w:rPr>
        <w:t xml:space="preserve"> Ryan Norbury for their </w:t>
      </w:r>
      <w:r w:rsidR="00241B1B" w:rsidRPr="00B1213E">
        <w:rPr>
          <w:rFonts w:ascii="Times New Roman" w:hAnsi="Times New Roman" w:cs="Times New Roman"/>
          <w:sz w:val="24"/>
          <w:szCs w:val="24"/>
        </w:rPr>
        <w:t>assistance.</w:t>
      </w:r>
      <w:r w:rsidRPr="00B1213E">
        <w:rPr>
          <w:rFonts w:ascii="Times New Roman" w:hAnsi="Times New Roman" w:cs="Times New Roman"/>
          <w:sz w:val="24"/>
          <w:szCs w:val="24"/>
        </w:rPr>
        <w:t xml:space="preserve"> </w:t>
      </w:r>
    </w:p>
    <w:p w14:paraId="796DFCE0" w14:textId="77777777" w:rsidR="0095778E" w:rsidRPr="00B1213E" w:rsidRDefault="0095778E" w:rsidP="00DC0CAB">
      <w:pPr>
        <w:spacing w:after="0" w:line="360" w:lineRule="auto"/>
        <w:jc w:val="both"/>
        <w:rPr>
          <w:rFonts w:ascii="Times New Roman" w:hAnsi="Times New Roman" w:cs="Times New Roman"/>
          <w:sz w:val="24"/>
          <w:szCs w:val="24"/>
        </w:rPr>
      </w:pPr>
    </w:p>
    <w:p w14:paraId="0B8D3F34" w14:textId="21D9473C" w:rsidR="00DC0CAB" w:rsidRPr="00B1213E" w:rsidRDefault="3D9FB09B" w:rsidP="00DC0CAB">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t>GRANTS</w:t>
      </w:r>
    </w:p>
    <w:p w14:paraId="3AB2ED61" w14:textId="449BA8D4" w:rsidR="3D9FB09B" w:rsidRPr="00B1213E" w:rsidRDefault="3D9FB09B" w:rsidP="3D9FB09B">
      <w:pPr>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t xml:space="preserve">This research project was funded by a grant provided by </w:t>
      </w:r>
      <w:proofErr w:type="spellStart"/>
      <w:r w:rsidRPr="00B1213E">
        <w:rPr>
          <w:rFonts w:ascii="Times New Roman" w:hAnsi="Times New Roman" w:cs="Times New Roman"/>
          <w:sz w:val="24"/>
          <w:szCs w:val="24"/>
        </w:rPr>
        <w:t>Zooki</w:t>
      </w:r>
      <w:proofErr w:type="spellEnd"/>
      <w:r w:rsidRPr="00B1213E">
        <w:rPr>
          <w:rFonts w:ascii="Times New Roman" w:hAnsi="Times New Roman" w:cs="Times New Roman"/>
          <w:sz w:val="24"/>
          <w:szCs w:val="24"/>
        </w:rPr>
        <w:t xml:space="preserve">, who </w:t>
      </w:r>
      <w:proofErr w:type="gramStart"/>
      <w:r w:rsidRPr="00B1213E">
        <w:rPr>
          <w:rFonts w:ascii="Times New Roman" w:hAnsi="Times New Roman" w:cs="Times New Roman"/>
          <w:sz w:val="24"/>
          <w:szCs w:val="24"/>
        </w:rPr>
        <w:t>had no involvement</w:t>
      </w:r>
      <w:proofErr w:type="gramEnd"/>
      <w:r w:rsidRPr="00B1213E">
        <w:rPr>
          <w:rFonts w:ascii="Times New Roman" w:hAnsi="Times New Roman" w:cs="Times New Roman"/>
          <w:sz w:val="24"/>
          <w:szCs w:val="24"/>
        </w:rPr>
        <w:t xml:space="preserve"> in the study design or preparation of this manuscript.</w:t>
      </w:r>
    </w:p>
    <w:p w14:paraId="3550B6B9" w14:textId="77777777" w:rsidR="00C80734" w:rsidRPr="00B1213E" w:rsidRDefault="00C80734" w:rsidP="00DC0CAB">
      <w:pPr>
        <w:spacing w:after="0" w:line="360" w:lineRule="auto"/>
        <w:ind w:firstLine="709"/>
        <w:jc w:val="both"/>
        <w:rPr>
          <w:rFonts w:ascii="Times New Roman" w:hAnsi="Times New Roman" w:cs="Times New Roman"/>
          <w:sz w:val="24"/>
          <w:szCs w:val="24"/>
        </w:rPr>
      </w:pPr>
    </w:p>
    <w:p w14:paraId="141E7697" w14:textId="77777777" w:rsidR="00C80734" w:rsidRPr="00B1213E" w:rsidRDefault="00C80734" w:rsidP="00C80734">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t>DISCLOSURES</w:t>
      </w:r>
    </w:p>
    <w:p w14:paraId="6FB84596" w14:textId="77777777" w:rsidR="00C80734" w:rsidRPr="00B1213E" w:rsidRDefault="00C80734" w:rsidP="00C80734">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The authors state that there are no conflicts of interest regarding the publication of this research. </w:t>
      </w:r>
    </w:p>
    <w:p w14:paraId="64FC8751" w14:textId="77777777" w:rsidR="001C3BCD" w:rsidRPr="00B1213E" w:rsidRDefault="001C3BCD" w:rsidP="001C3BCD">
      <w:pPr>
        <w:spacing w:after="0" w:line="360" w:lineRule="auto"/>
        <w:jc w:val="both"/>
        <w:rPr>
          <w:rFonts w:ascii="Times New Roman" w:hAnsi="Times New Roman" w:cs="Times New Roman"/>
          <w:sz w:val="24"/>
          <w:szCs w:val="24"/>
        </w:rPr>
      </w:pPr>
    </w:p>
    <w:p w14:paraId="1DF89FF2" w14:textId="77777777" w:rsidR="00B96B74" w:rsidRPr="00B1213E" w:rsidRDefault="00B96B74" w:rsidP="001C3BCD">
      <w:pPr>
        <w:spacing w:after="0" w:line="360" w:lineRule="auto"/>
        <w:jc w:val="both"/>
        <w:rPr>
          <w:rFonts w:ascii="Times New Roman" w:hAnsi="Times New Roman" w:cs="Times New Roman"/>
          <w:sz w:val="24"/>
          <w:szCs w:val="24"/>
        </w:rPr>
      </w:pPr>
    </w:p>
    <w:p w14:paraId="39FB1B22" w14:textId="11792C42" w:rsidR="001C3BCD" w:rsidRPr="00B1213E" w:rsidRDefault="001C3BCD" w:rsidP="001C3BCD">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DATA AVAILABILITY STATEMENT</w:t>
      </w:r>
    </w:p>
    <w:p w14:paraId="132EEE6F" w14:textId="2E40E5B2" w:rsidR="001C3BCD" w:rsidRPr="00B1213E" w:rsidRDefault="001C3BCD" w:rsidP="001C3BCD">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The data that support the findings of this study are available from the corresponding author T.A. Helder., upon reasonable request. </w:t>
      </w:r>
    </w:p>
    <w:p w14:paraId="56E7F169" w14:textId="77777777" w:rsidR="005670B3" w:rsidRPr="00B1213E" w:rsidRDefault="005670B3" w:rsidP="005670B3">
      <w:pPr>
        <w:spacing w:after="0" w:line="360" w:lineRule="auto"/>
        <w:jc w:val="both"/>
        <w:rPr>
          <w:rFonts w:ascii="Times New Roman" w:hAnsi="Times New Roman" w:cs="Times New Roman"/>
          <w:sz w:val="24"/>
          <w:szCs w:val="24"/>
        </w:rPr>
      </w:pPr>
    </w:p>
    <w:p w14:paraId="51395778" w14:textId="49F97F67" w:rsidR="005670B3" w:rsidRPr="00B1213E" w:rsidRDefault="00C80734" w:rsidP="005670B3">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t>AUTHOR CONTRIBUTIONS</w:t>
      </w:r>
    </w:p>
    <w:p w14:paraId="5912182A" w14:textId="74F74510" w:rsidR="005670B3" w:rsidRPr="00B1213E" w:rsidRDefault="3D9FB09B" w:rsidP="00FD3072">
      <w:pPr>
        <w:spacing w:after="0" w:line="360" w:lineRule="auto"/>
        <w:ind w:firstLine="720"/>
        <w:jc w:val="both"/>
        <w:rPr>
          <w:rFonts w:ascii="Times New Roman" w:hAnsi="Times New Roman" w:cs="Times New Roman"/>
          <w:sz w:val="24"/>
          <w:szCs w:val="24"/>
        </w:rPr>
      </w:pPr>
      <w:r w:rsidRPr="00B1213E">
        <w:rPr>
          <w:rFonts w:ascii="Times New Roman" w:hAnsi="Times New Roman" w:cs="Times New Roman"/>
          <w:sz w:val="24"/>
          <w:szCs w:val="24"/>
        </w:rPr>
        <w:t xml:space="preserve">T.A.H., S.C., I.G., N.A.L., J.H., C.R.P., and L.H. conceived and designed research; T.A.H. and S.C performed experiments; T.A.H and L.H analysed data; T.A.H. and L.H. interpreted results of experiments; T.A.H prepared figures; T.A.H drafted manuscript; T.A.H., S.C., N.A.L., J.H., I.G., C.R.P., and L.H edited and revised manuscript; T.A.H., S.C., N.A.L., J.H., I.G., C.R.P., and L.H. approved final version of manuscript. </w:t>
      </w:r>
    </w:p>
    <w:p w14:paraId="58F09192" w14:textId="3FD0A0C3" w:rsidR="00C320CC" w:rsidRPr="00B1213E" w:rsidRDefault="00C320CC">
      <w:pPr>
        <w:rPr>
          <w:rFonts w:ascii="Times New Roman" w:hAnsi="Times New Roman" w:cs="Times New Roman"/>
          <w:sz w:val="24"/>
          <w:szCs w:val="24"/>
        </w:rPr>
      </w:pPr>
      <w:r w:rsidRPr="00B1213E">
        <w:rPr>
          <w:rFonts w:ascii="Times New Roman" w:hAnsi="Times New Roman" w:cs="Times New Roman"/>
          <w:sz w:val="24"/>
          <w:szCs w:val="24"/>
        </w:rPr>
        <w:br w:type="page"/>
      </w:r>
    </w:p>
    <w:p w14:paraId="41B43B42" w14:textId="695402D8" w:rsidR="00C320CC" w:rsidRPr="00B1213E" w:rsidRDefault="00C320CC" w:rsidP="007A385D">
      <w:pPr>
        <w:spacing w:after="0" w:line="360" w:lineRule="auto"/>
        <w:jc w:val="both"/>
        <w:rPr>
          <w:rFonts w:ascii="Times New Roman" w:hAnsi="Times New Roman" w:cs="Times New Roman"/>
          <w:b/>
          <w:bCs/>
          <w:sz w:val="24"/>
          <w:szCs w:val="24"/>
        </w:rPr>
      </w:pPr>
      <w:r w:rsidRPr="00B1213E">
        <w:rPr>
          <w:rFonts w:ascii="Times New Roman" w:hAnsi="Times New Roman" w:cs="Times New Roman"/>
          <w:b/>
          <w:bCs/>
          <w:sz w:val="24"/>
          <w:szCs w:val="24"/>
        </w:rPr>
        <w:lastRenderedPageBreak/>
        <w:t>R</w:t>
      </w:r>
      <w:r w:rsidR="00C80734" w:rsidRPr="00B1213E">
        <w:rPr>
          <w:rFonts w:ascii="Times New Roman" w:hAnsi="Times New Roman" w:cs="Times New Roman"/>
          <w:b/>
          <w:bCs/>
          <w:sz w:val="24"/>
          <w:szCs w:val="24"/>
        </w:rPr>
        <w:t>EFEREN</w:t>
      </w:r>
      <w:r w:rsidR="009F0DC8" w:rsidRPr="00B1213E">
        <w:rPr>
          <w:rFonts w:ascii="Times New Roman" w:hAnsi="Times New Roman" w:cs="Times New Roman"/>
          <w:b/>
          <w:bCs/>
          <w:sz w:val="24"/>
          <w:szCs w:val="24"/>
        </w:rPr>
        <w:t>CE</w:t>
      </w:r>
      <w:r w:rsidR="00C80734" w:rsidRPr="00B1213E">
        <w:rPr>
          <w:rFonts w:ascii="Times New Roman" w:hAnsi="Times New Roman" w:cs="Times New Roman"/>
          <w:b/>
          <w:bCs/>
          <w:sz w:val="24"/>
          <w:szCs w:val="24"/>
        </w:rPr>
        <w:t>S</w:t>
      </w:r>
    </w:p>
    <w:p w14:paraId="65516019" w14:textId="77777777" w:rsidR="00E64CFA" w:rsidRPr="00B1213E" w:rsidRDefault="0067298C" w:rsidP="00E64CFA">
      <w:pPr>
        <w:pStyle w:val="Bibliography"/>
        <w:rPr>
          <w:rFonts w:ascii="Times New Roman" w:hAnsi="Times New Roman" w:cs="Times New Roman"/>
        </w:rPr>
      </w:pPr>
      <w:r w:rsidRPr="00B1213E">
        <w:rPr>
          <w:rFonts w:ascii="Times New Roman" w:hAnsi="Times New Roman" w:cs="Times New Roman"/>
        </w:rPr>
        <w:fldChar w:fldCharType="begin"/>
      </w:r>
      <w:r w:rsidR="00502DF6" w:rsidRPr="00B1213E">
        <w:rPr>
          <w:rFonts w:ascii="Times New Roman" w:hAnsi="Times New Roman" w:cs="Times New Roman"/>
        </w:rPr>
        <w:instrText xml:space="preserve"> ADDIN ZOTERO_BIBL {"uncited":[],"omitted":[],"custom":[]} CSL_BIBLIOGRAPHY </w:instrText>
      </w:r>
      <w:r w:rsidRPr="00B1213E">
        <w:rPr>
          <w:rFonts w:ascii="Times New Roman" w:hAnsi="Times New Roman" w:cs="Times New Roman"/>
        </w:rPr>
        <w:fldChar w:fldCharType="separate"/>
      </w:r>
      <w:r w:rsidR="00E64CFA" w:rsidRPr="00B1213E">
        <w:rPr>
          <w:rFonts w:ascii="Times New Roman" w:hAnsi="Times New Roman" w:cs="Times New Roman"/>
        </w:rPr>
        <w:t xml:space="preserve">Ahmed, A. S., Berg, S., Alkass, K., Druid, H., Hart, D. A., Svensson, C. I., &amp; Kosek, E. (2019). NF-κB-Associated Pain-Related Neuropeptide Expression in Patients with Degenerative Disc Disease. </w:t>
      </w:r>
      <w:r w:rsidR="00E64CFA" w:rsidRPr="00B1213E">
        <w:rPr>
          <w:rFonts w:ascii="Times New Roman" w:hAnsi="Times New Roman" w:cs="Times New Roman"/>
          <w:i/>
          <w:iCs/>
        </w:rPr>
        <w:t>International Journal of Molecular Sciences</w:t>
      </w:r>
      <w:r w:rsidR="00E64CFA" w:rsidRPr="00B1213E">
        <w:rPr>
          <w:rFonts w:ascii="Times New Roman" w:hAnsi="Times New Roman" w:cs="Times New Roman"/>
        </w:rPr>
        <w:t xml:space="preserve">, </w:t>
      </w:r>
      <w:r w:rsidR="00E64CFA" w:rsidRPr="00B1213E">
        <w:rPr>
          <w:rFonts w:ascii="Times New Roman" w:hAnsi="Times New Roman" w:cs="Times New Roman"/>
          <w:i/>
          <w:iCs/>
        </w:rPr>
        <w:t>20</w:t>
      </w:r>
      <w:r w:rsidR="00E64CFA" w:rsidRPr="00B1213E">
        <w:rPr>
          <w:rFonts w:ascii="Times New Roman" w:hAnsi="Times New Roman" w:cs="Times New Roman"/>
        </w:rPr>
        <w:t>(3), 658. https://doi.org/10.3390/ijms20030658</w:t>
      </w:r>
    </w:p>
    <w:p w14:paraId="7DE09192"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Auriel, E., Regev, K., &amp; Korczyn, A. D. (2014). Nonsteroidal anti-inflammatory drugs exposure and the central nervous system. </w:t>
      </w:r>
      <w:r w:rsidRPr="00B1213E">
        <w:rPr>
          <w:rFonts w:ascii="Times New Roman" w:hAnsi="Times New Roman" w:cs="Times New Roman"/>
          <w:i/>
          <w:iCs/>
        </w:rPr>
        <w:t>Handbook of Clinical Neurology</w:t>
      </w:r>
      <w:r w:rsidRPr="00B1213E">
        <w:rPr>
          <w:rFonts w:ascii="Times New Roman" w:hAnsi="Times New Roman" w:cs="Times New Roman"/>
        </w:rPr>
        <w:t xml:space="preserve">, </w:t>
      </w:r>
      <w:r w:rsidRPr="00B1213E">
        <w:rPr>
          <w:rFonts w:ascii="Times New Roman" w:hAnsi="Times New Roman" w:cs="Times New Roman"/>
          <w:i/>
          <w:iCs/>
        </w:rPr>
        <w:t>119</w:t>
      </w:r>
      <w:r w:rsidRPr="00B1213E">
        <w:rPr>
          <w:rFonts w:ascii="Times New Roman" w:hAnsi="Times New Roman" w:cs="Times New Roman"/>
        </w:rPr>
        <w:t>, 577–584. https://doi.org/10.1016/B978-0-7020-4086-3.00038-2</w:t>
      </w:r>
    </w:p>
    <w:p w14:paraId="2B3D7CDC"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Beba, M., Mohammadi, H., Clark, C. C. T., &amp; Djafarian, K. (2022). The effect of curcumin supplementation on delayed-onset muscle soreness, inflammation, muscle strength, and joint flexibility: A systematic review and dose-response meta-analysis of randomized controlled trials. </w:t>
      </w:r>
      <w:r w:rsidRPr="00B1213E">
        <w:rPr>
          <w:rFonts w:ascii="Times New Roman" w:hAnsi="Times New Roman" w:cs="Times New Roman"/>
          <w:i/>
          <w:iCs/>
        </w:rPr>
        <w:t>Phytotherapy Research: PTR</w:t>
      </w:r>
      <w:r w:rsidRPr="00B1213E">
        <w:rPr>
          <w:rFonts w:ascii="Times New Roman" w:hAnsi="Times New Roman" w:cs="Times New Roman"/>
        </w:rPr>
        <w:t xml:space="preserve">, </w:t>
      </w:r>
      <w:r w:rsidRPr="00B1213E">
        <w:rPr>
          <w:rFonts w:ascii="Times New Roman" w:hAnsi="Times New Roman" w:cs="Times New Roman"/>
          <w:i/>
          <w:iCs/>
        </w:rPr>
        <w:t>36</w:t>
      </w:r>
      <w:r w:rsidRPr="00B1213E">
        <w:rPr>
          <w:rFonts w:ascii="Times New Roman" w:hAnsi="Times New Roman" w:cs="Times New Roman"/>
        </w:rPr>
        <w:t>(7), 2767–2778. https://doi.org/10.1002/ptr.7477</w:t>
      </w:r>
    </w:p>
    <w:p w14:paraId="70EBD045"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Bell, P. G., Stevenson, E., Davison, G. W., &amp; Howatson, G. (2016). The Effects of Montmorency Tart Cherry Concentrate Supplementation on Recovery Following Prolonged, Intermittent Exercise. </w:t>
      </w:r>
      <w:r w:rsidRPr="00B1213E">
        <w:rPr>
          <w:rFonts w:ascii="Times New Roman" w:hAnsi="Times New Roman" w:cs="Times New Roman"/>
          <w:i/>
          <w:iCs/>
        </w:rPr>
        <w:t>Nutrients</w:t>
      </w:r>
      <w:r w:rsidRPr="00B1213E">
        <w:rPr>
          <w:rFonts w:ascii="Times New Roman" w:hAnsi="Times New Roman" w:cs="Times New Roman"/>
        </w:rPr>
        <w:t xml:space="preserve">, </w:t>
      </w:r>
      <w:r w:rsidRPr="00B1213E">
        <w:rPr>
          <w:rFonts w:ascii="Times New Roman" w:hAnsi="Times New Roman" w:cs="Times New Roman"/>
          <w:i/>
          <w:iCs/>
        </w:rPr>
        <w:t>8</w:t>
      </w:r>
      <w:r w:rsidRPr="00B1213E">
        <w:rPr>
          <w:rFonts w:ascii="Times New Roman" w:hAnsi="Times New Roman" w:cs="Times New Roman"/>
        </w:rPr>
        <w:t>(7), 441. https://doi.org/10.3390/nu8070441</w:t>
      </w:r>
    </w:p>
    <w:p w14:paraId="21A1EACB"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Bijur, P. E., Silver, W., &amp; Gallagher, E. J. (2001). Reliability of the visual analog scale for measurement of acute pain. </w:t>
      </w:r>
      <w:r w:rsidRPr="00B1213E">
        <w:rPr>
          <w:rFonts w:ascii="Times New Roman" w:hAnsi="Times New Roman" w:cs="Times New Roman"/>
          <w:i/>
          <w:iCs/>
        </w:rPr>
        <w:t>Academic Emergency Medicine: Official Journal of the Society for Academic Emergency Medicine</w:t>
      </w:r>
      <w:r w:rsidRPr="00B1213E">
        <w:rPr>
          <w:rFonts w:ascii="Times New Roman" w:hAnsi="Times New Roman" w:cs="Times New Roman"/>
        </w:rPr>
        <w:t xml:space="preserve">, </w:t>
      </w:r>
      <w:r w:rsidRPr="00B1213E">
        <w:rPr>
          <w:rFonts w:ascii="Times New Roman" w:hAnsi="Times New Roman" w:cs="Times New Roman"/>
          <w:i/>
          <w:iCs/>
        </w:rPr>
        <w:t>8</w:t>
      </w:r>
      <w:r w:rsidRPr="00B1213E">
        <w:rPr>
          <w:rFonts w:ascii="Times New Roman" w:hAnsi="Times New Roman" w:cs="Times New Roman"/>
        </w:rPr>
        <w:t>(12), 1153–1157. https://doi.org/10.1111/j.1553-2712.2001.tb01132.x</w:t>
      </w:r>
    </w:p>
    <w:p w14:paraId="5BB92DCF"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Borg, G. (1998). Borg’s Perceived Exertion And Pain Scales. In </w:t>
      </w:r>
      <w:r w:rsidRPr="00B1213E">
        <w:rPr>
          <w:rFonts w:ascii="Times New Roman" w:hAnsi="Times New Roman" w:cs="Times New Roman"/>
          <w:i/>
          <w:iCs/>
        </w:rPr>
        <w:t>Human Kinetics</w:t>
      </w:r>
      <w:r w:rsidRPr="00B1213E">
        <w:rPr>
          <w:rFonts w:ascii="Times New Roman" w:hAnsi="Times New Roman" w:cs="Times New Roman"/>
        </w:rPr>
        <w:t>.</w:t>
      </w:r>
    </w:p>
    <w:p w14:paraId="6A1F43A6"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Bumgarner, J. R., Walker, W. H., &amp; Nelson, R. J. (2021). Circadian rhythms and pain. </w:t>
      </w:r>
      <w:r w:rsidRPr="00B1213E">
        <w:rPr>
          <w:rFonts w:ascii="Times New Roman" w:hAnsi="Times New Roman" w:cs="Times New Roman"/>
          <w:i/>
          <w:iCs/>
        </w:rPr>
        <w:t>Neuroscience &amp; Biobehavioral Reviews</w:t>
      </w:r>
      <w:r w:rsidRPr="00B1213E">
        <w:rPr>
          <w:rFonts w:ascii="Times New Roman" w:hAnsi="Times New Roman" w:cs="Times New Roman"/>
        </w:rPr>
        <w:t xml:space="preserve">, </w:t>
      </w:r>
      <w:r w:rsidRPr="00B1213E">
        <w:rPr>
          <w:rFonts w:ascii="Times New Roman" w:hAnsi="Times New Roman" w:cs="Times New Roman"/>
          <w:i/>
          <w:iCs/>
        </w:rPr>
        <w:t>129</w:t>
      </w:r>
      <w:r w:rsidRPr="00B1213E">
        <w:rPr>
          <w:rFonts w:ascii="Times New Roman" w:hAnsi="Times New Roman" w:cs="Times New Roman"/>
        </w:rPr>
        <w:t>, 296–306. https://doi.org/10.1016/j.neubiorev.2021.08.004</w:t>
      </w:r>
    </w:p>
    <w:p w14:paraId="4C733542"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Byrne, C., Twist, C., &amp; Eston, R. (2004). Neuromuscular function after exercise-induced muscle damage: Theoretical and applied implications. </w:t>
      </w:r>
      <w:r w:rsidRPr="00B1213E">
        <w:rPr>
          <w:rFonts w:ascii="Times New Roman" w:hAnsi="Times New Roman" w:cs="Times New Roman"/>
          <w:i/>
          <w:iCs/>
        </w:rPr>
        <w:t>Sports Medicine (Auckland, N.Z.)</w:t>
      </w:r>
      <w:r w:rsidRPr="00B1213E">
        <w:rPr>
          <w:rFonts w:ascii="Times New Roman" w:hAnsi="Times New Roman" w:cs="Times New Roman"/>
        </w:rPr>
        <w:t xml:space="preserve">, </w:t>
      </w:r>
      <w:r w:rsidRPr="00B1213E">
        <w:rPr>
          <w:rFonts w:ascii="Times New Roman" w:hAnsi="Times New Roman" w:cs="Times New Roman"/>
          <w:i/>
          <w:iCs/>
        </w:rPr>
        <w:t>34</w:t>
      </w:r>
      <w:r w:rsidRPr="00B1213E">
        <w:rPr>
          <w:rFonts w:ascii="Times New Roman" w:hAnsi="Times New Roman" w:cs="Times New Roman"/>
        </w:rPr>
        <w:t>(1), 49–69. https://doi.org/10.2165/00007256-200434010-00005</w:t>
      </w:r>
    </w:p>
    <w:p w14:paraId="7ACF0BC6"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Choi, Y., Ra, S.-G., Nishijima, T., &amp; Maeda, S. (2023). Effect of curcumin supplementation on inflammatory status and muscle damage in competitive female soccer players: A placebo-</w:t>
      </w:r>
      <w:r w:rsidRPr="00B1213E">
        <w:rPr>
          <w:rFonts w:ascii="Times New Roman" w:hAnsi="Times New Roman" w:cs="Times New Roman"/>
        </w:rPr>
        <w:lastRenderedPageBreak/>
        <w:t xml:space="preserve">controlled, singleblind, nonrandomized, crossover pilot study. </w:t>
      </w:r>
      <w:r w:rsidRPr="00B1213E">
        <w:rPr>
          <w:rFonts w:ascii="Times New Roman" w:hAnsi="Times New Roman" w:cs="Times New Roman"/>
          <w:i/>
          <w:iCs/>
        </w:rPr>
        <w:t>Physical Activity and Nutrition</w:t>
      </w:r>
      <w:r w:rsidRPr="00B1213E">
        <w:rPr>
          <w:rFonts w:ascii="Times New Roman" w:hAnsi="Times New Roman" w:cs="Times New Roman"/>
        </w:rPr>
        <w:t xml:space="preserve">, </w:t>
      </w:r>
      <w:r w:rsidRPr="00B1213E">
        <w:rPr>
          <w:rFonts w:ascii="Times New Roman" w:hAnsi="Times New Roman" w:cs="Times New Roman"/>
          <w:i/>
          <w:iCs/>
        </w:rPr>
        <w:t>27</w:t>
      </w:r>
      <w:r w:rsidRPr="00B1213E">
        <w:rPr>
          <w:rFonts w:ascii="Times New Roman" w:hAnsi="Times New Roman" w:cs="Times New Roman"/>
        </w:rPr>
        <w:t>(2), 34–38. https://doi.org/10.20463/pan.2023.0016</w:t>
      </w:r>
    </w:p>
    <w:p w14:paraId="7403B339"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Drobnic, F., Riera, J., Appendino, G., Togni, S., Franceschi, F., Valle, X., Pons, A., &amp; Tur, J. (2014). Reduction of delayed onset muscle soreness by a novel curcumin delivery system (Meriva®): A randomised, placebo-controlled trial. </w:t>
      </w:r>
      <w:r w:rsidRPr="00B1213E">
        <w:rPr>
          <w:rFonts w:ascii="Times New Roman" w:hAnsi="Times New Roman" w:cs="Times New Roman"/>
          <w:i/>
          <w:iCs/>
        </w:rPr>
        <w:t>Journal of the International Society of Sports Nutrition</w:t>
      </w:r>
      <w:r w:rsidRPr="00B1213E">
        <w:rPr>
          <w:rFonts w:ascii="Times New Roman" w:hAnsi="Times New Roman" w:cs="Times New Roman"/>
        </w:rPr>
        <w:t xml:space="preserve">, </w:t>
      </w:r>
      <w:r w:rsidRPr="00B1213E">
        <w:rPr>
          <w:rFonts w:ascii="Times New Roman" w:hAnsi="Times New Roman" w:cs="Times New Roman"/>
          <w:i/>
          <w:iCs/>
        </w:rPr>
        <w:t>11</w:t>
      </w:r>
      <w:r w:rsidRPr="00B1213E">
        <w:rPr>
          <w:rFonts w:ascii="Times New Roman" w:hAnsi="Times New Roman" w:cs="Times New Roman"/>
        </w:rPr>
        <w:t>, 31. https://doi.org/10.1186/1550-2783-11-31</w:t>
      </w:r>
    </w:p>
    <w:p w14:paraId="4CFF7B21"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Dryer-Beers, E. R., Griffin, J., Matthews, P. M., &amp; Frost, G. S. (2024). Higher Dietary Polyphenol Intake Is Associated With Lower Blood Inflammatory Markers. </w:t>
      </w:r>
      <w:r w:rsidRPr="00B1213E">
        <w:rPr>
          <w:rFonts w:ascii="Times New Roman" w:hAnsi="Times New Roman" w:cs="Times New Roman"/>
          <w:i/>
          <w:iCs/>
        </w:rPr>
        <w:t>The Journal of Nutrition</w:t>
      </w:r>
      <w:r w:rsidRPr="00B1213E">
        <w:rPr>
          <w:rFonts w:ascii="Times New Roman" w:hAnsi="Times New Roman" w:cs="Times New Roman"/>
        </w:rPr>
        <w:t xml:space="preserve">, </w:t>
      </w:r>
      <w:r w:rsidRPr="00B1213E">
        <w:rPr>
          <w:rFonts w:ascii="Times New Roman" w:hAnsi="Times New Roman" w:cs="Times New Roman"/>
          <w:i/>
          <w:iCs/>
        </w:rPr>
        <w:t>154</w:t>
      </w:r>
      <w:r w:rsidRPr="00B1213E">
        <w:rPr>
          <w:rFonts w:ascii="Times New Roman" w:hAnsi="Times New Roman" w:cs="Times New Roman"/>
        </w:rPr>
        <w:t>(8), 2470–2480. https://doi.org/10.1016/j.tjnut.2024.05.005</w:t>
      </w:r>
    </w:p>
    <w:p w14:paraId="002390B6"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Fatouros, I. G., &amp; Jamurtas, A. Z. (2016). Insights into the molecular etiology of exercise-induced inflammation: Opportunities for optimizing performance. </w:t>
      </w:r>
      <w:r w:rsidRPr="00B1213E">
        <w:rPr>
          <w:rFonts w:ascii="Times New Roman" w:hAnsi="Times New Roman" w:cs="Times New Roman"/>
          <w:i/>
          <w:iCs/>
        </w:rPr>
        <w:t>Journal of Inflammation Research</w:t>
      </w:r>
      <w:r w:rsidRPr="00B1213E">
        <w:rPr>
          <w:rFonts w:ascii="Times New Roman" w:hAnsi="Times New Roman" w:cs="Times New Roman"/>
        </w:rPr>
        <w:t xml:space="preserve">, </w:t>
      </w:r>
      <w:r w:rsidRPr="00B1213E">
        <w:rPr>
          <w:rFonts w:ascii="Times New Roman" w:hAnsi="Times New Roman" w:cs="Times New Roman"/>
          <w:i/>
          <w:iCs/>
        </w:rPr>
        <w:t>9</w:t>
      </w:r>
      <w:r w:rsidRPr="00B1213E">
        <w:rPr>
          <w:rFonts w:ascii="Times New Roman" w:hAnsi="Times New Roman" w:cs="Times New Roman"/>
        </w:rPr>
        <w:t>, 175–186. https://doi.org/10.2147/JIR.S114635</w:t>
      </w:r>
    </w:p>
    <w:p w14:paraId="6F7342EC"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Faul, F., Erdfelder, E., Lang, A.-G., &amp; Buchner, A. (2007). G*Power 3: A flexible statistical power analysis program for the social, behavioral, and biomedical sciences. </w:t>
      </w:r>
      <w:r w:rsidRPr="00B1213E">
        <w:rPr>
          <w:rFonts w:ascii="Times New Roman" w:hAnsi="Times New Roman" w:cs="Times New Roman"/>
          <w:i/>
          <w:iCs/>
        </w:rPr>
        <w:t>Behavior Research Methods</w:t>
      </w:r>
      <w:r w:rsidRPr="00B1213E">
        <w:rPr>
          <w:rFonts w:ascii="Times New Roman" w:hAnsi="Times New Roman" w:cs="Times New Roman"/>
        </w:rPr>
        <w:t xml:space="preserve">, </w:t>
      </w:r>
      <w:r w:rsidRPr="00B1213E">
        <w:rPr>
          <w:rFonts w:ascii="Times New Roman" w:hAnsi="Times New Roman" w:cs="Times New Roman"/>
          <w:i/>
          <w:iCs/>
        </w:rPr>
        <w:t>39</w:t>
      </w:r>
      <w:r w:rsidRPr="00B1213E">
        <w:rPr>
          <w:rFonts w:ascii="Times New Roman" w:hAnsi="Times New Roman" w:cs="Times New Roman"/>
        </w:rPr>
        <w:t>(2), 175–191. https://doi.org/10.3758/bf03193146</w:t>
      </w:r>
    </w:p>
    <w:p w14:paraId="33DB4967"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Fernández-Lázaro, D., Mielgo-Ayuso, J., Seco Calvo, J., Córdova Martínez, A., Caballero García, A., &amp; Fernandez-Lazaro, C. I. (2020). Modulation of Exercise-Induced Muscle Damage, Inflammation, and Oxidative Markers by Curcumin Supplementation in a Physically Active Population: A Systematic Review. </w:t>
      </w:r>
      <w:r w:rsidRPr="00B1213E">
        <w:rPr>
          <w:rFonts w:ascii="Times New Roman" w:hAnsi="Times New Roman" w:cs="Times New Roman"/>
          <w:i/>
          <w:iCs/>
        </w:rPr>
        <w:t>Nutrients</w:t>
      </w:r>
      <w:r w:rsidRPr="00B1213E">
        <w:rPr>
          <w:rFonts w:ascii="Times New Roman" w:hAnsi="Times New Roman" w:cs="Times New Roman"/>
        </w:rPr>
        <w:t xml:space="preserve">, </w:t>
      </w:r>
      <w:r w:rsidRPr="00B1213E">
        <w:rPr>
          <w:rFonts w:ascii="Times New Roman" w:hAnsi="Times New Roman" w:cs="Times New Roman"/>
          <w:i/>
          <w:iCs/>
        </w:rPr>
        <w:t>12</w:t>
      </w:r>
      <w:r w:rsidRPr="00B1213E">
        <w:rPr>
          <w:rFonts w:ascii="Times New Roman" w:hAnsi="Times New Roman" w:cs="Times New Roman"/>
        </w:rPr>
        <w:t>(2), 501. https://doi.org/10.3390/nu12020501</w:t>
      </w:r>
    </w:p>
    <w:p w14:paraId="7E9BCB68"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Hatcher, H., Planalp, R., Cho, J., Torti, F. M., &amp; Torti, S. V. (2008). Curcumin: From ancient medicine to current clinical trials. </w:t>
      </w:r>
      <w:r w:rsidRPr="00B1213E">
        <w:rPr>
          <w:rFonts w:ascii="Times New Roman" w:hAnsi="Times New Roman" w:cs="Times New Roman"/>
          <w:i/>
          <w:iCs/>
        </w:rPr>
        <w:t>Cellular and Molecular Life Sciences: CMLS</w:t>
      </w:r>
      <w:r w:rsidRPr="00B1213E">
        <w:rPr>
          <w:rFonts w:ascii="Times New Roman" w:hAnsi="Times New Roman" w:cs="Times New Roman"/>
        </w:rPr>
        <w:t xml:space="preserve">, </w:t>
      </w:r>
      <w:r w:rsidRPr="00B1213E">
        <w:rPr>
          <w:rFonts w:ascii="Times New Roman" w:hAnsi="Times New Roman" w:cs="Times New Roman"/>
          <w:i/>
          <w:iCs/>
        </w:rPr>
        <w:t>65</w:t>
      </w:r>
      <w:r w:rsidRPr="00B1213E">
        <w:rPr>
          <w:rFonts w:ascii="Times New Roman" w:hAnsi="Times New Roman" w:cs="Times New Roman"/>
        </w:rPr>
        <w:t>(11), 1631–1652. https://doi.org/10.1007/s00018-008-7452-4</w:t>
      </w:r>
    </w:p>
    <w:p w14:paraId="39D75090"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Heger, M., van Golen, R. F., Broekgaarden, M., &amp; Michel, M. C. (2014). The molecular basis for the pharmacokinetics and pharmacodynamics of curcumin and its metabolites in relation to cancer. </w:t>
      </w:r>
      <w:r w:rsidRPr="00B1213E">
        <w:rPr>
          <w:rFonts w:ascii="Times New Roman" w:hAnsi="Times New Roman" w:cs="Times New Roman"/>
          <w:i/>
          <w:iCs/>
        </w:rPr>
        <w:t>Pharmacological Reviews</w:t>
      </w:r>
      <w:r w:rsidRPr="00B1213E">
        <w:rPr>
          <w:rFonts w:ascii="Times New Roman" w:hAnsi="Times New Roman" w:cs="Times New Roman"/>
        </w:rPr>
        <w:t xml:space="preserve">, </w:t>
      </w:r>
      <w:r w:rsidRPr="00B1213E">
        <w:rPr>
          <w:rFonts w:ascii="Times New Roman" w:hAnsi="Times New Roman" w:cs="Times New Roman"/>
          <w:i/>
          <w:iCs/>
        </w:rPr>
        <w:t>66</w:t>
      </w:r>
      <w:r w:rsidRPr="00B1213E">
        <w:rPr>
          <w:rFonts w:ascii="Times New Roman" w:hAnsi="Times New Roman" w:cs="Times New Roman"/>
        </w:rPr>
        <w:t>(1), 222–307. https://doi.org/10.1124/pr.110.004044</w:t>
      </w:r>
    </w:p>
    <w:p w14:paraId="143A80DA"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Jäger, R., Purpura, M., &amp; Kerksick, C. M. (2019). Eight Weeks of a High Dose of Curcumin Supplementation May Attenuate Performance Decrements Following Muscle-Damaging Exercise. </w:t>
      </w:r>
      <w:r w:rsidRPr="00B1213E">
        <w:rPr>
          <w:rFonts w:ascii="Times New Roman" w:hAnsi="Times New Roman" w:cs="Times New Roman"/>
          <w:i/>
          <w:iCs/>
        </w:rPr>
        <w:t>Nutrients</w:t>
      </w:r>
      <w:r w:rsidRPr="00B1213E">
        <w:rPr>
          <w:rFonts w:ascii="Times New Roman" w:hAnsi="Times New Roman" w:cs="Times New Roman"/>
        </w:rPr>
        <w:t xml:space="preserve">, </w:t>
      </w:r>
      <w:r w:rsidRPr="00B1213E">
        <w:rPr>
          <w:rFonts w:ascii="Times New Roman" w:hAnsi="Times New Roman" w:cs="Times New Roman"/>
          <w:i/>
          <w:iCs/>
        </w:rPr>
        <w:t>11</w:t>
      </w:r>
      <w:r w:rsidRPr="00B1213E">
        <w:rPr>
          <w:rFonts w:ascii="Times New Roman" w:hAnsi="Times New Roman" w:cs="Times New Roman"/>
        </w:rPr>
        <w:t>(7), 1692. https://doi.org/10.3390/nu11071692</w:t>
      </w:r>
    </w:p>
    <w:p w14:paraId="236DEB30"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lastRenderedPageBreak/>
        <w:t xml:space="preserve">Kocaadam, B., &amp; Şanlier, N. (2017). Curcumin, an active component of turmeric (Curcuma longa), and its effects on health. </w:t>
      </w:r>
      <w:r w:rsidRPr="00B1213E">
        <w:rPr>
          <w:rFonts w:ascii="Times New Roman" w:hAnsi="Times New Roman" w:cs="Times New Roman"/>
          <w:i/>
          <w:iCs/>
        </w:rPr>
        <w:t>Critical Reviews in Food Science and Nutrition</w:t>
      </w:r>
      <w:r w:rsidRPr="00B1213E">
        <w:rPr>
          <w:rFonts w:ascii="Times New Roman" w:hAnsi="Times New Roman" w:cs="Times New Roman"/>
        </w:rPr>
        <w:t xml:space="preserve">, </w:t>
      </w:r>
      <w:r w:rsidRPr="00B1213E">
        <w:rPr>
          <w:rFonts w:ascii="Times New Roman" w:hAnsi="Times New Roman" w:cs="Times New Roman"/>
          <w:i/>
          <w:iCs/>
        </w:rPr>
        <w:t>57</w:t>
      </w:r>
      <w:r w:rsidRPr="00B1213E">
        <w:rPr>
          <w:rFonts w:ascii="Times New Roman" w:hAnsi="Times New Roman" w:cs="Times New Roman"/>
        </w:rPr>
        <w:t>(13), 2889–2895. https://doi.org/10.1080/10408398.2015.1077195</w:t>
      </w:r>
    </w:p>
    <w:p w14:paraId="4AE4488F"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Lennicke, C., &amp; Cochemé, H. M. (2021). Redox metabolism: ROS as specific molecular regulators of cell signaling and function. </w:t>
      </w:r>
      <w:r w:rsidRPr="00B1213E">
        <w:rPr>
          <w:rFonts w:ascii="Times New Roman" w:hAnsi="Times New Roman" w:cs="Times New Roman"/>
          <w:i/>
          <w:iCs/>
        </w:rPr>
        <w:t>Molecular Cell</w:t>
      </w:r>
      <w:r w:rsidRPr="00B1213E">
        <w:rPr>
          <w:rFonts w:ascii="Times New Roman" w:hAnsi="Times New Roman" w:cs="Times New Roman"/>
        </w:rPr>
        <w:t xml:space="preserve">, </w:t>
      </w:r>
      <w:r w:rsidRPr="00B1213E">
        <w:rPr>
          <w:rFonts w:ascii="Times New Roman" w:hAnsi="Times New Roman" w:cs="Times New Roman"/>
          <w:i/>
          <w:iCs/>
        </w:rPr>
        <w:t>81</w:t>
      </w:r>
      <w:r w:rsidRPr="00B1213E">
        <w:rPr>
          <w:rFonts w:ascii="Times New Roman" w:hAnsi="Times New Roman" w:cs="Times New Roman"/>
        </w:rPr>
        <w:t>(18), 3691–3707. https://doi.org/10.1016/j.molcel.2021.08.018</w:t>
      </w:r>
    </w:p>
    <w:p w14:paraId="32C071AA"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Lewis, N. A., Newell, J., Burden, R., Howatson, G., &amp; Pedlar, C. R. (2016). Critical Difference and Biological Variation in Biomarkers of Oxidative Stress and Nutritional Status in Athletes. </w:t>
      </w:r>
      <w:r w:rsidRPr="00B1213E">
        <w:rPr>
          <w:rFonts w:ascii="Times New Roman" w:hAnsi="Times New Roman" w:cs="Times New Roman"/>
          <w:i/>
          <w:iCs/>
        </w:rPr>
        <w:t>PloS One</w:t>
      </w:r>
      <w:r w:rsidRPr="00B1213E">
        <w:rPr>
          <w:rFonts w:ascii="Times New Roman" w:hAnsi="Times New Roman" w:cs="Times New Roman"/>
        </w:rPr>
        <w:t xml:space="preserve">, </w:t>
      </w:r>
      <w:r w:rsidRPr="00B1213E">
        <w:rPr>
          <w:rFonts w:ascii="Times New Roman" w:hAnsi="Times New Roman" w:cs="Times New Roman"/>
          <w:i/>
          <w:iCs/>
        </w:rPr>
        <w:t>11</w:t>
      </w:r>
      <w:r w:rsidRPr="00B1213E">
        <w:rPr>
          <w:rFonts w:ascii="Times New Roman" w:hAnsi="Times New Roman" w:cs="Times New Roman"/>
        </w:rPr>
        <w:t>(3), e0149927. https://doi.org/10.1371/journal.pone.0149927</w:t>
      </w:r>
    </w:p>
    <w:p w14:paraId="1BD546D3"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Liu, Q., Wang, C., Guo, X., Du, Q., &amp; Keshavarzi, M. (2024). Curcumin and its nano-formulations combined with exercise: From molecular mechanisms to clinic. </w:t>
      </w:r>
      <w:r w:rsidRPr="00B1213E">
        <w:rPr>
          <w:rFonts w:ascii="Times New Roman" w:hAnsi="Times New Roman" w:cs="Times New Roman"/>
          <w:i/>
          <w:iCs/>
        </w:rPr>
        <w:t>Cell Biochemistry and Function</w:t>
      </w:r>
      <w:r w:rsidRPr="00B1213E">
        <w:rPr>
          <w:rFonts w:ascii="Times New Roman" w:hAnsi="Times New Roman" w:cs="Times New Roman"/>
        </w:rPr>
        <w:t xml:space="preserve">, </w:t>
      </w:r>
      <w:r w:rsidRPr="00B1213E">
        <w:rPr>
          <w:rFonts w:ascii="Times New Roman" w:hAnsi="Times New Roman" w:cs="Times New Roman"/>
          <w:i/>
          <w:iCs/>
        </w:rPr>
        <w:t>42</w:t>
      </w:r>
      <w:r w:rsidRPr="00B1213E">
        <w:rPr>
          <w:rFonts w:ascii="Times New Roman" w:hAnsi="Times New Roman" w:cs="Times New Roman"/>
        </w:rPr>
        <w:t>(4), e4061. https://doi.org/10.1002/cbf.4061</w:t>
      </w:r>
    </w:p>
    <w:p w14:paraId="600ACBBE"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Mallard, A. R., Briskey, D., Richards BExSSc, A., &amp; Rao, A. (2021). Curcumin Improves Delayed Onset Muscle Soreness and Postexercise Lactate Accumulation. </w:t>
      </w:r>
      <w:r w:rsidRPr="00B1213E">
        <w:rPr>
          <w:rFonts w:ascii="Times New Roman" w:hAnsi="Times New Roman" w:cs="Times New Roman"/>
          <w:i/>
          <w:iCs/>
        </w:rPr>
        <w:t>Journal of Dietary Supplements</w:t>
      </w:r>
      <w:r w:rsidRPr="00B1213E">
        <w:rPr>
          <w:rFonts w:ascii="Times New Roman" w:hAnsi="Times New Roman" w:cs="Times New Roman"/>
        </w:rPr>
        <w:t xml:space="preserve">, </w:t>
      </w:r>
      <w:r w:rsidRPr="00B1213E">
        <w:rPr>
          <w:rFonts w:ascii="Times New Roman" w:hAnsi="Times New Roman" w:cs="Times New Roman"/>
          <w:i/>
          <w:iCs/>
        </w:rPr>
        <w:t>18</w:t>
      </w:r>
      <w:r w:rsidRPr="00B1213E">
        <w:rPr>
          <w:rFonts w:ascii="Times New Roman" w:hAnsi="Times New Roman" w:cs="Times New Roman"/>
        </w:rPr>
        <w:t>(5), 531–542. https://doi.org/10.1080/19390211.2020.1796885</w:t>
      </w:r>
    </w:p>
    <w:p w14:paraId="19370F9E"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Margaritelis, N. V., Paschalis, V., Theodorou, A. A., Kyparos, A., &amp; Nikolaidis, M. G. (2020). Antioxidant supplementation, redox deficiencies and exercise performance: A falsification design. </w:t>
      </w:r>
      <w:r w:rsidRPr="00B1213E">
        <w:rPr>
          <w:rFonts w:ascii="Times New Roman" w:hAnsi="Times New Roman" w:cs="Times New Roman"/>
          <w:i/>
          <w:iCs/>
        </w:rPr>
        <w:t>Free Radical Biology &amp; Medicine</w:t>
      </w:r>
      <w:r w:rsidRPr="00B1213E">
        <w:rPr>
          <w:rFonts w:ascii="Times New Roman" w:hAnsi="Times New Roman" w:cs="Times New Roman"/>
        </w:rPr>
        <w:t xml:space="preserve">, </w:t>
      </w:r>
      <w:r w:rsidRPr="00B1213E">
        <w:rPr>
          <w:rFonts w:ascii="Times New Roman" w:hAnsi="Times New Roman" w:cs="Times New Roman"/>
          <w:i/>
          <w:iCs/>
        </w:rPr>
        <w:t>158</w:t>
      </w:r>
      <w:r w:rsidRPr="00B1213E">
        <w:rPr>
          <w:rFonts w:ascii="Times New Roman" w:hAnsi="Times New Roman" w:cs="Times New Roman"/>
        </w:rPr>
        <w:t>, 44–52. https://doi.org/10.1016/j.freeradbiomed.2020.06.029</w:t>
      </w:r>
    </w:p>
    <w:p w14:paraId="705EE0D6"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McFarlin, B. K., Venable, A. S., Henning, A. L., Sampson, J. N. B., Pennel, K., Vingren, J. L., &amp; Hill, D. W. (2016). Reduced inflammatory and muscle damage biomarkers following oral supplementation with bioavailable curcumin. </w:t>
      </w:r>
      <w:r w:rsidRPr="00B1213E">
        <w:rPr>
          <w:rFonts w:ascii="Times New Roman" w:hAnsi="Times New Roman" w:cs="Times New Roman"/>
          <w:i/>
          <w:iCs/>
        </w:rPr>
        <w:t>BBA Clinical</w:t>
      </w:r>
      <w:r w:rsidRPr="00B1213E">
        <w:rPr>
          <w:rFonts w:ascii="Times New Roman" w:hAnsi="Times New Roman" w:cs="Times New Roman"/>
        </w:rPr>
        <w:t xml:space="preserve">, </w:t>
      </w:r>
      <w:r w:rsidRPr="00B1213E">
        <w:rPr>
          <w:rFonts w:ascii="Times New Roman" w:hAnsi="Times New Roman" w:cs="Times New Roman"/>
          <w:i/>
          <w:iCs/>
        </w:rPr>
        <w:t>5</w:t>
      </w:r>
      <w:r w:rsidRPr="00B1213E">
        <w:rPr>
          <w:rFonts w:ascii="Times New Roman" w:hAnsi="Times New Roman" w:cs="Times New Roman"/>
        </w:rPr>
        <w:t>, 72–78. https://doi.org/10.1016/j.bbacli.2016.02.003</w:t>
      </w:r>
    </w:p>
    <w:p w14:paraId="02E453AD"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Michailidis, Y., Karagounis, L. G., Terzis, G., Jamurtas, A. Z., Spengos, K., Tsoukas, D., Chatzinikolaou, A., Mandalidis, D., Stefanetti, R. J., Papassotiriou, I., Athanasopoulos, S., Hawley, J. A., Russell, A. P., &amp; Fatouros, I. G. (2013). Thiol-based antioxidant supplementation alters human skeletal muscle signaling and attenuates its inflammatory </w:t>
      </w:r>
      <w:r w:rsidRPr="00B1213E">
        <w:rPr>
          <w:rFonts w:ascii="Times New Roman" w:hAnsi="Times New Roman" w:cs="Times New Roman"/>
        </w:rPr>
        <w:lastRenderedPageBreak/>
        <w:t xml:space="preserve">response and recovery after intense eccentric exercise. </w:t>
      </w:r>
      <w:r w:rsidRPr="00B1213E">
        <w:rPr>
          <w:rFonts w:ascii="Times New Roman" w:hAnsi="Times New Roman" w:cs="Times New Roman"/>
          <w:i/>
          <w:iCs/>
        </w:rPr>
        <w:t>The American Journal of Clinical Nutrition</w:t>
      </w:r>
      <w:r w:rsidRPr="00B1213E">
        <w:rPr>
          <w:rFonts w:ascii="Times New Roman" w:hAnsi="Times New Roman" w:cs="Times New Roman"/>
        </w:rPr>
        <w:t xml:space="preserve">, </w:t>
      </w:r>
      <w:r w:rsidRPr="00B1213E">
        <w:rPr>
          <w:rFonts w:ascii="Times New Roman" w:hAnsi="Times New Roman" w:cs="Times New Roman"/>
          <w:i/>
          <w:iCs/>
        </w:rPr>
        <w:t>98</w:t>
      </w:r>
      <w:r w:rsidRPr="00B1213E">
        <w:rPr>
          <w:rFonts w:ascii="Times New Roman" w:hAnsi="Times New Roman" w:cs="Times New Roman"/>
        </w:rPr>
        <w:t>(1), 233–245. https://doi.org/10.3945/ajcn.112.049163</w:t>
      </w:r>
    </w:p>
    <w:p w14:paraId="0C6AD6E9"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Miles, M. P., Andring, J. M., Pearson, S. D., Gordon, L. K., Kasper, C., Depner, C. M., &amp; Kidd, J. R. (2008). Diurnal variation, response to eccentric exercise, and association of inflammatory mediators with muscle damage variables. </w:t>
      </w:r>
      <w:r w:rsidRPr="00B1213E">
        <w:rPr>
          <w:rFonts w:ascii="Times New Roman" w:hAnsi="Times New Roman" w:cs="Times New Roman"/>
          <w:i/>
          <w:iCs/>
        </w:rPr>
        <w:t>Journal of Applied Physiology (Bethesda, Md.: 1985)</w:t>
      </w:r>
      <w:r w:rsidRPr="00B1213E">
        <w:rPr>
          <w:rFonts w:ascii="Times New Roman" w:hAnsi="Times New Roman" w:cs="Times New Roman"/>
        </w:rPr>
        <w:t xml:space="preserve">, </w:t>
      </w:r>
      <w:r w:rsidRPr="00B1213E">
        <w:rPr>
          <w:rFonts w:ascii="Times New Roman" w:hAnsi="Times New Roman" w:cs="Times New Roman"/>
          <w:i/>
          <w:iCs/>
        </w:rPr>
        <w:t>104</w:t>
      </w:r>
      <w:r w:rsidRPr="00B1213E">
        <w:rPr>
          <w:rFonts w:ascii="Times New Roman" w:hAnsi="Times New Roman" w:cs="Times New Roman"/>
        </w:rPr>
        <w:t>(2), 451–458. https://doi.org/10.1152/japplphysiol.00572.2007</w:t>
      </w:r>
    </w:p>
    <w:p w14:paraId="79C371EC"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Ms, S. A. B., Waldman PhD, H. S., Krings PhD, B. M., Lamberth PhD, J., Smith PhD, J. W., &amp; McAllister PhD, M. J. (2020). Effect of Curcumin Supplementation on Exercise-Induced Oxidative Stress, Inflammation, Muscle Damage, and Muscle Soreness. </w:t>
      </w:r>
      <w:r w:rsidRPr="00B1213E">
        <w:rPr>
          <w:rFonts w:ascii="Times New Roman" w:hAnsi="Times New Roman" w:cs="Times New Roman"/>
          <w:i/>
          <w:iCs/>
        </w:rPr>
        <w:t>Journal of Dietary Supplements</w:t>
      </w:r>
      <w:r w:rsidRPr="00B1213E">
        <w:rPr>
          <w:rFonts w:ascii="Times New Roman" w:hAnsi="Times New Roman" w:cs="Times New Roman"/>
        </w:rPr>
        <w:t xml:space="preserve">, </w:t>
      </w:r>
      <w:r w:rsidRPr="00B1213E">
        <w:rPr>
          <w:rFonts w:ascii="Times New Roman" w:hAnsi="Times New Roman" w:cs="Times New Roman"/>
          <w:i/>
          <w:iCs/>
        </w:rPr>
        <w:t>17</w:t>
      </w:r>
      <w:r w:rsidRPr="00B1213E">
        <w:rPr>
          <w:rFonts w:ascii="Times New Roman" w:hAnsi="Times New Roman" w:cs="Times New Roman"/>
        </w:rPr>
        <w:t>(4), 401–414. https://doi.org/10.1080/19390211.2019.1604604</w:t>
      </w:r>
    </w:p>
    <w:p w14:paraId="59F6744B"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Myburgh, K. H. (2014). Polyphenol supplementation: Benefits for exercise performance or oxidative stress? </w:t>
      </w:r>
      <w:r w:rsidRPr="00B1213E">
        <w:rPr>
          <w:rFonts w:ascii="Times New Roman" w:hAnsi="Times New Roman" w:cs="Times New Roman"/>
          <w:i/>
          <w:iCs/>
        </w:rPr>
        <w:t>Sports Medicine (Auckland, N.Z.)</w:t>
      </w:r>
      <w:r w:rsidRPr="00B1213E">
        <w:rPr>
          <w:rFonts w:ascii="Times New Roman" w:hAnsi="Times New Roman" w:cs="Times New Roman"/>
        </w:rPr>
        <w:t xml:space="preserve">, </w:t>
      </w:r>
      <w:r w:rsidRPr="00B1213E">
        <w:rPr>
          <w:rFonts w:ascii="Times New Roman" w:hAnsi="Times New Roman" w:cs="Times New Roman"/>
          <w:i/>
          <w:iCs/>
        </w:rPr>
        <w:t>44 Suppl 1</w:t>
      </w:r>
      <w:r w:rsidRPr="00B1213E">
        <w:rPr>
          <w:rFonts w:ascii="Times New Roman" w:hAnsi="Times New Roman" w:cs="Times New Roman"/>
        </w:rPr>
        <w:t>(Suppl 1), S57-70. https://doi.org/10.1007/s40279-014-0151-4</w:t>
      </w:r>
    </w:p>
    <w:p w14:paraId="5ED83ED4"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Nanavati, K., Rutherfurd-Markwick, K., Lee, S. J., Bishop, N. C., &amp; Ali, A. (2022). Effect of curcumin supplementation on exercise-induced muscle damage: A narrative review. </w:t>
      </w:r>
      <w:r w:rsidRPr="00B1213E">
        <w:rPr>
          <w:rFonts w:ascii="Times New Roman" w:hAnsi="Times New Roman" w:cs="Times New Roman"/>
          <w:i/>
          <w:iCs/>
        </w:rPr>
        <w:t>European Journal of Nutrition</w:t>
      </w:r>
      <w:r w:rsidRPr="00B1213E">
        <w:rPr>
          <w:rFonts w:ascii="Times New Roman" w:hAnsi="Times New Roman" w:cs="Times New Roman"/>
        </w:rPr>
        <w:t xml:space="preserve">, </w:t>
      </w:r>
      <w:r w:rsidRPr="00B1213E">
        <w:rPr>
          <w:rFonts w:ascii="Times New Roman" w:hAnsi="Times New Roman" w:cs="Times New Roman"/>
          <w:i/>
          <w:iCs/>
        </w:rPr>
        <w:t>61</w:t>
      </w:r>
      <w:r w:rsidRPr="00B1213E">
        <w:rPr>
          <w:rFonts w:ascii="Times New Roman" w:hAnsi="Times New Roman" w:cs="Times New Roman"/>
        </w:rPr>
        <w:t>(8), 3835–3855. https://doi.org/10.1007/s00394-022-02943-7</w:t>
      </w:r>
    </w:p>
    <w:p w14:paraId="28EF4633"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Nicol, L. M., Rowlands, D. S., Fazakerly, R., &amp; Kellett, J. (2015). Curcumin supplementation likely attenuates delayed onset muscle soreness (DOMS). </w:t>
      </w:r>
      <w:r w:rsidRPr="00B1213E">
        <w:rPr>
          <w:rFonts w:ascii="Times New Roman" w:hAnsi="Times New Roman" w:cs="Times New Roman"/>
          <w:i/>
          <w:iCs/>
        </w:rPr>
        <w:t>European Journal of Applied Physiology</w:t>
      </w:r>
      <w:r w:rsidRPr="00B1213E">
        <w:rPr>
          <w:rFonts w:ascii="Times New Roman" w:hAnsi="Times New Roman" w:cs="Times New Roman"/>
        </w:rPr>
        <w:t xml:space="preserve">, </w:t>
      </w:r>
      <w:r w:rsidRPr="00B1213E">
        <w:rPr>
          <w:rFonts w:ascii="Times New Roman" w:hAnsi="Times New Roman" w:cs="Times New Roman"/>
          <w:i/>
          <w:iCs/>
        </w:rPr>
        <w:t>115</w:t>
      </w:r>
      <w:r w:rsidRPr="00B1213E">
        <w:rPr>
          <w:rFonts w:ascii="Times New Roman" w:hAnsi="Times New Roman" w:cs="Times New Roman"/>
        </w:rPr>
        <w:t>(8), 1769–1777. https://doi.org/10.1007/s00421-015-3152-6</w:t>
      </w:r>
    </w:p>
    <w:p w14:paraId="7E64DDAD"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Obrenovich, M., Li, Y., Tayahi, M., &amp; Reddy, V. P. (2022). Polyphenols and Small Phenolic Acids as Cellular Metabolic Regulators. </w:t>
      </w:r>
      <w:r w:rsidRPr="00B1213E">
        <w:rPr>
          <w:rFonts w:ascii="Times New Roman" w:hAnsi="Times New Roman" w:cs="Times New Roman"/>
          <w:i/>
          <w:iCs/>
        </w:rPr>
        <w:t>Current Issues in Molecular Biology</w:t>
      </w:r>
      <w:r w:rsidRPr="00B1213E">
        <w:rPr>
          <w:rFonts w:ascii="Times New Roman" w:hAnsi="Times New Roman" w:cs="Times New Roman"/>
        </w:rPr>
        <w:t xml:space="preserve">, </w:t>
      </w:r>
      <w:r w:rsidRPr="00B1213E">
        <w:rPr>
          <w:rFonts w:ascii="Times New Roman" w:hAnsi="Times New Roman" w:cs="Times New Roman"/>
          <w:i/>
          <w:iCs/>
        </w:rPr>
        <w:t>44</w:t>
      </w:r>
      <w:r w:rsidRPr="00B1213E">
        <w:rPr>
          <w:rFonts w:ascii="Times New Roman" w:hAnsi="Times New Roman" w:cs="Times New Roman"/>
        </w:rPr>
        <w:t>(9), 4152–4166. https://doi.org/10.3390/cimb44090285</w:t>
      </w:r>
    </w:p>
    <w:p w14:paraId="7E993D2A"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Owens, D. J., Twist, C., Cobley, J. N., Howatson, G., &amp; Close, G. L. (2019). Exercise-induced muscle damage: What is it, what causes it and what are the nutritional solutions? </w:t>
      </w:r>
      <w:r w:rsidRPr="00B1213E">
        <w:rPr>
          <w:rFonts w:ascii="Times New Roman" w:hAnsi="Times New Roman" w:cs="Times New Roman"/>
          <w:i/>
          <w:iCs/>
        </w:rPr>
        <w:t>European Journal of Sport Science</w:t>
      </w:r>
      <w:r w:rsidRPr="00B1213E">
        <w:rPr>
          <w:rFonts w:ascii="Times New Roman" w:hAnsi="Times New Roman" w:cs="Times New Roman"/>
        </w:rPr>
        <w:t xml:space="preserve">, </w:t>
      </w:r>
      <w:r w:rsidRPr="00B1213E">
        <w:rPr>
          <w:rFonts w:ascii="Times New Roman" w:hAnsi="Times New Roman" w:cs="Times New Roman"/>
          <w:i/>
          <w:iCs/>
        </w:rPr>
        <w:t>19</w:t>
      </w:r>
      <w:r w:rsidRPr="00B1213E">
        <w:rPr>
          <w:rFonts w:ascii="Times New Roman" w:hAnsi="Times New Roman" w:cs="Times New Roman"/>
        </w:rPr>
        <w:t>(1), 71–85. https://doi.org/10.1080/17461391.2018.1505957</w:t>
      </w:r>
    </w:p>
    <w:p w14:paraId="57CC7642"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lastRenderedPageBreak/>
        <w:t xml:space="preserve">Park, S.-Y., &amp; Kwak, Y.-S. (2016). Impact of aerobic and anaerobic exercise training on oxidative stress and antioxidant defense in athletes. </w:t>
      </w:r>
      <w:r w:rsidRPr="00B1213E">
        <w:rPr>
          <w:rFonts w:ascii="Times New Roman" w:hAnsi="Times New Roman" w:cs="Times New Roman"/>
          <w:i/>
          <w:iCs/>
        </w:rPr>
        <w:t>Journal of Exercise Rehabilitation</w:t>
      </w:r>
      <w:r w:rsidRPr="00B1213E">
        <w:rPr>
          <w:rFonts w:ascii="Times New Roman" w:hAnsi="Times New Roman" w:cs="Times New Roman"/>
        </w:rPr>
        <w:t xml:space="preserve">, </w:t>
      </w:r>
      <w:r w:rsidRPr="00B1213E">
        <w:rPr>
          <w:rFonts w:ascii="Times New Roman" w:hAnsi="Times New Roman" w:cs="Times New Roman"/>
          <w:i/>
          <w:iCs/>
        </w:rPr>
        <w:t>12</w:t>
      </w:r>
      <w:r w:rsidRPr="00B1213E">
        <w:rPr>
          <w:rFonts w:ascii="Times New Roman" w:hAnsi="Times New Roman" w:cs="Times New Roman"/>
        </w:rPr>
        <w:t>(2), 113–117. https://doi.org/10.12965/jer.1632598.299</w:t>
      </w:r>
    </w:p>
    <w:p w14:paraId="59E1A182"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Pasta, G., Nanni, G., Molini, L., &amp; Bianchi, S. (2010). Sonography of the quadriceps muscle: Examination technique, normal anatomy, and traumatic lesions. </w:t>
      </w:r>
      <w:r w:rsidRPr="00B1213E">
        <w:rPr>
          <w:rFonts w:ascii="Times New Roman" w:hAnsi="Times New Roman" w:cs="Times New Roman"/>
          <w:i/>
          <w:iCs/>
        </w:rPr>
        <w:t>Journal of Ultrasound</w:t>
      </w:r>
      <w:r w:rsidRPr="00B1213E">
        <w:rPr>
          <w:rFonts w:ascii="Times New Roman" w:hAnsi="Times New Roman" w:cs="Times New Roman"/>
        </w:rPr>
        <w:t xml:space="preserve">, </w:t>
      </w:r>
      <w:r w:rsidRPr="00B1213E">
        <w:rPr>
          <w:rFonts w:ascii="Times New Roman" w:hAnsi="Times New Roman" w:cs="Times New Roman"/>
          <w:i/>
          <w:iCs/>
        </w:rPr>
        <w:t>13</w:t>
      </w:r>
      <w:r w:rsidRPr="00B1213E">
        <w:rPr>
          <w:rFonts w:ascii="Times New Roman" w:hAnsi="Times New Roman" w:cs="Times New Roman"/>
        </w:rPr>
        <w:t>(2), 76–84. https://doi.org/10.1016/j.jus.2010.07.004</w:t>
      </w:r>
    </w:p>
    <w:p w14:paraId="3FFDE8C5"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Peake, J. M., Neubauer, O., Della Gatta, P. A., &amp; Nosaka, K. (2017). Muscle damage and inflammation during recovery from exercise. </w:t>
      </w:r>
      <w:r w:rsidRPr="00B1213E">
        <w:rPr>
          <w:rFonts w:ascii="Times New Roman" w:hAnsi="Times New Roman" w:cs="Times New Roman"/>
          <w:i/>
          <w:iCs/>
        </w:rPr>
        <w:t>Journal of Applied Physiology (Bethesda, Md.: 1985)</w:t>
      </w:r>
      <w:r w:rsidRPr="00B1213E">
        <w:rPr>
          <w:rFonts w:ascii="Times New Roman" w:hAnsi="Times New Roman" w:cs="Times New Roman"/>
        </w:rPr>
        <w:t xml:space="preserve">, </w:t>
      </w:r>
      <w:r w:rsidRPr="00B1213E">
        <w:rPr>
          <w:rFonts w:ascii="Times New Roman" w:hAnsi="Times New Roman" w:cs="Times New Roman"/>
          <w:i/>
          <w:iCs/>
        </w:rPr>
        <w:t>122</w:t>
      </w:r>
      <w:r w:rsidRPr="00B1213E">
        <w:rPr>
          <w:rFonts w:ascii="Times New Roman" w:hAnsi="Times New Roman" w:cs="Times New Roman"/>
        </w:rPr>
        <w:t>(3), 559–570. https://doi.org/10.1152/japplphysiol.00971.2016</w:t>
      </w:r>
    </w:p>
    <w:p w14:paraId="0AD7A0AA"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Powers, S. K., &amp; Jackson, M. J. (2008). Exercise-induced oxidative stress: Cellular mechanisms and impact on muscle force production. </w:t>
      </w:r>
      <w:r w:rsidRPr="00B1213E">
        <w:rPr>
          <w:rFonts w:ascii="Times New Roman" w:hAnsi="Times New Roman" w:cs="Times New Roman"/>
          <w:i/>
          <w:iCs/>
        </w:rPr>
        <w:t>Physiological Reviews</w:t>
      </w:r>
      <w:r w:rsidRPr="00B1213E">
        <w:rPr>
          <w:rFonts w:ascii="Times New Roman" w:hAnsi="Times New Roman" w:cs="Times New Roman"/>
        </w:rPr>
        <w:t xml:space="preserve">, </w:t>
      </w:r>
      <w:r w:rsidRPr="00B1213E">
        <w:rPr>
          <w:rFonts w:ascii="Times New Roman" w:hAnsi="Times New Roman" w:cs="Times New Roman"/>
          <w:i/>
          <w:iCs/>
        </w:rPr>
        <w:t>88</w:t>
      </w:r>
      <w:r w:rsidRPr="00B1213E">
        <w:rPr>
          <w:rFonts w:ascii="Times New Roman" w:hAnsi="Times New Roman" w:cs="Times New Roman"/>
        </w:rPr>
        <w:t>(4), 1243–1276. https://doi.org/10.1152/physrev.00031.2007</w:t>
      </w:r>
    </w:p>
    <w:p w14:paraId="0D3B5E19"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Qamar, M. M., Javed, M. S., Dogar, M. Z. U. H., &amp; Basharat, A. (2019). Beat the exercise-induced muscle damage. </w:t>
      </w:r>
      <w:r w:rsidRPr="00B1213E">
        <w:rPr>
          <w:rFonts w:ascii="Times New Roman" w:hAnsi="Times New Roman" w:cs="Times New Roman"/>
          <w:i/>
          <w:iCs/>
        </w:rPr>
        <w:t>JPMA. The Journal of the Pakistan Medical Association</w:t>
      </w:r>
      <w:r w:rsidRPr="00B1213E">
        <w:rPr>
          <w:rFonts w:ascii="Times New Roman" w:hAnsi="Times New Roman" w:cs="Times New Roman"/>
        </w:rPr>
        <w:t xml:space="preserve">, </w:t>
      </w:r>
      <w:r w:rsidRPr="00B1213E">
        <w:rPr>
          <w:rFonts w:ascii="Times New Roman" w:hAnsi="Times New Roman" w:cs="Times New Roman"/>
          <w:i/>
          <w:iCs/>
        </w:rPr>
        <w:t>69</w:t>
      </w:r>
      <w:r w:rsidRPr="00B1213E">
        <w:rPr>
          <w:rFonts w:ascii="Times New Roman" w:hAnsi="Times New Roman" w:cs="Times New Roman"/>
        </w:rPr>
        <w:t>(11), 1682–1686. https://doi.org/10.5455/JPMA.301636.</w:t>
      </w:r>
    </w:p>
    <w:p w14:paraId="39958B5F"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Sahin, K., Pala, R., Tuzcu, M., Ozdemir, O., Orhan, C., Sahin, N., &amp; Juturu, V. (2016). Curcumin prevents muscle damage by regulating NF-κB and Nrf2 pathways and improves performance: An in vivo model. </w:t>
      </w:r>
      <w:r w:rsidRPr="00B1213E">
        <w:rPr>
          <w:rFonts w:ascii="Times New Roman" w:hAnsi="Times New Roman" w:cs="Times New Roman"/>
          <w:i/>
          <w:iCs/>
        </w:rPr>
        <w:t>Journal of Inflammation Research</w:t>
      </w:r>
      <w:r w:rsidRPr="00B1213E">
        <w:rPr>
          <w:rFonts w:ascii="Times New Roman" w:hAnsi="Times New Roman" w:cs="Times New Roman"/>
        </w:rPr>
        <w:t xml:space="preserve">, </w:t>
      </w:r>
      <w:r w:rsidRPr="00B1213E">
        <w:rPr>
          <w:rFonts w:ascii="Times New Roman" w:hAnsi="Times New Roman" w:cs="Times New Roman"/>
          <w:i/>
          <w:iCs/>
        </w:rPr>
        <w:t>9</w:t>
      </w:r>
      <w:r w:rsidRPr="00B1213E">
        <w:rPr>
          <w:rFonts w:ascii="Times New Roman" w:hAnsi="Times New Roman" w:cs="Times New Roman"/>
        </w:rPr>
        <w:t>, 147–154. https://doi.org/10.2147/JIR.S110873</w:t>
      </w:r>
    </w:p>
    <w:p w14:paraId="39108E62"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Schiborr, C., Kocher, A., Behnam, D., Jandasek, J., Toelstede, S., &amp; Frank, J. (2014). The oral bioavailability of curcumin from micronized powder and liquid micelles is significantly increased in healthy humans and differs between sexes. </w:t>
      </w:r>
      <w:r w:rsidRPr="00B1213E">
        <w:rPr>
          <w:rFonts w:ascii="Times New Roman" w:hAnsi="Times New Roman" w:cs="Times New Roman"/>
          <w:i/>
          <w:iCs/>
        </w:rPr>
        <w:t>Molecular Nutrition &amp; Food Research</w:t>
      </w:r>
      <w:r w:rsidRPr="00B1213E">
        <w:rPr>
          <w:rFonts w:ascii="Times New Roman" w:hAnsi="Times New Roman" w:cs="Times New Roman"/>
        </w:rPr>
        <w:t xml:space="preserve">, </w:t>
      </w:r>
      <w:r w:rsidRPr="00B1213E">
        <w:rPr>
          <w:rFonts w:ascii="Times New Roman" w:hAnsi="Times New Roman" w:cs="Times New Roman"/>
          <w:i/>
          <w:iCs/>
        </w:rPr>
        <w:t>58</w:t>
      </w:r>
      <w:r w:rsidRPr="00B1213E">
        <w:rPr>
          <w:rFonts w:ascii="Times New Roman" w:hAnsi="Times New Roman" w:cs="Times New Roman"/>
        </w:rPr>
        <w:t>(3), 516–527. https://doi.org/10.1002/mnfr.201300724</w:t>
      </w:r>
    </w:p>
    <w:p w14:paraId="4B331B65"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Schoenfeld, B. J. (2012). The use of nonsteroidal anti-inflammatory drugs for exercise-induced muscle damage: Implications for skeletal muscle development. </w:t>
      </w:r>
      <w:r w:rsidRPr="00B1213E">
        <w:rPr>
          <w:rFonts w:ascii="Times New Roman" w:hAnsi="Times New Roman" w:cs="Times New Roman"/>
          <w:i/>
          <w:iCs/>
        </w:rPr>
        <w:t>Sports Medicine (Auckland, N.Z.)</w:t>
      </w:r>
      <w:r w:rsidRPr="00B1213E">
        <w:rPr>
          <w:rFonts w:ascii="Times New Roman" w:hAnsi="Times New Roman" w:cs="Times New Roman"/>
        </w:rPr>
        <w:t xml:space="preserve">, </w:t>
      </w:r>
      <w:r w:rsidRPr="00B1213E">
        <w:rPr>
          <w:rFonts w:ascii="Times New Roman" w:hAnsi="Times New Roman" w:cs="Times New Roman"/>
          <w:i/>
          <w:iCs/>
        </w:rPr>
        <w:t>42</w:t>
      </w:r>
      <w:r w:rsidRPr="00B1213E">
        <w:rPr>
          <w:rFonts w:ascii="Times New Roman" w:hAnsi="Times New Roman" w:cs="Times New Roman"/>
        </w:rPr>
        <w:t>(12), 1017–1028. https://doi.org/10.1007/BF03262309</w:t>
      </w:r>
    </w:p>
    <w:p w14:paraId="02AECAB6"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Sciberras, J. N., Galloway, S. D., Fenech, A., Grech, G., Farrugia, C., Duca, D., &amp; Mifsud, J. (2015). The effect of turmeric (Curcumin) supplementation on cytokine and inflammatory marker </w:t>
      </w:r>
      <w:r w:rsidRPr="00B1213E">
        <w:rPr>
          <w:rFonts w:ascii="Times New Roman" w:hAnsi="Times New Roman" w:cs="Times New Roman"/>
        </w:rPr>
        <w:lastRenderedPageBreak/>
        <w:t xml:space="preserve">responses following 2 hours of endurance cycling. </w:t>
      </w:r>
      <w:r w:rsidRPr="00B1213E">
        <w:rPr>
          <w:rFonts w:ascii="Times New Roman" w:hAnsi="Times New Roman" w:cs="Times New Roman"/>
          <w:i/>
          <w:iCs/>
        </w:rPr>
        <w:t>Journal of the International Society of Sports Nutrition</w:t>
      </w:r>
      <w:r w:rsidRPr="00B1213E">
        <w:rPr>
          <w:rFonts w:ascii="Times New Roman" w:hAnsi="Times New Roman" w:cs="Times New Roman"/>
        </w:rPr>
        <w:t xml:space="preserve">, </w:t>
      </w:r>
      <w:r w:rsidRPr="00B1213E">
        <w:rPr>
          <w:rFonts w:ascii="Times New Roman" w:hAnsi="Times New Roman" w:cs="Times New Roman"/>
          <w:i/>
          <w:iCs/>
        </w:rPr>
        <w:t>12</w:t>
      </w:r>
      <w:r w:rsidRPr="00B1213E">
        <w:rPr>
          <w:rFonts w:ascii="Times New Roman" w:hAnsi="Times New Roman" w:cs="Times New Roman"/>
        </w:rPr>
        <w:t>(1), 5. https://doi.org/10.1186/s12970-014-0066-3</w:t>
      </w:r>
    </w:p>
    <w:p w14:paraId="06A35381"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Sebba, A. (2021). Pain: A Review of Interleukin-6 and Its Roles in the Pain of Rheumatoid Arthritis. </w:t>
      </w:r>
      <w:r w:rsidRPr="00B1213E">
        <w:rPr>
          <w:rFonts w:ascii="Times New Roman" w:hAnsi="Times New Roman" w:cs="Times New Roman"/>
          <w:i/>
          <w:iCs/>
        </w:rPr>
        <w:t>Open Access Rheumatology: Research and Reviews</w:t>
      </w:r>
      <w:r w:rsidRPr="00B1213E">
        <w:rPr>
          <w:rFonts w:ascii="Times New Roman" w:hAnsi="Times New Roman" w:cs="Times New Roman"/>
        </w:rPr>
        <w:t xml:space="preserve">, </w:t>
      </w:r>
      <w:r w:rsidRPr="00B1213E">
        <w:rPr>
          <w:rFonts w:ascii="Times New Roman" w:hAnsi="Times New Roman" w:cs="Times New Roman"/>
          <w:i/>
          <w:iCs/>
        </w:rPr>
        <w:t>13</w:t>
      </w:r>
      <w:r w:rsidRPr="00B1213E">
        <w:rPr>
          <w:rFonts w:ascii="Times New Roman" w:hAnsi="Times New Roman" w:cs="Times New Roman"/>
        </w:rPr>
        <w:t>, 31–43. https://doi.org/10.2147/OARRR.S291388</w:t>
      </w:r>
    </w:p>
    <w:p w14:paraId="42C735DC"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Shehzad, A., &amp; Lee, Y. S. (2013). Molecular mechanisms of curcumin action: Signal transduction. </w:t>
      </w:r>
      <w:r w:rsidRPr="00B1213E">
        <w:rPr>
          <w:rFonts w:ascii="Times New Roman" w:hAnsi="Times New Roman" w:cs="Times New Roman"/>
          <w:i/>
          <w:iCs/>
        </w:rPr>
        <w:t>BioFactors (Oxford, England)</w:t>
      </w:r>
      <w:r w:rsidRPr="00B1213E">
        <w:rPr>
          <w:rFonts w:ascii="Times New Roman" w:hAnsi="Times New Roman" w:cs="Times New Roman"/>
        </w:rPr>
        <w:t xml:space="preserve">, </w:t>
      </w:r>
      <w:r w:rsidRPr="00B1213E">
        <w:rPr>
          <w:rFonts w:ascii="Times New Roman" w:hAnsi="Times New Roman" w:cs="Times New Roman"/>
          <w:i/>
          <w:iCs/>
        </w:rPr>
        <w:t>39</w:t>
      </w:r>
      <w:r w:rsidRPr="00B1213E">
        <w:rPr>
          <w:rFonts w:ascii="Times New Roman" w:hAnsi="Times New Roman" w:cs="Times New Roman"/>
        </w:rPr>
        <w:t>(1), 27–36. https://doi.org/10.1002/biof.1065</w:t>
      </w:r>
    </w:p>
    <w:p w14:paraId="6F6A1A04"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Shoji, M., Ema, R., Nosaka, K., Kanda, A., Hirata, K., &amp; Akagi, R. (2021). Muscle Damage Indicated by Maximal Voluntary Contraction Strength Changes From Immediately to 1 Day After Eccentric Exercise of the Knee Extensors. </w:t>
      </w:r>
      <w:r w:rsidRPr="00B1213E">
        <w:rPr>
          <w:rFonts w:ascii="Times New Roman" w:hAnsi="Times New Roman" w:cs="Times New Roman"/>
          <w:i/>
          <w:iCs/>
        </w:rPr>
        <w:t>Frontiers in Physiology</w:t>
      </w:r>
      <w:r w:rsidRPr="00B1213E">
        <w:rPr>
          <w:rFonts w:ascii="Times New Roman" w:hAnsi="Times New Roman" w:cs="Times New Roman"/>
        </w:rPr>
        <w:t xml:space="preserve">, </w:t>
      </w:r>
      <w:r w:rsidRPr="00B1213E">
        <w:rPr>
          <w:rFonts w:ascii="Times New Roman" w:hAnsi="Times New Roman" w:cs="Times New Roman"/>
          <w:i/>
          <w:iCs/>
        </w:rPr>
        <w:t>12</w:t>
      </w:r>
      <w:r w:rsidRPr="00B1213E">
        <w:rPr>
          <w:rFonts w:ascii="Times New Roman" w:hAnsi="Times New Roman" w:cs="Times New Roman"/>
        </w:rPr>
        <w:t>, 775157. https://doi.org/10.3389/fphys.2021.775157</w:t>
      </w:r>
    </w:p>
    <w:p w14:paraId="54750BF4"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Slattery, K., Bentley, D., &amp; Coutts, A. J. (2015). The role of oxidative, inflammatory and neuroendocrinological systems during exercise stress in athletes: Implications of antioxidant supplementation on physiological adaptation during intensified physical training. </w:t>
      </w:r>
      <w:r w:rsidRPr="00B1213E">
        <w:rPr>
          <w:rFonts w:ascii="Times New Roman" w:hAnsi="Times New Roman" w:cs="Times New Roman"/>
          <w:i/>
          <w:iCs/>
        </w:rPr>
        <w:t>Sports Medicine (Auckland, N.Z.)</w:t>
      </w:r>
      <w:r w:rsidRPr="00B1213E">
        <w:rPr>
          <w:rFonts w:ascii="Times New Roman" w:hAnsi="Times New Roman" w:cs="Times New Roman"/>
        </w:rPr>
        <w:t xml:space="preserve">, </w:t>
      </w:r>
      <w:r w:rsidRPr="00B1213E">
        <w:rPr>
          <w:rFonts w:ascii="Times New Roman" w:hAnsi="Times New Roman" w:cs="Times New Roman"/>
          <w:i/>
          <w:iCs/>
        </w:rPr>
        <w:t>45</w:t>
      </w:r>
      <w:r w:rsidRPr="00B1213E">
        <w:rPr>
          <w:rFonts w:ascii="Times New Roman" w:hAnsi="Times New Roman" w:cs="Times New Roman"/>
        </w:rPr>
        <w:t>(4), 453–471. https://doi.org/10.1007/s40279-014-0282-7</w:t>
      </w:r>
    </w:p>
    <w:p w14:paraId="29587D43"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Sylwander, C., Larsson, I., Haglund, E., Bergman, S., &amp; Andersson, M. L. E. (2021). Pressure pain thresholds in individuals with knee pain: A cross-sectional study. </w:t>
      </w:r>
      <w:r w:rsidRPr="00B1213E">
        <w:rPr>
          <w:rFonts w:ascii="Times New Roman" w:hAnsi="Times New Roman" w:cs="Times New Roman"/>
          <w:i/>
          <w:iCs/>
        </w:rPr>
        <w:t>BMC Musculoskeletal Disorders</w:t>
      </w:r>
      <w:r w:rsidRPr="00B1213E">
        <w:rPr>
          <w:rFonts w:ascii="Times New Roman" w:hAnsi="Times New Roman" w:cs="Times New Roman"/>
        </w:rPr>
        <w:t xml:space="preserve">, </w:t>
      </w:r>
      <w:r w:rsidRPr="00B1213E">
        <w:rPr>
          <w:rFonts w:ascii="Times New Roman" w:hAnsi="Times New Roman" w:cs="Times New Roman"/>
          <w:i/>
          <w:iCs/>
        </w:rPr>
        <w:t>22</w:t>
      </w:r>
      <w:r w:rsidRPr="00B1213E">
        <w:rPr>
          <w:rFonts w:ascii="Times New Roman" w:hAnsi="Times New Roman" w:cs="Times New Roman"/>
        </w:rPr>
        <w:t>(1), 516. https://doi.org/10.1186/s12891-021-04408-0</w:t>
      </w:r>
    </w:p>
    <w:p w14:paraId="42CA4337"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Takahashi, M., Suzuki, K., Kim, H. K., Otsuka, Y., Imaizumi, A., Miyashita, M., &amp; Sakamoto, S. (2014). Effects of curcumin supplementation on exercise-induced oxidative stress in humans. </w:t>
      </w:r>
      <w:r w:rsidRPr="00B1213E">
        <w:rPr>
          <w:rFonts w:ascii="Times New Roman" w:hAnsi="Times New Roman" w:cs="Times New Roman"/>
          <w:i/>
          <w:iCs/>
        </w:rPr>
        <w:t>International Journal of Sports Medicine</w:t>
      </w:r>
      <w:r w:rsidRPr="00B1213E">
        <w:rPr>
          <w:rFonts w:ascii="Times New Roman" w:hAnsi="Times New Roman" w:cs="Times New Roman"/>
        </w:rPr>
        <w:t xml:space="preserve">, </w:t>
      </w:r>
      <w:r w:rsidRPr="00B1213E">
        <w:rPr>
          <w:rFonts w:ascii="Times New Roman" w:hAnsi="Times New Roman" w:cs="Times New Roman"/>
          <w:i/>
          <w:iCs/>
        </w:rPr>
        <w:t>35</w:t>
      </w:r>
      <w:r w:rsidRPr="00B1213E">
        <w:rPr>
          <w:rFonts w:ascii="Times New Roman" w:hAnsi="Times New Roman" w:cs="Times New Roman"/>
        </w:rPr>
        <w:t>(6), 469–475. https://doi.org/10.1055/s-0033-1357185</w:t>
      </w:r>
    </w:p>
    <w:p w14:paraId="64816095"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Tanabe, Y., Chino, K., Ohnishi, T., Ozawa, H., Sagayama, H., Maeda, S., &amp; Takahashi, H. (2019). Effects of oral curcumin ingested before or after eccentric exercise on markers of muscle damage and inflammation. </w:t>
      </w:r>
      <w:r w:rsidRPr="00B1213E">
        <w:rPr>
          <w:rFonts w:ascii="Times New Roman" w:hAnsi="Times New Roman" w:cs="Times New Roman"/>
          <w:i/>
          <w:iCs/>
        </w:rPr>
        <w:t>Scandinavian Journal of Medicine &amp; Science in Sports</w:t>
      </w:r>
      <w:r w:rsidRPr="00B1213E">
        <w:rPr>
          <w:rFonts w:ascii="Times New Roman" w:hAnsi="Times New Roman" w:cs="Times New Roman"/>
        </w:rPr>
        <w:t xml:space="preserve">, </w:t>
      </w:r>
      <w:r w:rsidRPr="00B1213E">
        <w:rPr>
          <w:rFonts w:ascii="Times New Roman" w:hAnsi="Times New Roman" w:cs="Times New Roman"/>
          <w:i/>
          <w:iCs/>
        </w:rPr>
        <w:t>29</w:t>
      </w:r>
      <w:r w:rsidRPr="00B1213E">
        <w:rPr>
          <w:rFonts w:ascii="Times New Roman" w:hAnsi="Times New Roman" w:cs="Times New Roman"/>
        </w:rPr>
        <w:t>(4), 524–534. https://doi.org/10.1111/sms.13373</w:t>
      </w:r>
    </w:p>
    <w:p w14:paraId="52631888"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Tanabe, Y., Maeda, S., Akazawa, N., Zempo-Miyaki, A., Choi, Y., Ra, S.-G., Imaizumi, A., Otsuka, Y., &amp; Nosaka, K. (2015). Attenuation of indirect markers of eccentric exercise-induced </w:t>
      </w:r>
      <w:r w:rsidRPr="00B1213E">
        <w:rPr>
          <w:rFonts w:ascii="Times New Roman" w:hAnsi="Times New Roman" w:cs="Times New Roman"/>
        </w:rPr>
        <w:lastRenderedPageBreak/>
        <w:t xml:space="preserve">muscle damage by curcumin. </w:t>
      </w:r>
      <w:r w:rsidRPr="00B1213E">
        <w:rPr>
          <w:rFonts w:ascii="Times New Roman" w:hAnsi="Times New Roman" w:cs="Times New Roman"/>
          <w:i/>
          <w:iCs/>
        </w:rPr>
        <w:t>European Journal of Applied Physiology</w:t>
      </w:r>
      <w:r w:rsidRPr="00B1213E">
        <w:rPr>
          <w:rFonts w:ascii="Times New Roman" w:hAnsi="Times New Roman" w:cs="Times New Roman"/>
        </w:rPr>
        <w:t xml:space="preserve">, </w:t>
      </w:r>
      <w:r w:rsidRPr="00B1213E">
        <w:rPr>
          <w:rFonts w:ascii="Times New Roman" w:hAnsi="Times New Roman" w:cs="Times New Roman"/>
          <w:i/>
          <w:iCs/>
        </w:rPr>
        <w:t>115</w:t>
      </w:r>
      <w:r w:rsidRPr="00B1213E">
        <w:rPr>
          <w:rFonts w:ascii="Times New Roman" w:hAnsi="Times New Roman" w:cs="Times New Roman"/>
        </w:rPr>
        <w:t>(9), 1949–1957. https://doi.org/10.1007/s00421-015-3170-4</w:t>
      </w:r>
    </w:p>
    <w:p w14:paraId="3EB10288"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Vaegter, H. B., Lyng, K. D., Yttereng, F. W., Christensen, M. H., Sørensen, M. B., &amp; Graven-Nielsen, T. (2019). Exercise-Induced Hypoalgesia After Isometric Wall Squat Exercise: A Test-Retest Reliabilty Study. </w:t>
      </w:r>
      <w:r w:rsidRPr="00B1213E">
        <w:rPr>
          <w:rFonts w:ascii="Times New Roman" w:hAnsi="Times New Roman" w:cs="Times New Roman"/>
          <w:i/>
          <w:iCs/>
        </w:rPr>
        <w:t>Pain Medicine (Malden, Mass.)</w:t>
      </w:r>
      <w:r w:rsidRPr="00B1213E">
        <w:rPr>
          <w:rFonts w:ascii="Times New Roman" w:hAnsi="Times New Roman" w:cs="Times New Roman"/>
        </w:rPr>
        <w:t xml:space="preserve">, </w:t>
      </w:r>
      <w:r w:rsidRPr="00B1213E">
        <w:rPr>
          <w:rFonts w:ascii="Times New Roman" w:hAnsi="Times New Roman" w:cs="Times New Roman"/>
          <w:i/>
          <w:iCs/>
        </w:rPr>
        <w:t>20</w:t>
      </w:r>
      <w:r w:rsidRPr="00B1213E">
        <w:rPr>
          <w:rFonts w:ascii="Times New Roman" w:hAnsi="Times New Roman" w:cs="Times New Roman"/>
        </w:rPr>
        <w:t>(1), 129–137. https://doi.org/10.1093/pm/pny087</w:t>
      </w:r>
    </w:p>
    <w:p w14:paraId="27BAEF2E"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[World Medical Association (AMM). Helsinki Declaration. Ethical principles for medical research involving human subjects]. (2001). </w:t>
      </w:r>
      <w:r w:rsidRPr="00B1213E">
        <w:rPr>
          <w:rFonts w:ascii="Times New Roman" w:hAnsi="Times New Roman" w:cs="Times New Roman"/>
          <w:i/>
          <w:iCs/>
        </w:rPr>
        <w:t>Assistenza infermieristica e ricerca: AIR</w:t>
      </w:r>
      <w:r w:rsidRPr="00B1213E">
        <w:rPr>
          <w:rFonts w:ascii="Times New Roman" w:hAnsi="Times New Roman" w:cs="Times New Roman"/>
        </w:rPr>
        <w:t xml:space="preserve">, </w:t>
      </w:r>
      <w:r w:rsidRPr="00B1213E">
        <w:rPr>
          <w:rFonts w:ascii="Times New Roman" w:hAnsi="Times New Roman" w:cs="Times New Roman"/>
          <w:i/>
          <w:iCs/>
        </w:rPr>
        <w:t>20</w:t>
      </w:r>
      <w:r w:rsidRPr="00B1213E">
        <w:rPr>
          <w:rFonts w:ascii="Times New Roman" w:hAnsi="Times New Roman" w:cs="Times New Roman"/>
        </w:rPr>
        <w:t>(2), 104–107.</w:t>
      </w:r>
    </w:p>
    <w:p w14:paraId="49766E09" w14:textId="77777777" w:rsidR="00E64CFA" w:rsidRPr="00B1213E" w:rsidRDefault="00E64CFA" w:rsidP="00E64CFA">
      <w:pPr>
        <w:pStyle w:val="Bibliography"/>
        <w:rPr>
          <w:rFonts w:ascii="Times New Roman" w:hAnsi="Times New Roman" w:cs="Times New Roman"/>
        </w:rPr>
      </w:pPr>
      <w:r w:rsidRPr="00B1213E">
        <w:rPr>
          <w:rFonts w:ascii="Times New Roman" w:hAnsi="Times New Roman" w:cs="Times New Roman"/>
        </w:rPr>
        <w:t xml:space="preserve">Zech, A., Witte, K., &amp; Pfeifer, K. (2008). Reliability and performance-dependent variations of muscle function variables during isometric knee extension. </w:t>
      </w:r>
      <w:r w:rsidRPr="00B1213E">
        <w:rPr>
          <w:rFonts w:ascii="Times New Roman" w:hAnsi="Times New Roman" w:cs="Times New Roman"/>
          <w:i/>
          <w:iCs/>
        </w:rPr>
        <w:t>Journal of Electromyography and Kinesiology: Official Journal of the International Society of Electrophysiological Kinesiology</w:t>
      </w:r>
      <w:r w:rsidRPr="00B1213E">
        <w:rPr>
          <w:rFonts w:ascii="Times New Roman" w:hAnsi="Times New Roman" w:cs="Times New Roman"/>
        </w:rPr>
        <w:t xml:space="preserve">, </w:t>
      </w:r>
      <w:r w:rsidRPr="00B1213E">
        <w:rPr>
          <w:rFonts w:ascii="Times New Roman" w:hAnsi="Times New Roman" w:cs="Times New Roman"/>
          <w:i/>
          <w:iCs/>
        </w:rPr>
        <w:t>18</w:t>
      </w:r>
      <w:r w:rsidRPr="00B1213E">
        <w:rPr>
          <w:rFonts w:ascii="Times New Roman" w:hAnsi="Times New Roman" w:cs="Times New Roman"/>
        </w:rPr>
        <w:t>(2), 262–269. https://doi.org/10.1016/j.jelekin.2006.08.013</w:t>
      </w:r>
    </w:p>
    <w:p w14:paraId="7C53EAFD" w14:textId="5F1EBB3E" w:rsidR="004B7B6C" w:rsidRPr="00B1213E" w:rsidRDefault="0067298C" w:rsidP="007A385D">
      <w:pPr>
        <w:spacing w:after="0" w:line="360" w:lineRule="auto"/>
        <w:ind w:firstLine="709"/>
        <w:jc w:val="both"/>
        <w:rPr>
          <w:rFonts w:ascii="Times New Roman" w:hAnsi="Times New Roman" w:cs="Times New Roman"/>
          <w:sz w:val="24"/>
          <w:szCs w:val="24"/>
        </w:rPr>
      </w:pPr>
      <w:r w:rsidRPr="00B1213E">
        <w:rPr>
          <w:rFonts w:ascii="Times New Roman" w:hAnsi="Times New Roman" w:cs="Times New Roman"/>
          <w:sz w:val="24"/>
          <w:szCs w:val="24"/>
        </w:rPr>
        <w:fldChar w:fldCharType="end"/>
      </w:r>
    </w:p>
    <w:p w14:paraId="1E27CCA1" w14:textId="456DD601" w:rsidR="009075B4" w:rsidRPr="00B1213E" w:rsidRDefault="009075B4" w:rsidP="00A9059C">
      <w:pPr>
        <w:rPr>
          <w:rFonts w:ascii="Times New Roman" w:hAnsi="Times New Roman" w:cs="Times New Roman"/>
          <w:sz w:val="24"/>
          <w:szCs w:val="24"/>
        </w:rPr>
      </w:pPr>
      <w:r w:rsidRPr="00B1213E">
        <w:rPr>
          <w:rFonts w:ascii="Times New Roman" w:hAnsi="Times New Roman" w:cs="Times New Roman"/>
          <w:sz w:val="24"/>
          <w:szCs w:val="24"/>
        </w:rPr>
        <w:br w:type="page"/>
      </w:r>
    </w:p>
    <w:p w14:paraId="132A1F53" w14:textId="59329E03" w:rsidR="00C320CC" w:rsidRPr="00B1213E" w:rsidRDefault="00C320CC" w:rsidP="003D2003">
      <w:pPr>
        <w:spacing w:line="278" w:lineRule="auto"/>
        <w:rPr>
          <w:rFonts w:ascii="Times New Roman" w:hAnsi="Times New Roman" w:cs="Times New Roman"/>
          <w:sz w:val="28"/>
          <w:szCs w:val="28"/>
          <w:u w:val="single"/>
        </w:rPr>
      </w:pPr>
    </w:p>
    <w:sectPr w:rsidR="00C320CC" w:rsidRPr="00B1213E" w:rsidSect="00112961">
      <w:headerReference w:type="default" r:id="rId26"/>
      <w:pgSz w:w="11906" w:h="16838"/>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4C547" w14:textId="77777777" w:rsidR="0056064E" w:rsidRDefault="0056064E" w:rsidP="007B5D2B">
      <w:pPr>
        <w:spacing w:after="0" w:line="240" w:lineRule="auto"/>
      </w:pPr>
      <w:r>
        <w:separator/>
      </w:r>
    </w:p>
  </w:endnote>
  <w:endnote w:type="continuationSeparator" w:id="0">
    <w:p w14:paraId="4B5AABFE" w14:textId="77777777" w:rsidR="0056064E" w:rsidRDefault="0056064E" w:rsidP="007B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0238241"/>
      <w:docPartObj>
        <w:docPartGallery w:val="Page Numbers (Bottom of Page)"/>
        <w:docPartUnique/>
      </w:docPartObj>
    </w:sdtPr>
    <w:sdtContent>
      <w:p w14:paraId="17E67783" w14:textId="77777777" w:rsidR="0073166F" w:rsidRDefault="0073166F" w:rsidP="00325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839934" w14:textId="77777777" w:rsidR="0073166F" w:rsidRDefault="0073166F" w:rsidP="003258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0631555"/>
      <w:docPartObj>
        <w:docPartGallery w:val="Page Numbers (Bottom of Page)"/>
        <w:docPartUnique/>
      </w:docPartObj>
    </w:sdtPr>
    <w:sdtContent>
      <w:p w14:paraId="74BAADE1" w14:textId="77777777" w:rsidR="0073166F" w:rsidRDefault="0073166F" w:rsidP="003258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AD8CBF" w14:textId="77777777" w:rsidR="0073166F" w:rsidRDefault="007316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878634"/>
      <w:docPartObj>
        <w:docPartGallery w:val="Page Numbers (Bottom of Page)"/>
        <w:docPartUnique/>
      </w:docPartObj>
    </w:sdtPr>
    <w:sdtContent>
      <w:p w14:paraId="3C4ED8A9" w14:textId="1B5B4049" w:rsidR="002C3C2D" w:rsidRDefault="002C3C2D">
        <w:pPr>
          <w:pStyle w:val="Footer"/>
          <w:jc w:val="center"/>
        </w:pPr>
        <w:r>
          <w:fldChar w:fldCharType="begin"/>
        </w:r>
        <w:r>
          <w:instrText>PAGE   \* MERGEFORMAT</w:instrText>
        </w:r>
        <w:r>
          <w:fldChar w:fldCharType="separate"/>
        </w:r>
        <w:r>
          <w:t>2</w:t>
        </w:r>
        <w:r>
          <w:fldChar w:fldCharType="end"/>
        </w:r>
      </w:p>
    </w:sdtContent>
  </w:sdt>
  <w:p w14:paraId="5FA6A75C" w14:textId="77777777" w:rsidR="002C3C2D" w:rsidRDefault="002C3C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628764688"/>
      <w:docPartObj>
        <w:docPartGallery w:val="Page Numbers (Bottom of Page)"/>
        <w:docPartUnique/>
      </w:docPartObj>
    </w:sdtPr>
    <w:sdtContent>
      <w:p w14:paraId="137B35FD" w14:textId="27D1B688" w:rsidR="0073166F" w:rsidRPr="003258DF" w:rsidRDefault="0073166F" w:rsidP="003258DF">
        <w:pPr>
          <w:pStyle w:val="Footer"/>
          <w:framePr w:wrap="none" w:vAnchor="text" w:hAnchor="margin" w:xAlign="center" w:y="1"/>
          <w:rPr>
            <w:rStyle w:val="PageNumber"/>
            <w:rFonts w:ascii="Times New Roman" w:hAnsi="Times New Roman" w:cs="Times New Roman"/>
          </w:rPr>
        </w:pPr>
        <w:r w:rsidRPr="00963A1D">
          <w:rPr>
            <w:rStyle w:val="PageNumber"/>
            <w:rFonts w:ascii="Times New Roman" w:hAnsi="Times New Roman" w:cs="Times New Roman"/>
          </w:rPr>
          <w:fldChar w:fldCharType="begin"/>
        </w:r>
        <w:r w:rsidRPr="00963A1D">
          <w:rPr>
            <w:rStyle w:val="PageNumber"/>
            <w:rFonts w:ascii="Times New Roman" w:hAnsi="Times New Roman" w:cs="Times New Roman"/>
          </w:rPr>
          <w:instrText xml:space="preserve"> PAGE </w:instrText>
        </w:r>
        <w:r w:rsidRPr="00963A1D">
          <w:rPr>
            <w:rStyle w:val="PageNumber"/>
            <w:rFonts w:ascii="Times New Roman" w:hAnsi="Times New Roman" w:cs="Times New Roman"/>
          </w:rPr>
          <w:fldChar w:fldCharType="separate"/>
        </w:r>
        <w:r w:rsidRPr="00963A1D">
          <w:rPr>
            <w:rStyle w:val="PageNumber"/>
            <w:rFonts w:ascii="Times New Roman" w:hAnsi="Times New Roman" w:cs="Times New Roman"/>
            <w:noProof/>
          </w:rPr>
          <w:t>24</w:t>
        </w:r>
        <w:r w:rsidRPr="00963A1D">
          <w:rPr>
            <w:rStyle w:val="PageNumber"/>
            <w:rFonts w:ascii="Times New Roman" w:hAnsi="Times New Roman" w:cs="Times New Roman"/>
          </w:rPr>
          <w:fldChar w:fldCharType="end"/>
        </w:r>
      </w:p>
    </w:sdtContent>
  </w:sdt>
  <w:p w14:paraId="70CAD6DE" w14:textId="7B12F5BD" w:rsidR="0073166F" w:rsidRDefault="0073166F" w:rsidP="003258DF">
    <w:pPr>
      <w:pStyle w:val="Footer"/>
      <w:ind w:right="360"/>
    </w:pPr>
  </w:p>
  <w:p w14:paraId="5C02968F" w14:textId="77777777" w:rsidR="0073166F" w:rsidRDefault="00731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E5320" w14:textId="77777777" w:rsidR="0056064E" w:rsidRDefault="0056064E" w:rsidP="007B5D2B">
      <w:pPr>
        <w:spacing w:after="0" w:line="240" w:lineRule="auto"/>
      </w:pPr>
      <w:r>
        <w:separator/>
      </w:r>
    </w:p>
  </w:footnote>
  <w:footnote w:type="continuationSeparator" w:id="0">
    <w:p w14:paraId="7320DCA7" w14:textId="77777777" w:rsidR="0056064E" w:rsidRDefault="0056064E" w:rsidP="007B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FB09B" w14:paraId="7739A5CA" w14:textId="77777777" w:rsidTr="00D52B6A">
      <w:trPr>
        <w:trHeight w:val="300"/>
      </w:trPr>
      <w:tc>
        <w:tcPr>
          <w:tcW w:w="3005" w:type="dxa"/>
        </w:tcPr>
        <w:p w14:paraId="3D9F96F0" w14:textId="573073AD" w:rsidR="3D9FB09B" w:rsidRDefault="3D9FB09B" w:rsidP="00D52B6A">
          <w:pPr>
            <w:pStyle w:val="Header"/>
            <w:ind w:left="-115"/>
          </w:pPr>
        </w:p>
      </w:tc>
      <w:tc>
        <w:tcPr>
          <w:tcW w:w="3005" w:type="dxa"/>
        </w:tcPr>
        <w:p w14:paraId="6B831648" w14:textId="6B3D2A7A" w:rsidR="3D9FB09B" w:rsidRDefault="3D9FB09B" w:rsidP="00D52B6A">
          <w:pPr>
            <w:pStyle w:val="Header"/>
            <w:jc w:val="center"/>
          </w:pPr>
        </w:p>
      </w:tc>
      <w:tc>
        <w:tcPr>
          <w:tcW w:w="3005" w:type="dxa"/>
        </w:tcPr>
        <w:p w14:paraId="090CA6DD" w14:textId="61B5378E" w:rsidR="3D9FB09B" w:rsidRDefault="3D9FB09B" w:rsidP="00D52B6A">
          <w:pPr>
            <w:pStyle w:val="Header"/>
            <w:ind w:right="-115"/>
            <w:jc w:val="right"/>
          </w:pPr>
        </w:p>
      </w:tc>
    </w:tr>
  </w:tbl>
  <w:p w14:paraId="0F9F21CE" w14:textId="0AA35545" w:rsidR="3D9FB09B" w:rsidRDefault="3D9FB09B" w:rsidP="00D52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2A02" w14:textId="10A2EA18" w:rsidR="00D84EFA" w:rsidRDefault="00D84EFA">
    <w:pPr>
      <w:pStyle w:val="Header"/>
    </w:pPr>
    <w:r>
      <w:t xml:space="preserve">Accepted for publication in </w:t>
    </w:r>
    <w:r w:rsidRPr="00D84EFA">
      <w:rPr>
        <w:i/>
        <w:iCs/>
      </w:rPr>
      <w:t>Physiological Reports</w:t>
    </w:r>
    <w:r>
      <w:t>, 29</w:t>
    </w:r>
    <w:r w:rsidRPr="00D84EFA">
      <w:rPr>
        <w:vertAlign w:val="superscript"/>
      </w:rPr>
      <w:t>th</w:t>
    </w:r>
    <w:r>
      <w:t xml:space="preserve"> July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FB09B" w14:paraId="468B9918" w14:textId="77777777" w:rsidTr="00D52B6A">
      <w:trPr>
        <w:trHeight w:val="300"/>
      </w:trPr>
      <w:tc>
        <w:tcPr>
          <w:tcW w:w="3005" w:type="dxa"/>
        </w:tcPr>
        <w:p w14:paraId="1A03B2B1" w14:textId="50522DEB" w:rsidR="3D9FB09B" w:rsidRDefault="3D9FB09B" w:rsidP="00D52B6A">
          <w:pPr>
            <w:pStyle w:val="Header"/>
            <w:ind w:left="-115"/>
          </w:pPr>
        </w:p>
      </w:tc>
      <w:tc>
        <w:tcPr>
          <w:tcW w:w="3005" w:type="dxa"/>
        </w:tcPr>
        <w:p w14:paraId="5C6DA9E6" w14:textId="29A4589A" w:rsidR="3D9FB09B" w:rsidRDefault="3D9FB09B" w:rsidP="00D52B6A">
          <w:pPr>
            <w:pStyle w:val="Header"/>
            <w:jc w:val="center"/>
          </w:pPr>
        </w:p>
      </w:tc>
      <w:tc>
        <w:tcPr>
          <w:tcW w:w="3005" w:type="dxa"/>
        </w:tcPr>
        <w:p w14:paraId="69FEF5B0" w14:textId="4B2BCF7E" w:rsidR="3D9FB09B" w:rsidRDefault="3D9FB09B" w:rsidP="00D52B6A">
          <w:pPr>
            <w:pStyle w:val="Header"/>
            <w:ind w:right="-115"/>
            <w:jc w:val="right"/>
          </w:pPr>
        </w:p>
      </w:tc>
    </w:tr>
  </w:tbl>
  <w:p w14:paraId="08F16801" w14:textId="57886974" w:rsidR="3D9FB09B" w:rsidRDefault="3D9FB09B" w:rsidP="00D52B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FB09B" w14:paraId="0B1B4D8B" w14:textId="77777777" w:rsidTr="00D52B6A">
      <w:trPr>
        <w:trHeight w:val="300"/>
      </w:trPr>
      <w:tc>
        <w:tcPr>
          <w:tcW w:w="3005" w:type="dxa"/>
        </w:tcPr>
        <w:p w14:paraId="5C833C65" w14:textId="1C4F831E" w:rsidR="3D9FB09B" w:rsidRDefault="3D9FB09B" w:rsidP="00D52B6A">
          <w:pPr>
            <w:pStyle w:val="Header"/>
            <w:ind w:left="-115"/>
          </w:pPr>
        </w:p>
      </w:tc>
      <w:tc>
        <w:tcPr>
          <w:tcW w:w="3005" w:type="dxa"/>
        </w:tcPr>
        <w:p w14:paraId="20E4DEB4" w14:textId="7D0CA852" w:rsidR="3D9FB09B" w:rsidRDefault="3D9FB09B" w:rsidP="00D52B6A">
          <w:pPr>
            <w:pStyle w:val="Header"/>
            <w:jc w:val="center"/>
          </w:pPr>
        </w:p>
      </w:tc>
      <w:tc>
        <w:tcPr>
          <w:tcW w:w="3005" w:type="dxa"/>
        </w:tcPr>
        <w:p w14:paraId="5024D3C7" w14:textId="4DA1E577" w:rsidR="3D9FB09B" w:rsidRDefault="3D9FB09B" w:rsidP="00D52B6A">
          <w:pPr>
            <w:pStyle w:val="Header"/>
            <w:ind w:right="-115"/>
            <w:jc w:val="right"/>
          </w:pPr>
        </w:p>
      </w:tc>
    </w:tr>
  </w:tbl>
  <w:p w14:paraId="40FA6A54" w14:textId="3C407944" w:rsidR="3D9FB09B" w:rsidRDefault="3D9FB09B" w:rsidP="00D52B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FB09B" w14:paraId="4C5024B6" w14:textId="77777777" w:rsidTr="00D52B6A">
      <w:trPr>
        <w:trHeight w:val="300"/>
      </w:trPr>
      <w:tc>
        <w:tcPr>
          <w:tcW w:w="3005" w:type="dxa"/>
        </w:tcPr>
        <w:p w14:paraId="6E6D3AD0" w14:textId="745882B4" w:rsidR="3D9FB09B" w:rsidRDefault="3D9FB09B" w:rsidP="00D52B6A">
          <w:pPr>
            <w:pStyle w:val="Header"/>
            <w:ind w:left="-115"/>
          </w:pPr>
        </w:p>
      </w:tc>
      <w:tc>
        <w:tcPr>
          <w:tcW w:w="3005" w:type="dxa"/>
        </w:tcPr>
        <w:p w14:paraId="2EE08F1B" w14:textId="7E570900" w:rsidR="3D9FB09B" w:rsidRDefault="3D9FB09B" w:rsidP="00D52B6A">
          <w:pPr>
            <w:pStyle w:val="Header"/>
            <w:jc w:val="center"/>
          </w:pPr>
        </w:p>
      </w:tc>
      <w:tc>
        <w:tcPr>
          <w:tcW w:w="3005" w:type="dxa"/>
        </w:tcPr>
        <w:p w14:paraId="6A92D0DF" w14:textId="1DC04C46" w:rsidR="3D9FB09B" w:rsidRDefault="3D9FB09B" w:rsidP="00D52B6A">
          <w:pPr>
            <w:pStyle w:val="Header"/>
            <w:ind w:right="-115"/>
            <w:jc w:val="right"/>
          </w:pPr>
        </w:p>
      </w:tc>
    </w:tr>
  </w:tbl>
  <w:p w14:paraId="1DF87B5C" w14:textId="6B50D0EA" w:rsidR="3D9FB09B" w:rsidRDefault="3D9FB09B" w:rsidP="00D52B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FB09B" w14:paraId="2140CCCD" w14:textId="77777777" w:rsidTr="00D52B6A">
      <w:trPr>
        <w:trHeight w:val="300"/>
      </w:trPr>
      <w:tc>
        <w:tcPr>
          <w:tcW w:w="3005" w:type="dxa"/>
        </w:tcPr>
        <w:p w14:paraId="43E7DEF3" w14:textId="3A06956F" w:rsidR="3D9FB09B" w:rsidRDefault="3D9FB09B" w:rsidP="00D52B6A">
          <w:pPr>
            <w:pStyle w:val="Header"/>
            <w:ind w:left="-115"/>
          </w:pPr>
        </w:p>
      </w:tc>
      <w:tc>
        <w:tcPr>
          <w:tcW w:w="3005" w:type="dxa"/>
        </w:tcPr>
        <w:p w14:paraId="7F192500" w14:textId="78DE3088" w:rsidR="3D9FB09B" w:rsidRDefault="3D9FB09B" w:rsidP="00D52B6A">
          <w:pPr>
            <w:pStyle w:val="Header"/>
            <w:jc w:val="center"/>
          </w:pPr>
        </w:p>
      </w:tc>
      <w:tc>
        <w:tcPr>
          <w:tcW w:w="3005" w:type="dxa"/>
        </w:tcPr>
        <w:p w14:paraId="3D233354" w14:textId="3C3F08DA" w:rsidR="3D9FB09B" w:rsidRDefault="3D9FB09B" w:rsidP="00D52B6A">
          <w:pPr>
            <w:pStyle w:val="Header"/>
            <w:ind w:right="-115"/>
            <w:jc w:val="right"/>
          </w:pPr>
        </w:p>
      </w:tc>
    </w:tr>
  </w:tbl>
  <w:p w14:paraId="47787D9D" w14:textId="0AB13718" w:rsidR="3D9FB09B" w:rsidRDefault="3D9FB09B" w:rsidP="00D52B6A">
    <w:pPr>
      <w:pStyle w:val="Header"/>
    </w:pPr>
  </w:p>
</w:hdr>
</file>

<file path=word/intelligence2.xml><?xml version="1.0" encoding="utf-8"?>
<int2:intelligence xmlns:int2="http://schemas.microsoft.com/office/intelligence/2020/intelligence" xmlns:oel="http://schemas.microsoft.com/office/2019/extlst">
  <int2:observations>
    <int2:textHash int2:hashCode="8BgZUxGzx5PAD/" int2:id="YutoOBv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2093B"/>
    <w:multiLevelType w:val="hybridMultilevel"/>
    <w:tmpl w:val="D714D502"/>
    <w:lvl w:ilvl="0" w:tplc="27F64C0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D263D2"/>
    <w:multiLevelType w:val="hybridMultilevel"/>
    <w:tmpl w:val="C0307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5793782">
    <w:abstractNumId w:val="1"/>
  </w:num>
  <w:num w:numId="2" w16cid:durableId="81522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961"/>
    <w:rsid w:val="00000744"/>
    <w:rsid w:val="000025BA"/>
    <w:rsid w:val="00002883"/>
    <w:rsid w:val="00002ACD"/>
    <w:rsid w:val="00005B70"/>
    <w:rsid w:val="00010A4D"/>
    <w:rsid w:val="0001118A"/>
    <w:rsid w:val="00011B41"/>
    <w:rsid w:val="00011FB5"/>
    <w:rsid w:val="00014DA9"/>
    <w:rsid w:val="0001524D"/>
    <w:rsid w:val="000168ED"/>
    <w:rsid w:val="000218D5"/>
    <w:rsid w:val="00021C09"/>
    <w:rsid w:val="00023CC5"/>
    <w:rsid w:val="00024981"/>
    <w:rsid w:val="00024E39"/>
    <w:rsid w:val="000260B7"/>
    <w:rsid w:val="00026831"/>
    <w:rsid w:val="00027419"/>
    <w:rsid w:val="0003188B"/>
    <w:rsid w:val="0003257F"/>
    <w:rsid w:val="00033A32"/>
    <w:rsid w:val="0003436A"/>
    <w:rsid w:val="00037899"/>
    <w:rsid w:val="00037DC7"/>
    <w:rsid w:val="00040905"/>
    <w:rsid w:val="00040AA2"/>
    <w:rsid w:val="00041B4B"/>
    <w:rsid w:val="000424BF"/>
    <w:rsid w:val="000424FB"/>
    <w:rsid w:val="00043494"/>
    <w:rsid w:val="00045EB5"/>
    <w:rsid w:val="00047BAB"/>
    <w:rsid w:val="000547C9"/>
    <w:rsid w:val="000551DB"/>
    <w:rsid w:val="00056639"/>
    <w:rsid w:val="00057775"/>
    <w:rsid w:val="000578E3"/>
    <w:rsid w:val="000621AE"/>
    <w:rsid w:val="00062F5E"/>
    <w:rsid w:val="00063C52"/>
    <w:rsid w:val="00065317"/>
    <w:rsid w:val="000666B3"/>
    <w:rsid w:val="00066879"/>
    <w:rsid w:val="00066971"/>
    <w:rsid w:val="000678AF"/>
    <w:rsid w:val="00071FB4"/>
    <w:rsid w:val="0007281A"/>
    <w:rsid w:val="00072FC4"/>
    <w:rsid w:val="0007388F"/>
    <w:rsid w:val="00075DA4"/>
    <w:rsid w:val="00076C3C"/>
    <w:rsid w:val="000776AE"/>
    <w:rsid w:val="0008045C"/>
    <w:rsid w:val="0008069E"/>
    <w:rsid w:val="00080840"/>
    <w:rsid w:val="00080943"/>
    <w:rsid w:val="000822FE"/>
    <w:rsid w:val="000824E1"/>
    <w:rsid w:val="00083D28"/>
    <w:rsid w:val="00084233"/>
    <w:rsid w:val="00085B95"/>
    <w:rsid w:val="00087774"/>
    <w:rsid w:val="00091439"/>
    <w:rsid w:val="00091C1E"/>
    <w:rsid w:val="00092AB6"/>
    <w:rsid w:val="000930AD"/>
    <w:rsid w:val="00093F15"/>
    <w:rsid w:val="00093F58"/>
    <w:rsid w:val="000964F1"/>
    <w:rsid w:val="00097101"/>
    <w:rsid w:val="0009752E"/>
    <w:rsid w:val="000A07E5"/>
    <w:rsid w:val="000A0F2E"/>
    <w:rsid w:val="000A213E"/>
    <w:rsid w:val="000A22EA"/>
    <w:rsid w:val="000A388C"/>
    <w:rsid w:val="000A3A79"/>
    <w:rsid w:val="000A4210"/>
    <w:rsid w:val="000A5CA8"/>
    <w:rsid w:val="000A606D"/>
    <w:rsid w:val="000A6D3B"/>
    <w:rsid w:val="000B0876"/>
    <w:rsid w:val="000B0C05"/>
    <w:rsid w:val="000B1624"/>
    <w:rsid w:val="000B2BFA"/>
    <w:rsid w:val="000B2FB7"/>
    <w:rsid w:val="000B2FC8"/>
    <w:rsid w:val="000B4E10"/>
    <w:rsid w:val="000B5F63"/>
    <w:rsid w:val="000B6957"/>
    <w:rsid w:val="000C04C9"/>
    <w:rsid w:val="000C1870"/>
    <w:rsid w:val="000C1881"/>
    <w:rsid w:val="000C4F31"/>
    <w:rsid w:val="000C5720"/>
    <w:rsid w:val="000C6501"/>
    <w:rsid w:val="000D0D0A"/>
    <w:rsid w:val="000D1883"/>
    <w:rsid w:val="000D1D6A"/>
    <w:rsid w:val="000D3823"/>
    <w:rsid w:val="000D4590"/>
    <w:rsid w:val="000D4CD2"/>
    <w:rsid w:val="000D5CDD"/>
    <w:rsid w:val="000D5DFB"/>
    <w:rsid w:val="000D6801"/>
    <w:rsid w:val="000D7727"/>
    <w:rsid w:val="000E07EF"/>
    <w:rsid w:val="000E1AD0"/>
    <w:rsid w:val="000E21B2"/>
    <w:rsid w:val="000E21C7"/>
    <w:rsid w:val="000E2CF2"/>
    <w:rsid w:val="000E3E40"/>
    <w:rsid w:val="000E5A9E"/>
    <w:rsid w:val="000E5DE4"/>
    <w:rsid w:val="000E6A24"/>
    <w:rsid w:val="000F39AA"/>
    <w:rsid w:val="000F4B6C"/>
    <w:rsid w:val="000F4CF2"/>
    <w:rsid w:val="000F5285"/>
    <w:rsid w:val="000F5798"/>
    <w:rsid w:val="000F61B3"/>
    <w:rsid w:val="0010054F"/>
    <w:rsid w:val="001007D6"/>
    <w:rsid w:val="001011FE"/>
    <w:rsid w:val="0010153D"/>
    <w:rsid w:val="00102F93"/>
    <w:rsid w:val="0010582F"/>
    <w:rsid w:val="00105E02"/>
    <w:rsid w:val="00110A1D"/>
    <w:rsid w:val="00110A6A"/>
    <w:rsid w:val="00110B52"/>
    <w:rsid w:val="00111264"/>
    <w:rsid w:val="00111807"/>
    <w:rsid w:val="00112961"/>
    <w:rsid w:val="001132F6"/>
    <w:rsid w:val="00114877"/>
    <w:rsid w:val="00115664"/>
    <w:rsid w:val="00115ACC"/>
    <w:rsid w:val="001179DA"/>
    <w:rsid w:val="001205C6"/>
    <w:rsid w:val="0012120B"/>
    <w:rsid w:val="001222BF"/>
    <w:rsid w:val="00124B3F"/>
    <w:rsid w:val="00127972"/>
    <w:rsid w:val="00127A7A"/>
    <w:rsid w:val="00130AC1"/>
    <w:rsid w:val="00131F4D"/>
    <w:rsid w:val="001321D4"/>
    <w:rsid w:val="00132484"/>
    <w:rsid w:val="001325F3"/>
    <w:rsid w:val="00133E37"/>
    <w:rsid w:val="00134525"/>
    <w:rsid w:val="00134A06"/>
    <w:rsid w:val="00136DAF"/>
    <w:rsid w:val="00137DFA"/>
    <w:rsid w:val="00141522"/>
    <w:rsid w:val="00141B19"/>
    <w:rsid w:val="00141FCD"/>
    <w:rsid w:val="0014204F"/>
    <w:rsid w:val="00143293"/>
    <w:rsid w:val="00143C3C"/>
    <w:rsid w:val="00146B3C"/>
    <w:rsid w:val="00147606"/>
    <w:rsid w:val="00147D3D"/>
    <w:rsid w:val="00147E1A"/>
    <w:rsid w:val="0015220F"/>
    <w:rsid w:val="00154A7E"/>
    <w:rsid w:val="00154EA4"/>
    <w:rsid w:val="001556D2"/>
    <w:rsid w:val="00156D5C"/>
    <w:rsid w:val="0015794F"/>
    <w:rsid w:val="00157DAC"/>
    <w:rsid w:val="00160CEF"/>
    <w:rsid w:val="0016303B"/>
    <w:rsid w:val="001713CC"/>
    <w:rsid w:val="00176B8C"/>
    <w:rsid w:val="0017763D"/>
    <w:rsid w:val="0018196B"/>
    <w:rsid w:val="00181E17"/>
    <w:rsid w:val="00182488"/>
    <w:rsid w:val="00183FC0"/>
    <w:rsid w:val="00184DE9"/>
    <w:rsid w:val="00186BF6"/>
    <w:rsid w:val="0018754A"/>
    <w:rsid w:val="001900F5"/>
    <w:rsid w:val="00190406"/>
    <w:rsid w:val="001909D5"/>
    <w:rsid w:val="00191624"/>
    <w:rsid w:val="00192BFE"/>
    <w:rsid w:val="00195853"/>
    <w:rsid w:val="00195A73"/>
    <w:rsid w:val="00195B39"/>
    <w:rsid w:val="00195C80"/>
    <w:rsid w:val="0019699F"/>
    <w:rsid w:val="00197CA2"/>
    <w:rsid w:val="001A26D0"/>
    <w:rsid w:val="001A6A81"/>
    <w:rsid w:val="001B04C9"/>
    <w:rsid w:val="001B191C"/>
    <w:rsid w:val="001B6817"/>
    <w:rsid w:val="001C1123"/>
    <w:rsid w:val="001C15A0"/>
    <w:rsid w:val="001C1EB7"/>
    <w:rsid w:val="001C28EA"/>
    <w:rsid w:val="001C3BCD"/>
    <w:rsid w:val="001C43CA"/>
    <w:rsid w:val="001C6247"/>
    <w:rsid w:val="001C7F5F"/>
    <w:rsid w:val="001D099A"/>
    <w:rsid w:val="001D22E0"/>
    <w:rsid w:val="001D2989"/>
    <w:rsid w:val="001D42B9"/>
    <w:rsid w:val="001D445B"/>
    <w:rsid w:val="001D52DD"/>
    <w:rsid w:val="001D6E1B"/>
    <w:rsid w:val="001D74E9"/>
    <w:rsid w:val="001E007F"/>
    <w:rsid w:val="001E026E"/>
    <w:rsid w:val="001E0B95"/>
    <w:rsid w:val="001E32EA"/>
    <w:rsid w:val="001E398A"/>
    <w:rsid w:val="001E3FD4"/>
    <w:rsid w:val="001E61DC"/>
    <w:rsid w:val="001E6650"/>
    <w:rsid w:val="001E756C"/>
    <w:rsid w:val="001F02BF"/>
    <w:rsid w:val="001F1846"/>
    <w:rsid w:val="001F2356"/>
    <w:rsid w:val="001F2383"/>
    <w:rsid w:val="001F4D4C"/>
    <w:rsid w:val="001F4FD0"/>
    <w:rsid w:val="001F572D"/>
    <w:rsid w:val="001F5CB5"/>
    <w:rsid w:val="001F684F"/>
    <w:rsid w:val="001F6885"/>
    <w:rsid w:val="001F7B7D"/>
    <w:rsid w:val="001F7E2D"/>
    <w:rsid w:val="002005E2"/>
    <w:rsid w:val="00200914"/>
    <w:rsid w:val="00203157"/>
    <w:rsid w:val="00203A52"/>
    <w:rsid w:val="00203E0D"/>
    <w:rsid w:val="002042EE"/>
    <w:rsid w:val="00204665"/>
    <w:rsid w:val="00204ADB"/>
    <w:rsid w:val="00207693"/>
    <w:rsid w:val="00210E72"/>
    <w:rsid w:val="00213B20"/>
    <w:rsid w:val="00213D0C"/>
    <w:rsid w:val="0021457A"/>
    <w:rsid w:val="002176A3"/>
    <w:rsid w:val="00220658"/>
    <w:rsid w:val="00223701"/>
    <w:rsid w:val="00223756"/>
    <w:rsid w:val="002274B3"/>
    <w:rsid w:val="00227D42"/>
    <w:rsid w:val="00227DDB"/>
    <w:rsid w:val="002305D3"/>
    <w:rsid w:val="00230BBB"/>
    <w:rsid w:val="00230BE9"/>
    <w:rsid w:val="002310A5"/>
    <w:rsid w:val="00232238"/>
    <w:rsid w:val="002358BF"/>
    <w:rsid w:val="002358D9"/>
    <w:rsid w:val="00236A72"/>
    <w:rsid w:val="0023771D"/>
    <w:rsid w:val="00237BE2"/>
    <w:rsid w:val="00241B1B"/>
    <w:rsid w:val="002428FD"/>
    <w:rsid w:val="00243459"/>
    <w:rsid w:val="00244476"/>
    <w:rsid w:val="00245A2E"/>
    <w:rsid w:val="00246028"/>
    <w:rsid w:val="002460EA"/>
    <w:rsid w:val="0024641A"/>
    <w:rsid w:val="00246DCB"/>
    <w:rsid w:val="00247004"/>
    <w:rsid w:val="002520D0"/>
    <w:rsid w:val="002521FE"/>
    <w:rsid w:val="0025277D"/>
    <w:rsid w:val="00253626"/>
    <w:rsid w:val="002557ED"/>
    <w:rsid w:val="00256902"/>
    <w:rsid w:val="00256F7E"/>
    <w:rsid w:val="00260F93"/>
    <w:rsid w:val="00262D44"/>
    <w:rsid w:val="0026353E"/>
    <w:rsid w:val="0026422A"/>
    <w:rsid w:val="00266CFC"/>
    <w:rsid w:val="00267AB9"/>
    <w:rsid w:val="00270864"/>
    <w:rsid w:val="00270AD8"/>
    <w:rsid w:val="0027428C"/>
    <w:rsid w:val="002746A3"/>
    <w:rsid w:val="00275B40"/>
    <w:rsid w:val="00276315"/>
    <w:rsid w:val="00276B58"/>
    <w:rsid w:val="00276DE0"/>
    <w:rsid w:val="0028207E"/>
    <w:rsid w:val="00282F8C"/>
    <w:rsid w:val="00283D26"/>
    <w:rsid w:val="00285F85"/>
    <w:rsid w:val="002868EA"/>
    <w:rsid w:val="00286D29"/>
    <w:rsid w:val="00292053"/>
    <w:rsid w:val="002971BB"/>
    <w:rsid w:val="00297E58"/>
    <w:rsid w:val="002A023F"/>
    <w:rsid w:val="002A1B4D"/>
    <w:rsid w:val="002A566C"/>
    <w:rsid w:val="002A696A"/>
    <w:rsid w:val="002A6BF8"/>
    <w:rsid w:val="002A738A"/>
    <w:rsid w:val="002A74AD"/>
    <w:rsid w:val="002A7648"/>
    <w:rsid w:val="002A7750"/>
    <w:rsid w:val="002B004B"/>
    <w:rsid w:val="002B16E3"/>
    <w:rsid w:val="002B26BD"/>
    <w:rsid w:val="002B28B8"/>
    <w:rsid w:val="002B2A1A"/>
    <w:rsid w:val="002B378D"/>
    <w:rsid w:val="002B42AA"/>
    <w:rsid w:val="002B73EF"/>
    <w:rsid w:val="002C0A37"/>
    <w:rsid w:val="002C2907"/>
    <w:rsid w:val="002C2F38"/>
    <w:rsid w:val="002C3646"/>
    <w:rsid w:val="002C3AC4"/>
    <w:rsid w:val="002C3B3E"/>
    <w:rsid w:val="002C3C2D"/>
    <w:rsid w:val="002C3F41"/>
    <w:rsid w:val="002C730D"/>
    <w:rsid w:val="002C75B5"/>
    <w:rsid w:val="002C79C2"/>
    <w:rsid w:val="002D1B7C"/>
    <w:rsid w:val="002D1D3A"/>
    <w:rsid w:val="002D2FFC"/>
    <w:rsid w:val="002D4924"/>
    <w:rsid w:val="002D4EBC"/>
    <w:rsid w:val="002D6254"/>
    <w:rsid w:val="002D695E"/>
    <w:rsid w:val="002E010B"/>
    <w:rsid w:val="002E0349"/>
    <w:rsid w:val="002E3EBD"/>
    <w:rsid w:val="002E464F"/>
    <w:rsid w:val="002E7243"/>
    <w:rsid w:val="002E74BE"/>
    <w:rsid w:val="002F0025"/>
    <w:rsid w:val="002F2994"/>
    <w:rsid w:val="002F38DE"/>
    <w:rsid w:val="002F48DD"/>
    <w:rsid w:val="002F4F50"/>
    <w:rsid w:val="002F62F7"/>
    <w:rsid w:val="002F7908"/>
    <w:rsid w:val="002F7F8E"/>
    <w:rsid w:val="00300C59"/>
    <w:rsid w:val="0030233B"/>
    <w:rsid w:val="003047A8"/>
    <w:rsid w:val="00304EB1"/>
    <w:rsid w:val="00304FC0"/>
    <w:rsid w:val="00305175"/>
    <w:rsid w:val="00305556"/>
    <w:rsid w:val="00306A77"/>
    <w:rsid w:val="00310055"/>
    <w:rsid w:val="003100B5"/>
    <w:rsid w:val="00312E0D"/>
    <w:rsid w:val="003133B5"/>
    <w:rsid w:val="0031437A"/>
    <w:rsid w:val="003146F2"/>
    <w:rsid w:val="00315638"/>
    <w:rsid w:val="0031585C"/>
    <w:rsid w:val="0031604D"/>
    <w:rsid w:val="003171F5"/>
    <w:rsid w:val="00320C22"/>
    <w:rsid w:val="003217F2"/>
    <w:rsid w:val="0032183C"/>
    <w:rsid w:val="0032387F"/>
    <w:rsid w:val="00324461"/>
    <w:rsid w:val="003258DF"/>
    <w:rsid w:val="00327A8B"/>
    <w:rsid w:val="00330176"/>
    <w:rsid w:val="003303C5"/>
    <w:rsid w:val="00334153"/>
    <w:rsid w:val="0033467F"/>
    <w:rsid w:val="003348A5"/>
    <w:rsid w:val="003349C1"/>
    <w:rsid w:val="00335B10"/>
    <w:rsid w:val="00340B43"/>
    <w:rsid w:val="00341DF6"/>
    <w:rsid w:val="00341EA8"/>
    <w:rsid w:val="00342CDD"/>
    <w:rsid w:val="00342FF7"/>
    <w:rsid w:val="003455AA"/>
    <w:rsid w:val="0034675D"/>
    <w:rsid w:val="003508AF"/>
    <w:rsid w:val="00352095"/>
    <w:rsid w:val="00352C1E"/>
    <w:rsid w:val="00353C0C"/>
    <w:rsid w:val="00353FED"/>
    <w:rsid w:val="003549E9"/>
    <w:rsid w:val="003553F5"/>
    <w:rsid w:val="00355CBC"/>
    <w:rsid w:val="00355FF5"/>
    <w:rsid w:val="00357BE0"/>
    <w:rsid w:val="003604D7"/>
    <w:rsid w:val="00362171"/>
    <w:rsid w:val="00363D47"/>
    <w:rsid w:val="00364DCD"/>
    <w:rsid w:val="00364E72"/>
    <w:rsid w:val="0037026C"/>
    <w:rsid w:val="00370372"/>
    <w:rsid w:val="00372BE8"/>
    <w:rsid w:val="0037560D"/>
    <w:rsid w:val="00377450"/>
    <w:rsid w:val="00377F45"/>
    <w:rsid w:val="00381D2F"/>
    <w:rsid w:val="0038377D"/>
    <w:rsid w:val="00383C90"/>
    <w:rsid w:val="00383CF7"/>
    <w:rsid w:val="00384AE2"/>
    <w:rsid w:val="0038617B"/>
    <w:rsid w:val="0039015A"/>
    <w:rsid w:val="003912A2"/>
    <w:rsid w:val="00391A41"/>
    <w:rsid w:val="00392497"/>
    <w:rsid w:val="00395CE4"/>
    <w:rsid w:val="003976BF"/>
    <w:rsid w:val="003A3BF4"/>
    <w:rsid w:val="003A54FD"/>
    <w:rsid w:val="003A5576"/>
    <w:rsid w:val="003A5F99"/>
    <w:rsid w:val="003B00B2"/>
    <w:rsid w:val="003B0BB1"/>
    <w:rsid w:val="003B0F49"/>
    <w:rsid w:val="003B1F35"/>
    <w:rsid w:val="003B2FC6"/>
    <w:rsid w:val="003B3509"/>
    <w:rsid w:val="003B385E"/>
    <w:rsid w:val="003B4F0A"/>
    <w:rsid w:val="003B745D"/>
    <w:rsid w:val="003B78B9"/>
    <w:rsid w:val="003C13C2"/>
    <w:rsid w:val="003C20E1"/>
    <w:rsid w:val="003C2541"/>
    <w:rsid w:val="003C2B03"/>
    <w:rsid w:val="003C3113"/>
    <w:rsid w:val="003C447A"/>
    <w:rsid w:val="003C4F09"/>
    <w:rsid w:val="003C634F"/>
    <w:rsid w:val="003D0930"/>
    <w:rsid w:val="003D2003"/>
    <w:rsid w:val="003D3FCC"/>
    <w:rsid w:val="003D4CAA"/>
    <w:rsid w:val="003D5BC9"/>
    <w:rsid w:val="003D7D58"/>
    <w:rsid w:val="003E2B55"/>
    <w:rsid w:val="003E6186"/>
    <w:rsid w:val="003E724C"/>
    <w:rsid w:val="003E7721"/>
    <w:rsid w:val="003E7FDB"/>
    <w:rsid w:val="003F089F"/>
    <w:rsid w:val="003F4BFD"/>
    <w:rsid w:val="003F5EFB"/>
    <w:rsid w:val="003F6BEF"/>
    <w:rsid w:val="003F6D5D"/>
    <w:rsid w:val="003F7853"/>
    <w:rsid w:val="00400DEA"/>
    <w:rsid w:val="00401C12"/>
    <w:rsid w:val="00404175"/>
    <w:rsid w:val="004063CE"/>
    <w:rsid w:val="00407AD2"/>
    <w:rsid w:val="004110A2"/>
    <w:rsid w:val="00411367"/>
    <w:rsid w:val="00411388"/>
    <w:rsid w:val="00413970"/>
    <w:rsid w:val="004141AD"/>
    <w:rsid w:val="004141F2"/>
    <w:rsid w:val="00414275"/>
    <w:rsid w:val="004149EF"/>
    <w:rsid w:val="00416B89"/>
    <w:rsid w:val="00417604"/>
    <w:rsid w:val="00417C0C"/>
    <w:rsid w:val="0042245C"/>
    <w:rsid w:val="00425A0D"/>
    <w:rsid w:val="00426CCC"/>
    <w:rsid w:val="00427072"/>
    <w:rsid w:val="00427968"/>
    <w:rsid w:val="0043053D"/>
    <w:rsid w:val="00431BF9"/>
    <w:rsid w:val="0043320E"/>
    <w:rsid w:val="004333EB"/>
    <w:rsid w:val="00434121"/>
    <w:rsid w:val="0043484E"/>
    <w:rsid w:val="00440E16"/>
    <w:rsid w:val="00443136"/>
    <w:rsid w:val="004433C8"/>
    <w:rsid w:val="00444E02"/>
    <w:rsid w:val="00445419"/>
    <w:rsid w:val="004462B5"/>
    <w:rsid w:val="0044641A"/>
    <w:rsid w:val="00447417"/>
    <w:rsid w:val="00452635"/>
    <w:rsid w:val="00452D22"/>
    <w:rsid w:val="00454872"/>
    <w:rsid w:val="0045684C"/>
    <w:rsid w:val="00456EE6"/>
    <w:rsid w:val="0046180D"/>
    <w:rsid w:val="00462B2D"/>
    <w:rsid w:val="00464625"/>
    <w:rsid w:val="00465193"/>
    <w:rsid w:val="0046623F"/>
    <w:rsid w:val="00466B4C"/>
    <w:rsid w:val="0047018C"/>
    <w:rsid w:val="00470319"/>
    <w:rsid w:val="00470668"/>
    <w:rsid w:val="00470A4E"/>
    <w:rsid w:val="00471FDE"/>
    <w:rsid w:val="00473D88"/>
    <w:rsid w:val="0047429C"/>
    <w:rsid w:val="004751D1"/>
    <w:rsid w:val="00476008"/>
    <w:rsid w:val="00476A88"/>
    <w:rsid w:val="00477059"/>
    <w:rsid w:val="00480530"/>
    <w:rsid w:val="004809C3"/>
    <w:rsid w:val="00481518"/>
    <w:rsid w:val="00482237"/>
    <w:rsid w:val="00482B27"/>
    <w:rsid w:val="004834DB"/>
    <w:rsid w:val="00484F10"/>
    <w:rsid w:val="00486000"/>
    <w:rsid w:val="00491A41"/>
    <w:rsid w:val="00493B90"/>
    <w:rsid w:val="004A0256"/>
    <w:rsid w:val="004A21CE"/>
    <w:rsid w:val="004A23DF"/>
    <w:rsid w:val="004A2FA1"/>
    <w:rsid w:val="004A3DC5"/>
    <w:rsid w:val="004A4768"/>
    <w:rsid w:val="004A4B7D"/>
    <w:rsid w:val="004A5052"/>
    <w:rsid w:val="004A648D"/>
    <w:rsid w:val="004A6A1D"/>
    <w:rsid w:val="004A741F"/>
    <w:rsid w:val="004B1EDA"/>
    <w:rsid w:val="004B2718"/>
    <w:rsid w:val="004B29C7"/>
    <w:rsid w:val="004B35C7"/>
    <w:rsid w:val="004B37F8"/>
    <w:rsid w:val="004B3E6B"/>
    <w:rsid w:val="004B5634"/>
    <w:rsid w:val="004B7B6C"/>
    <w:rsid w:val="004C2D15"/>
    <w:rsid w:val="004C35AB"/>
    <w:rsid w:val="004C375D"/>
    <w:rsid w:val="004C6927"/>
    <w:rsid w:val="004C7A53"/>
    <w:rsid w:val="004D0F61"/>
    <w:rsid w:val="004D2CEE"/>
    <w:rsid w:val="004D469D"/>
    <w:rsid w:val="004D5FF0"/>
    <w:rsid w:val="004E04CA"/>
    <w:rsid w:val="004E05B1"/>
    <w:rsid w:val="004E08CD"/>
    <w:rsid w:val="004E19A4"/>
    <w:rsid w:val="004E3A7A"/>
    <w:rsid w:val="004E41F9"/>
    <w:rsid w:val="004E7022"/>
    <w:rsid w:val="004F034C"/>
    <w:rsid w:val="004F09FB"/>
    <w:rsid w:val="004F0A89"/>
    <w:rsid w:val="004F0E7B"/>
    <w:rsid w:val="004F1DFD"/>
    <w:rsid w:val="004F2249"/>
    <w:rsid w:val="004F2593"/>
    <w:rsid w:val="004F34D8"/>
    <w:rsid w:val="004F442B"/>
    <w:rsid w:val="004F6E30"/>
    <w:rsid w:val="004F775A"/>
    <w:rsid w:val="004F7DE6"/>
    <w:rsid w:val="00500013"/>
    <w:rsid w:val="00500684"/>
    <w:rsid w:val="0050226C"/>
    <w:rsid w:val="00502DF6"/>
    <w:rsid w:val="00502E7F"/>
    <w:rsid w:val="00505BAB"/>
    <w:rsid w:val="00506094"/>
    <w:rsid w:val="00507648"/>
    <w:rsid w:val="0051005B"/>
    <w:rsid w:val="00510BAD"/>
    <w:rsid w:val="005118FC"/>
    <w:rsid w:val="00511DEF"/>
    <w:rsid w:val="00512DD1"/>
    <w:rsid w:val="00513785"/>
    <w:rsid w:val="00513B73"/>
    <w:rsid w:val="0051448C"/>
    <w:rsid w:val="005145F3"/>
    <w:rsid w:val="00515549"/>
    <w:rsid w:val="0051641C"/>
    <w:rsid w:val="00517B26"/>
    <w:rsid w:val="00520739"/>
    <w:rsid w:val="005220C7"/>
    <w:rsid w:val="0052348F"/>
    <w:rsid w:val="00523D89"/>
    <w:rsid w:val="00524D18"/>
    <w:rsid w:val="00525971"/>
    <w:rsid w:val="00531AEA"/>
    <w:rsid w:val="00534920"/>
    <w:rsid w:val="00540243"/>
    <w:rsid w:val="00542A2C"/>
    <w:rsid w:val="0054312A"/>
    <w:rsid w:val="0054355F"/>
    <w:rsid w:val="00543BA9"/>
    <w:rsid w:val="00543BE9"/>
    <w:rsid w:val="00544B0F"/>
    <w:rsid w:val="00545CA1"/>
    <w:rsid w:val="00545DC2"/>
    <w:rsid w:val="00547EA6"/>
    <w:rsid w:val="00556950"/>
    <w:rsid w:val="0055728A"/>
    <w:rsid w:val="00557419"/>
    <w:rsid w:val="005579B0"/>
    <w:rsid w:val="00557A19"/>
    <w:rsid w:val="0056064E"/>
    <w:rsid w:val="00561434"/>
    <w:rsid w:val="00562D85"/>
    <w:rsid w:val="005643CC"/>
    <w:rsid w:val="00565021"/>
    <w:rsid w:val="00565847"/>
    <w:rsid w:val="00566077"/>
    <w:rsid w:val="005670B3"/>
    <w:rsid w:val="00571EDD"/>
    <w:rsid w:val="00572F62"/>
    <w:rsid w:val="005742ED"/>
    <w:rsid w:val="00575833"/>
    <w:rsid w:val="005760F0"/>
    <w:rsid w:val="0057634E"/>
    <w:rsid w:val="0058085A"/>
    <w:rsid w:val="00581656"/>
    <w:rsid w:val="0058197B"/>
    <w:rsid w:val="00582CA5"/>
    <w:rsid w:val="00583FB5"/>
    <w:rsid w:val="00586F88"/>
    <w:rsid w:val="00587824"/>
    <w:rsid w:val="00590BC8"/>
    <w:rsid w:val="00591FD8"/>
    <w:rsid w:val="00592CFB"/>
    <w:rsid w:val="00595397"/>
    <w:rsid w:val="00596972"/>
    <w:rsid w:val="00597E43"/>
    <w:rsid w:val="005A02B8"/>
    <w:rsid w:val="005A1ACF"/>
    <w:rsid w:val="005A48DA"/>
    <w:rsid w:val="005A492A"/>
    <w:rsid w:val="005A5D07"/>
    <w:rsid w:val="005A7628"/>
    <w:rsid w:val="005A7BF9"/>
    <w:rsid w:val="005B0330"/>
    <w:rsid w:val="005B1CA2"/>
    <w:rsid w:val="005B3CAB"/>
    <w:rsid w:val="005B4127"/>
    <w:rsid w:val="005B4B3E"/>
    <w:rsid w:val="005B675D"/>
    <w:rsid w:val="005B7598"/>
    <w:rsid w:val="005B7753"/>
    <w:rsid w:val="005C0786"/>
    <w:rsid w:val="005C267B"/>
    <w:rsid w:val="005C2D3E"/>
    <w:rsid w:val="005C49C4"/>
    <w:rsid w:val="005C4C84"/>
    <w:rsid w:val="005C51A0"/>
    <w:rsid w:val="005C7110"/>
    <w:rsid w:val="005D06E4"/>
    <w:rsid w:val="005D0863"/>
    <w:rsid w:val="005D338E"/>
    <w:rsid w:val="005D461A"/>
    <w:rsid w:val="005E2939"/>
    <w:rsid w:val="005E335E"/>
    <w:rsid w:val="005E45D2"/>
    <w:rsid w:val="005E5594"/>
    <w:rsid w:val="005E61D5"/>
    <w:rsid w:val="005E77F9"/>
    <w:rsid w:val="005E7A68"/>
    <w:rsid w:val="005F067C"/>
    <w:rsid w:val="005F181B"/>
    <w:rsid w:val="005F1DE6"/>
    <w:rsid w:val="005F2133"/>
    <w:rsid w:val="0060059A"/>
    <w:rsid w:val="00600B4A"/>
    <w:rsid w:val="00601169"/>
    <w:rsid w:val="00601CCA"/>
    <w:rsid w:val="00602244"/>
    <w:rsid w:val="00602BC5"/>
    <w:rsid w:val="00602D81"/>
    <w:rsid w:val="00604081"/>
    <w:rsid w:val="0060496C"/>
    <w:rsid w:val="00605965"/>
    <w:rsid w:val="00605C1F"/>
    <w:rsid w:val="006116FF"/>
    <w:rsid w:val="00612CC0"/>
    <w:rsid w:val="00613C27"/>
    <w:rsid w:val="006143E6"/>
    <w:rsid w:val="00616D11"/>
    <w:rsid w:val="00616FCB"/>
    <w:rsid w:val="00620CB2"/>
    <w:rsid w:val="006211D7"/>
    <w:rsid w:val="00621C25"/>
    <w:rsid w:val="006241CA"/>
    <w:rsid w:val="006260D5"/>
    <w:rsid w:val="0062660A"/>
    <w:rsid w:val="006321FE"/>
    <w:rsid w:val="006329EA"/>
    <w:rsid w:val="00633E94"/>
    <w:rsid w:val="0063427C"/>
    <w:rsid w:val="00634407"/>
    <w:rsid w:val="00634FDE"/>
    <w:rsid w:val="0064221E"/>
    <w:rsid w:val="00642E5A"/>
    <w:rsid w:val="00643A4B"/>
    <w:rsid w:val="006444B0"/>
    <w:rsid w:val="00645362"/>
    <w:rsid w:val="00651285"/>
    <w:rsid w:val="00652EED"/>
    <w:rsid w:val="00654F9E"/>
    <w:rsid w:val="00656A25"/>
    <w:rsid w:val="006579B1"/>
    <w:rsid w:val="00657A2C"/>
    <w:rsid w:val="00661374"/>
    <w:rsid w:val="00661CCB"/>
    <w:rsid w:val="006633B1"/>
    <w:rsid w:val="00663F7D"/>
    <w:rsid w:val="00664687"/>
    <w:rsid w:val="00671EEC"/>
    <w:rsid w:val="0067298C"/>
    <w:rsid w:val="00674874"/>
    <w:rsid w:val="00676363"/>
    <w:rsid w:val="00676668"/>
    <w:rsid w:val="00676B31"/>
    <w:rsid w:val="00677299"/>
    <w:rsid w:val="00681D4A"/>
    <w:rsid w:val="00682AFC"/>
    <w:rsid w:val="00682BD0"/>
    <w:rsid w:val="00682CDC"/>
    <w:rsid w:val="006838D3"/>
    <w:rsid w:val="00684145"/>
    <w:rsid w:val="00684491"/>
    <w:rsid w:val="006846EC"/>
    <w:rsid w:val="00685EAA"/>
    <w:rsid w:val="006873F0"/>
    <w:rsid w:val="0068785F"/>
    <w:rsid w:val="00691277"/>
    <w:rsid w:val="0069142D"/>
    <w:rsid w:val="00691E4D"/>
    <w:rsid w:val="00694B03"/>
    <w:rsid w:val="00697839"/>
    <w:rsid w:val="006A0847"/>
    <w:rsid w:val="006A0EE9"/>
    <w:rsid w:val="006A5282"/>
    <w:rsid w:val="006A5973"/>
    <w:rsid w:val="006A7392"/>
    <w:rsid w:val="006A7CC7"/>
    <w:rsid w:val="006B262A"/>
    <w:rsid w:val="006B35E6"/>
    <w:rsid w:val="006B570E"/>
    <w:rsid w:val="006B5F3D"/>
    <w:rsid w:val="006B753D"/>
    <w:rsid w:val="006B792C"/>
    <w:rsid w:val="006B7E5D"/>
    <w:rsid w:val="006C07EB"/>
    <w:rsid w:val="006C16A7"/>
    <w:rsid w:val="006C1A51"/>
    <w:rsid w:val="006C2C30"/>
    <w:rsid w:val="006C30E0"/>
    <w:rsid w:val="006C31DB"/>
    <w:rsid w:val="006C3360"/>
    <w:rsid w:val="006C4B46"/>
    <w:rsid w:val="006C7AA4"/>
    <w:rsid w:val="006D0F8E"/>
    <w:rsid w:val="006D227D"/>
    <w:rsid w:val="006D27A2"/>
    <w:rsid w:val="006D2806"/>
    <w:rsid w:val="006D339B"/>
    <w:rsid w:val="006D4F23"/>
    <w:rsid w:val="006D5007"/>
    <w:rsid w:val="006D61FC"/>
    <w:rsid w:val="006D6716"/>
    <w:rsid w:val="006D6C50"/>
    <w:rsid w:val="006D6E8A"/>
    <w:rsid w:val="006E02B1"/>
    <w:rsid w:val="006E2934"/>
    <w:rsid w:val="006E3404"/>
    <w:rsid w:val="006E424E"/>
    <w:rsid w:val="006E5D4D"/>
    <w:rsid w:val="006F023A"/>
    <w:rsid w:val="006F1DA3"/>
    <w:rsid w:val="006F1F32"/>
    <w:rsid w:val="006F3397"/>
    <w:rsid w:val="006F540E"/>
    <w:rsid w:val="006F5C39"/>
    <w:rsid w:val="006F5E5A"/>
    <w:rsid w:val="006F6A74"/>
    <w:rsid w:val="006F756B"/>
    <w:rsid w:val="006F7DB8"/>
    <w:rsid w:val="00700C97"/>
    <w:rsid w:val="007023B2"/>
    <w:rsid w:val="007025AF"/>
    <w:rsid w:val="00703767"/>
    <w:rsid w:val="0070508F"/>
    <w:rsid w:val="0070715C"/>
    <w:rsid w:val="00707D77"/>
    <w:rsid w:val="00710584"/>
    <w:rsid w:val="007106E0"/>
    <w:rsid w:val="00713182"/>
    <w:rsid w:val="007145E9"/>
    <w:rsid w:val="00717D45"/>
    <w:rsid w:val="00720961"/>
    <w:rsid w:val="00722881"/>
    <w:rsid w:val="00725D32"/>
    <w:rsid w:val="00727DD8"/>
    <w:rsid w:val="007302BF"/>
    <w:rsid w:val="00731440"/>
    <w:rsid w:val="0073166F"/>
    <w:rsid w:val="00731C83"/>
    <w:rsid w:val="00731D2F"/>
    <w:rsid w:val="00732943"/>
    <w:rsid w:val="00732B81"/>
    <w:rsid w:val="00733158"/>
    <w:rsid w:val="007332A9"/>
    <w:rsid w:val="00735863"/>
    <w:rsid w:val="00736C27"/>
    <w:rsid w:val="00740EA1"/>
    <w:rsid w:val="00741610"/>
    <w:rsid w:val="0074331B"/>
    <w:rsid w:val="00744146"/>
    <w:rsid w:val="0074433A"/>
    <w:rsid w:val="00745E1E"/>
    <w:rsid w:val="00746EEA"/>
    <w:rsid w:val="00747DA5"/>
    <w:rsid w:val="0075155A"/>
    <w:rsid w:val="007523BB"/>
    <w:rsid w:val="007524C6"/>
    <w:rsid w:val="00752D0A"/>
    <w:rsid w:val="007533FF"/>
    <w:rsid w:val="00753DC3"/>
    <w:rsid w:val="007544F2"/>
    <w:rsid w:val="00754961"/>
    <w:rsid w:val="00756EE6"/>
    <w:rsid w:val="00757141"/>
    <w:rsid w:val="00757B5F"/>
    <w:rsid w:val="00761649"/>
    <w:rsid w:val="00761D47"/>
    <w:rsid w:val="00765425"/>
    <w:rsid w:val="00770694"/>
    <w:rsid w:val="0077083A"/>
    <w:rsid w:val="00770CC3"/>
    <w:rsid w:val="0077150A"/>
    <w:rsid w:val="0077460A"/>
    <w:rsid w:val="007749E1"/>
    <w:rsid w:val="007753A5"/>
    <w:rsid w:val="007756BB"/>
    <w:rsid w:val="00776C43"/>
    <w:rsid w:val="007779BC"/>
    <w:rsid w:val="00782936"/>
    <w:rsid w:val="00782AF3"/>
    <w:rsid w:val="00782F7A"/>
    <w:rsid w:val="007860C6"/>
    <w:rsid w:val="00786BFF"/>
    <w:rsid w:val="00787560"/>
    <w:rsid w:val="00790A69"/>
    <w:rsid w:val="00792774"/>
    <w:rsid w:val="00792C86"/>
    <w:rsid w:val="00795575"/>
    <w:rsid w:val="00795906"/>
    <w:rsid w:val="0079684C"/>
    <w:rsid w:val="00797541"/>
    <w:rsid w:val="00797F28"/>
    <w:rsid w:val="007A31E4"/>
    <w:rsid w:val="007A385D"/>
    <w:rsid w:val="007A55AA"/>
    <w:rsid w:val="007A7D8F"/>
    <w:rsid w:val="007A7DC9"/>
    <w:rsid w:val="007B0DD7"/>
    <w:rsid w:val="007B132E"/>
    <w:rsid w:val="007B53C8"/>
    <w:rsid w:val="007B5D2B"/>
    <w:rsid w:val="007B66EF"/>
    <w:rsid w:val="007B7233"/>
    <w:rsid w:val="007B7F32"/>
    <w:rsid w:val="007C023B"/>
    <w:rsid w:val="007C0B33"/>
    <w:rsid w:val="007C54EC"/>
    <w:rsid w:val="007C550A"/>
    <w:rsid w:val="007C7C06"/>
    <w:rsid w:val="007C7C63"/>
    <w:rsid w:val="007C7CCD"/>
    <w:rsid w:val="007D0526"/>
    <w:rsid w:val="007D29F9"/>
    <w:rsid w:val="007D3D99"/>
    <w:rsid w:val="007D6F7C"/>
    <w:rsid w:val="007E2F4D"/>
    <w:rsid w:val="007E4534"/>
    <w:rsid w:val="007E5205"/>
    <w:rsid w:val="007E662A"/>
    <w:rsid w:val="007F07DA"/>
    <w:rsid w:val="007F452E"/>
    <w:rsid w:val="007F7D42"/>
    <w:rsid w:val="00802CC8"/>
    <w:rsid w:val="00802D73"/>
    <w:rsid w:val="00806B80"/>
    <w:rsid w:val="00807ADC"/>
    <w:rsid w:val="0081011C"/>
    <w:rsid w:val="00811206"/>
    <w:rsid w:val="0081284E"/>
    <w:rsid w:val="00812F1D"/>
    <w:rsid w:val="008145E9"/>
    <w:rsid w:val="00814DED"/>
    <w:rsid w:val="008157C8"/>
    <w:rsid w:val="00816159"/>
    <w:rsid w:val="008168D9"/>
    <w:rsid w:val="00817082"/>
    <w:rsid w:val="008220E4"/>
    <w:rsid w:val="00823B07"/>
    <w:rsid w:val="00825A0E"/>
    <w:rsid w:val="00825BBC"/>
    <w:rsid w:val="00826C3E"/>
    <w:rsid w:val="00827571"/>
    <w:rsid w:val="00832BFC"/>
    <w:rsid w:val="008357AE"/>
    <w:rsid w:val="008370B2"/>
    <w:rsid w:val="008377BF"/>
    <w:rsid w:val="0084032D"/>
    <w:rsid w:val="008404C8"/>
    <w:rsid w:val="008412DC"/>
    <w:rsid w:val="00842428"/>
    <w:rsid w:val="0084250B"/>
    <w:rsid w:val="00843AAD"/>
    <w:rsid w:val="00844011"/>
    <w:rsid w:val="008443DF"/>
    <w:rsid w:val="008447D9"/>
    <w:rsid w:val="008456EE"/>
    <w:rsid w:val="00845EF2"/>
    <w:rsid w:val="00852B32"/>
    <w:rsid w:val="00852E3E"/>
    <w:rsid w:val="00853676"/>
    <w:rsid w:val="00853757"/>
    <w:rsid w:val="008553DB"/>
    <w:rsid w:val="00855CC7"/>
    <w:rsid w:val="00857289"/>
    <w:rsid w:val="008605F8"/>
    <w:rsid w:val="00861BA6"/>
    <w:rsid w:val="00861D71"/>
    <w:rsid w:val="00861FF1"/>
    <w:rsid w:val="008624BF"/>
    <w:rsid w:val="0086288D"/>
    <w:rsid w:val="00863A4E"/>
    <w:rsid w:val="008661CC"/>
    <w:rsid w:val="008663A3"/>
    <w:rsid w:val="00870B8F"/>
    <w:rsid w:val="00872BFD"/>
    <w:rsid w:val="008730EF"/>
    <w:rsid w:val="00874508"/>
    <w:rsid w:val="00875EBE"/>
    <w:rsid w:val="0087646D"/>
    <w:rsid w:val="00876BD1"/>
    <w:rsid w:val="00877662"/>
    <w:rsid w:val="00877880"/>
    <w:rsid w:val="0088097E"/>
    <w:rsid w:val="00882FC2"/>
    <w:rsid w:val="00884382"/>
    <w:rsid w:val="00884456"/>
    <w:rsid w:val="00884BC5"/>
    <w:rsid w:val="00885047"/>
    <w:rsid w:val="0088569C"/>
    <w:rsid w:val="00886795"/>
    <w:rsid w:val="008904B4"/>
    <w:rsid w:val="0089443F"/>
    <w:rsid w:val="00895531"/>
    <w:rsid w:val="00895A1F"/>
    <w:rsid w:val="00896018"/>
    <w:rsid w:val="0089610C"/>
    <w:rsid w:val="008966CB"/>
    <w:rsid w:val="008972E3"/>
    <w:rsid w:val="00897945"/>
    <w:rsid w:val="008A023A"/>
    <w:rsid w:val="008A10EC"/>
    <w:rsid w:val="008A17A3"/>
    <w:rsid w:val="008A1921"/>
    <w:rsid w:val="008A3453"/>
    <w:rsid w:val="008A4AD7"/>
    <w:rsid w:val="008A5B13"/>
    <w:rsid w:val="008B27E7"/>
    <w:rsid w:val="008B3C04"/>
    <w:rsid w:val="008B47DC"/>
    <w:rsid w:val="008B5238"/>
    <w:rsid w:val="008B5976"/>
    <w:rsid w:val="008B60FC"/>
    <w:rsid w:val="008B65CC"/>
    <w:rsid w:val="008B6936"/>
    <w:rsid w:val="008B7258"/>
    <w:rsid w:val="008C2EF0"/>
    <w:rsid w:val="008C39B0"/>
    <w:rsid w:val="008C44B3"/>
    <w:rsid w:val="008C50BE"/>
    <w:rsid w:val="008C5611"/>
    <w:rsid w:val="008C5D54"/>
    <w:rsid w:val="008D0095"/>
    <w:rsid w:val="008D0DA0"/>
    <w:rsid w:val="008D0DEB"/>
    <w:rsid w:val="008D30F7"/>
    <w:rsid w:val="008D3174"/>
    <w:rsid w:val="008D4ACD"/>
    <w:rsid w:val="008D64DF"/>
    <w:rsid w:val="008D6DAF"/>
    <w:rsid w:val="008D6ED4"/>
    <w:rsid w:val="008D718E"/>
    <w:rsid w:val="008E1D1A"/>
    <w:rsid w:val="008E5AE7"/>
    <w:rsid w:val="008E7BA1"/>
    <w:rsid w:val="008F1E5D"/>
    <w:rsid w:val="008F3455"/>
    <w:rsid w:val="008F4956"/>
    <w:rsid w:val="008F5532"/>
    <w:rsid w:val="008F563B"/>
    <w:rsid w:val="008F7867"/>
    <w:rsid w:val="008F7D3D"/>
    <w:rsid w:val="00901471"/>
    <w:rsid w:val="00901CB2"/>
    <w:rsid w:val="00901DB6"/>
    <w:rsid w:val="00902A6B"/>
    <w:rsid w:val="00903BCE"/>
    <w:rsid w:val="00905A15"/>
    <w:rsid w:val="0090645F"/>
    <w:rsid w:val="009075B4"/>
    <w:rsid w:val="00910692"/>
    <w:rsid w:val="009108FE"/>
    <w:rsid w:val="009112C8"/>
    <w:rsid w:val="00912466"/>
    <w:rsid w:val="00912909"/>
    <w:rsid w:val="00912E7C"/>
    <w:rsid w:val="00913017"/>
    <w:rsid w:val="0091354F"/>
    <w:rsid w:val="00913E07"/>
    <w:rsid w:val="00913F43"/>
    <w:rsid w:val="00914AA0"/>
    <w:rsid w:val="00914ED5"/>
    <w:rsid w:val="009268FF"/>
    <w:rsid w:val="0093103C"/>
    <w:rsid w:val="00931CE0"/>
    <w:rsid w:val="009329C0"/>
    <w:rsid w:val="00932EA7"/>
    <w:rsid w:val="00933DC1"/>
    <w:rsid w:val="00934866"/>
    <w:rsid w:val="00937947"/>
    <w:rsid w:val="0094033A"/>
    <w:rsid w:val="00942068"/>
    <w:rsid w:val="009420D2"/>
    <w:rsid w:val="00945646"/>
    <w:rsid w:val="009458FE"/>
    <w:rsid w:val="00947D11"/>
    <w:rsid w:val="00951E72"/>
    <w:rsid w:val="00952AD8"/>
    <w:rsid w:val="00953854"/>
    <w:rsid w:val="00953ED3"/>
    <w:rsid w:val="009547BA"/>
    <w:rsid w:val="00956141"/>
    <w:rsid w:val="0095778E"/>
    <w:rsid w:val="00957F8C"/>
    <w:rsid w:val="0096138B"/>
    <w:rsid w:val="00961640"/>
    <w:rsid w:val="009627D5"/>
    <w:rsid w:val="00963A1D"/>
    <w:rsid w:val="00963CAA"/>
    <w:rsid w:val="009652CD"/>
    <w:rsid w:val="00970C87"/>
    <w:rsid w:val="009736F6"/>
    <w:rsid w:val="0097422A"/>
    <w:rsid w:val="00974C78"/>
    <w:rsid w:val="00975188"/>
    <w:rsid w:val="009764E8"/>
    <w:rsid w:val="00976AE2"/>
    <w:rsid w:val="00976EFC"/>
    <w:rsid w:val="00980377"/>
    <w:rsid w:val="00980BA1"/>
    <w:rsid w:val="00981046"/>
    <w:rsid w:val="00982CED"/>
    <w:rsid w:val="0098335E"/>
    <w:rsid w:val="00984107"/>
    <w:rsid w:val="0098532C"/>
    <w:rsid w:val="0098568C"/>
    <w:rsid w:val="00985CF7"/>
    <w:rsid w:val="00987E60"/>
    <w:rsid w:val="009902CC"/>
    <w:rsid w:val="00991521"/>
    <w:rsid w:val="00992077"/>
    <w:rsid w:val="00995149"/>
    <w:rsid w:val="00995E76"/>
    <w:rsid w:val="00995E80"/>
    <w:rsid w:val="009962F2"/>
    <w:rsid w:val="009970CE"/>
    <w:rsid w:val="009978A2"/>
    <w:rsid w:val="00997A9B"/>
    <w:rsid w:val="009A1578"/>
    <w:rsid w:val="009A3603"/>
    <w:rsid w:val="009A58A8"/>
    <w:rsid w:val="009A66A1"/>
    <w:rsid w:val="009A6FDF"/>
    <w:rsid w:val="009A795C"/>
    <w:rsid w:val="009B08B0"/>
    <w:rsid w:val="009B126B"/>
    <w:rsid w:val="009B349F"/>
    <w:rsid w:val="009B4538"/>
    <w:rsid w:val="009B5375"/>
    <w:rsid w:val="009C181E"/>
    <w:rsid w:val="009C1A8F"/>
    <w:rsid w:val="009C28EC"/>
    <w:rsid w:val="009C3656"/>
    <w:rsid w:val="009C4627"/>
    <w:rsid w:val="009C5CDA"/>
    <w:rsid w:val="009C5D49"/>
    <w:rsid w:val="009C6FEC"/>
    <w:rsid w:val="009C7AC4"/>
    <w:rsid w:val="009D0F89"/>
    <w:rsid w:val="009D1049"/>
    <w:rsid w:val="009D1B9F"/>
    <w:rsid w:val="009D1DEF"/>
    <w:rsid w:val="009D377C"/>
    <w:rsid w:val="009D44D0"/>
    <w:rsid w:val="009D497E"/>
    <w:rsid w:val="009D6256"/>
    <w:rsid w:val="009D6972"/>
    <w:rsid w:val="009D7AD7"/>
    <w:rsid w:val="009D7CE0"/>
    <w:rsid w:val="009D7CE4"/>
    <w:rsid w:val="009E1B05"/>
    <w:rsid w:val="009E27B6"/>
    <w:rsid w:val="009E345A"/>
    <w:rsid w:val="009E4291"/>
    <w:rsid w:val="009F0DC8"/>
    <w:rsid w:val="009F49DC"/>
    <w:rsid w:val="009F6CA0"/>
    <w:rsid w:val="009F7A89"/>
    <w:rsid w:val="00A000EB"/>
    <w:rsid w:val="00A00D6C"/>
    <w:rsid w:val="00A02C0C"/>
    <w:rsid w:val="00A03033"/>
    <w:rsid w:val="00A039DB"/>
    <w:rsid w:val="00A04590"/>
    <w:rsid w:val="00A06B4F"/>
    <w:rsid w:val="00A07251"/>
    <w:rsid w:val="00A126FF"/>
    <w:rsid w:val="00A12B6D"/>
    <w:rsid w:val="00A13743"/>
    <w:rsid w:val="00A1377F"/>
    <w:rsid w:val="00A14CC1"/>
    <w:rsid w:val="00A15135"/>
    <w:rsid w:val="00A16DB9"/>
    <w:rsid w:val="00A179A7"/>
    <w:rsid w:val="00A17D8E"/>
    <w:rsid w:val="00A2135B"/>
    <w:rsid w:val="00A2249C"/>
    <w:rsid w:val="00A246AE"/>
    <w:rsid w:val="00A260D3"/>
    <w:rsid w:val="00A262DA"/>
    <w:rsid w:val="00A26683"/>
    <w:rsid w:val="00A268D6"/>
    <w:rsid w:val="00A27F4C"/>
    <w:rsid w:val="00A325D6"/>
    <w:rsid w:val="00A32687"/>
    <w:rsid w:val="00A349B6"/>
    <w:rsid w:val="00A371B5"/>
    <w:rsid w:val="00A37A63"/>
    <w:rsid w:val="00A37E61"/>
    <w:rsid w:val="00A41136"/>
    <w:rsid w:val="00A43B7B"/>
    <w:rsid w:val="00A43F4A"/>
    <w:rsid w:val="00A446E5"/>
    <w:rsid w:val="00A45F2A"/>
    <w:rsid w:val="00A46A40"/>
    <w:rsid w:val="00A47A9F"/>
    <w:rsid w:val="00A47AE2"/>
    <w:rsid w:val="00A525EA"/>
    <w:rsid w:val="00A52EF8"/>
    <w:rsid w:val="00A5346C"/>
    <w:rsid w:val="00A53F20"/>
    <w:rsid w:val="00A53F4B"/>
    <w:rsid w:val="00A54017"/>
    <w:rsid w:val="00A54245"/>
    <w:rsid w:val="00A54CA7"/>
    <w:rsid w:val="00A56632"/>
    <w:rsid w:val="00A569B4"/>
    <w:rsid w:val="00A56AE2"/>
    <w:rsid w:val="00A62346"/>
    <w:rsid w:val="00A63597"/>
    <w:rsid w:val="00A63864"/>
    <w:rsid w:val="00A6470C"/>
    <w:rsid w:val="00A67710"/>
    <w:rsid w:val="00A7040A"/>
    <w:rsid w:val="00A70A77"/>
    <w:rsid w:val="00A71A1D"/>
    <w:rsid w:val="00A71AB6"/>
    <w:rsid w:val="00A721D5"/>
    <w:rsid w:val="00A724A3"/>
    <w:rsid w:val="00A7340F"/>
    <w:rsid w:val="00A7772A"/>
    <w:rsid w:val="00A81510"/>
    <w:rsid w:val="00A82519"/>
    <w:rsid w:val="00A8309C"/>
    <w:rsid w:val="00A83348"/>
    <w:rsid w:val="00A85317"/>
    <w:rsid w:val="00A8710F"/>
    <w:rsid w:val="00A9059C"/>
    <w:rsid w:val="00A90B5F"/>
    <w:rsid w:val="00A90FBF"/>
    <w:rsid w:val="00A93568"/>
    <w:rsid w:val="00A93BB6"/>
    <w:rsid w:val="00A94696"/>
    <w:rsid w:val="00AA0708"/>
    <w:rsid w:val="00AA1A83"/>
    <w:rsid w:val="00AA271D"/>
    <w:rsid w:val="00AA31D0"/>
    <w:rsid w:val="00AA43A9"/>
    <w:rsid w:val="00AB18F8"/>
    <w:rsid w:val="00AB26BB"/>
    <w:rsid w:val="00AB2A56"/>
    <w:rsid w:val="00AB50B1"/>
    <w:rsid w:val="00AC011B"/>
    <w:rsid w:val="00AC469E"/>
    <w:rsid w:val="00AC4F18"/>
    <w:rsid w:val="00AC5051"/>
    <w:rsid w:val="00AC6624"/>
    <w:rsid w:val="00AC6B37"/>
    <w:rsid w:val="00AC73C3"/>
    <w:rsid w:val="00AC7F2A"/>
    <w:rsid w:val="00AD148D"/>
    <w:rsid w:val="00AD41CD"/>
    <w:rsid w:val="00AD495D"/>
    <w:rsid w:val="00AD4B56"/>
    <w:rsid w:val="00AD5A5A"/>
    <w:rsid w:val="00AE255F"/>
    <w:rsid w:val="00AE28F2"/>
    <w:rsid w:val="00AE6558"/>
    <w:rsid w:val="00AE693A"/>
    <w:rsid w:val="00AE6DF1"/>
    <w:rsid w:val="00AF0C45"/>
    <w:rsid w:val="00AF0E40"/>
    <w:rsid w:val="00AF24EF"/>
    <w:rsid w:val="00AF25D4"/>
    <w:rsid w:val="00AF37BE"/>
    <w:rsid w:val="00AF4CCB"/>
    <w:rsid w:val="00AF68E8"/>
    <w:rsid w:val="00B0108E"/>
    <w:rsid w:val="00B017EC"/>
    <w:rsid w:val="00B02086"/>
    <w:rsid w:val="00B020CB"/>
    <w:rsid w:val="00B03967"/>
    <w:rsid w:val="00B03B4F"/>
    <w:rsid w:val="00B05526"/>
    <w:rsid w:val="00B05A41"/>
    <w:rsid w:val="00B1014E"/>
    <w:rsid w:val="00B1213E"/>
    <w:rsid w:val="00B13004"/>
    <w:rsid w:val="00B13242"/>
    <w:rsid w:val="00B13A13"/>
    <w:rsid w:val="00B13EF3"/>
    <w:rsid w:val="00B160A5"/>
    <w:rsid w:val="00B1688A"/>
    <w:rsid w:val="00B17288"/>
    <w:rsid w:val="00B17D5A"/>
    <w:rsid w:val="00B20FA4"/>
    <w:rsid w:val="00B248F5"/>
    <w:rsid w:val="00B25B47"/>
    <w:rsid w:val="00B25C33"/>
    <w:rsid w:val="00B27932"/>
    <w:rsid w:val="00B30143"/>
    <w:rsid w:val="00B31B89"/>
    <w:rsid w:val="00B31E84"/>
    <w:rsid w:val="00B32B8D"/>
    <w:rsid w:val="00B35869"/>
    <w:rsid w:val="00B3597A"/>
    <w:rsid w:val="00B365EA"/>
    <w:rsid w:val="00B36BB3"/>
    <w:rsid w:val="00B43783"/>
    <w:rsid w:val="00B4445D"/>
    <w:rsid w:val="00B449BA"/>
    <w:rsid w:val="00B44AF7"/>
    <w:rsid w:val="00B452F2"/>
    <w:rsid w:val="00B46073"/>
    <w:rsid w:val="00B50382"/>
    <w:rsid w:val="00B50497"/>
    <w:rsid w:val="00B50EDA"/>
    <w:rsid w:val="00B511D0"/>
    <w:rsid w:val="00B55A56"/>
    <w:rsid w:val="00B56F40"/>
    <w:rsid w:val="00B60816"/>
    <w:rsid w:val="00B6217C"/>
    <w:rsid w:val="00B63F4F"/>
    <w:rsid w:val="00B64093"/>
    <w:rsid w:val="00B64ED6"/>
    <w:rsid w:val="00B732AC"/>
    <w:rsid w:val="00B747CA"/>
    <w:rsid w:val="00B7773D"/>
    <w:rsid w:val="00B77DCE"/>
    <w:rsid w:val="00B80CA9"/>
    <w:rsid w:val="00B81040"/>
    <w:rsid w:val="00B81637"/>
    <w:rsid w:val="00B823E1"/>
    <w:rsid w:val="00B8294C"/>
    <w:rsid w:val="00B82F25"/>
    <w:rsid w:val="00B836CD"/>
    <w:rsid w:val="00B87BD7"/>
    <w:rsid w:val="00B901D9"/>
    <w:rsid w:val="00B90620"/>
    <w:rsid w:val="00B91D9E"/>
    <w:rsid w:val="00B93081"/>
    <w:rsid w:val="00B93626"/>
    <w:rsid w:val="00B94AC8"/>
    <w:rsid w:val="00B96B74"/>
    <w:rsid w:val="00B96C3B"/>
    <w:rsid w:val="00B975A2"/>
    <w:rsid w:val="00B97FF1"/>
    <w:rsid w:val="00BA0ECD"/>
    <w:rsid w:val="00BA156A"/>
    <w:rsid w:val="00BA2BF3"/>
    <w:rsid w:val="00BA2CF1"/>
    <w:rsid w:val="00BA376C"/>
    <w:rsid w:val="00BA7F33"/>
    <w:rsid w:val="00BB09DF"/>
    <w:rsid w:val="00BB1810"/>
    <w:rsid w:val="00BB4074"/>
    <w:rsid w:val="00BB4D66"/>
    <w:rsid w:val="00BB7852"/>
    <w:rsid w:val="00BC5EEF"/>
    <w:rsid w:val="00BC6926"/>
    <w:rsid w:val="00BD1128"/>
    <w:rsid w:val="00BD2753"/>
    <w:rsid w:val="00BD2B27"/>
    <w:rsid w:val="00BD3420"/>
    <w:rsid w:val="00BD428E"/>
    <w:rsid w:val="00BD4E86"/>
    <w:rsid w:val="00BD501D"/>
    <w:rsid w:val="00BD7CD9"/>
    <w:rsid w:val="00BE0266"/>
    <w:rsid w:val="00BE2729"/>
    <w:rsid w:val="00BF00C5"/>
    <w:rsid w:val="00BF2867"/>
    <w:rsid w:val="00BF325C"/>
    <w:rsid w:val="00BF34D5"/>
    <w:rsid w:val="00BF5D46"/>
    <w:rsid w:val="00C0114E"/>
    <w:rsid w:val="00C02A39"/>
    <w:rsid w:val="00C034C3"/>
    <w:rsid w:val="00C066A9"/>
    <w:rsid w:val="00C07004"/>
    <w:rsid w:val="00C07CC3"/>
    <w:rsid w:val="00C07DE1"/>
    <w:rsid w:val="00C10FB3"/>
    <w:rsid w:val="00C10FF5"/>
    <w:rsid w:val="00C13442"/>
    <w:rsid w:val="00C140F8"/>
    <w:rsid w:val="00C14FBA"/>
    <w:rsid w:val="00C16CDC"/>
    <w:rsid w:val="00C20D6E"/>
    <w:rsid w:val="00C21AC6"/>
    <w:rsid w:val="00C224D4"/>
    <w:rsid w:val="00C25034"/>
    <w:rsid w:val="00C251E9"/>
    <w:rsid w:val="00C259BE"/>
    <w:rsid w:val="00C25B96"/>
    <w:rsid w:val="00C25BB1"/>
    <w:rsid w:val="00C2705D"/>
    <w:rsid w:val="00C30B5B"/>
    <w:rsid w:val="00C31C33"/>
    <w:rsid w:val="00C31E49"/>
    <w:rsid w:val="00C31F3B"/>
    <w:rsid w:val="00C320CC"/>
    <w:rsid w:val="00C351E0"/>
    <w:rsid w:val="00C37987"/>
    <w:rsid w:val="00C404B9"/>
    <w:rsid w:val="00C40E1F"/>
    <w:rsid w:val="00C4157F"/>
    <w:rsid w:val="00C41BCE"/>
    <w:rsid w:val="00C41CCA"/>
    <w:rsid w:val="00C429ED"/>
    <w:rsid w:val="00C43E8A"/>
    <w:rsid w:val="00C445E6"/>
    <w:rsid w:val="00C44DDB"/>
    <w:rsid w:val="00C46BE4"/>
    <w:rsid w:val="00C4754A"/>
    <w:rsid w:val="00C478EF"/>
    <w:rsid w:val="00C50BDA"/>
    <w:rsid w:val="00C53F1C"/>
    <w:rsid w:val="00C57563"/>
    <w:rsid w:val="00C617C3"/>
    <w:rsid w:val="00C62587"/>
    <w:rsid w:val="00C628D0"/>
    <w:rsid w:val="00C63436"/>
    <w:rsid w:val="00C63606"/>
    <w:rsid w:val="00C65C13"/>
    <w:rsid w:val="00C66701"/>
    <w:rsid w:val="00C677A2"/>
    <w:rsid w:val="00C679A7"/>
    <w:rsid w:val="00C7044C"/>
    <w:rsid w:val="00C707EF"/>
    <w:rsid w:val="00C719C0"/>
    <w:rsid w:val="00C7316C"/>
    <w:rsid w:val="00C732A3"/>
    <w:rsid w:val="00C760D4"/>
    <w:rsid w:val="00C76F4D"/>
    <w:rsid w:val="00C773A5"/>
    <w:rsid w:val="00C801CC"/>
    <w:rsid w:val="00C80734"/>
    <w:rsid w:val="00C812EA"/>
    <w:rsid w:val="00C81545"/>
    <w:rsid w:val="00C82208"/>
    <w:rsid w:val="00C82343"/>
    <w:rsid w:val="00C825CC"/>
    <w:rsid w:val="00C838C1"/>
    <w:rsid w:val="00C847E2"/>
    <w:rsid w:val="00C90AEE"/>
    <w:rsid w:val="00C92422"/>
    <w:rsid w:val="00C945E1"/>
    <w:rsid w:val="00C949A1"/>
    <w:rsid w:val="00C94AE2"/>
    <w:rsid w:val="00C96F64"/>
    <w:rsid w:val="00C971AD"/>
    <w:rsid w:val="00CA07CC"/>
    <w:rsid w:val="00CA27B3"/>
    <w:rsid w:val="00CA2905"/>
    <w:rsid w:val="00CA4134"/>
    <w:rsid w:val="00CA5900"/>
    <w:rsid w:val="00CA6D0A"/>
    <w:rsid w:val="00CA742A"/>
    <w:rsid w:val="00CA7675"/>
    <w:rsid w:val="00CA7940"/>
    <w:rsid w:val="00CA7F39"/>
    <w:rsid w:val="00CB160E"/>
    <w:rsid w:val="00CB23FA"/>
    <w:rsid w:val="00CB4255"/>
    <w:rsid w:val="00CB4921"/>
    <w:rsid w:val="00CB49AE"/>
    <w:rsid w:val="00CB7392"/>
    <w:rsid w:val="00CB771C"/>
    <w:rsid w:val="00CC05D4"/>
    <w:rsid w:val="00CC1C25"/>
    <w:rsid w:val="00CC3F3F"/>
    <w:rsid w:val="00CC5236"/>
    <w:rsid w:val="00CC6D45"/>
    <w:rsid w:val="00CC6E71"/>
    <w:rsid w:val="00CD02CD"/>
    <w:rsid w:val="00CD0D1D"/>
    <w:rsid w:val="00CD2B85"/>
    <w:rsid w:val="00CD472E"/>
    <w:rsid w:val="00CD6076"/>
    <w:rsid w:val="00CD62AD"/>
    <w:rsid w:val="00CD702E"/>
    <w:rsid w:val="00CD727D"/>
    <w:rsid w:val="00CD7C7A"/>
    <w:rsid w:val="00CE022C"/>
    <w:rsid w:val="00CE0658"/>
    <w:rsid w:val="00CE12B0"/>
    <w:rsid w:val="00CE1BB5"/>
    <w:rsid w:val="00CE3254"/>
    <w:rsid w:val="00CE3303"/>
    <w:rsid w:val="00CE421E"/>
    <w:rsid w:val="00CE4AE8"/>
    <w:rsid w:val="00CE505C"/>
    <w:rsid w:val="00CE60BB"/>
    <w:rsid w:val="00CF0D5C"/>
    <w:rsid w:val="00CF140E"/>
    <w:rsid w:val="00CF1E10"/>
    <w:rsid w:val="00CF1FA3"/>
    <w:rsid w:val="00CF261C"/>
    <w:rsid w:val="00CF597E"/>
    <w:rsid w:val="00CF66B1"/>
    <w:rsid w:val="00D00CE5"/>
    <w:rsid w:val="00D01D10"/>
    <w:rsid w:val="00D04995"/>
    <w:rsid w:val="00D07C82"/>
    <w:rsid w:val="00D1174C"/>
    <w:rsid w:val="00D1375B"/>
    <w:rsid w:val="00D13800"/>
    <w:rsid w:val="00D14294"/>
    <w:rsid w:val="00D153F9"/>
    <w:rsid w:val="00D15A94"/>
    <w:rsid w:val="00D163C2"/>
    <w:rsid w:val="00D16F6D"/>
    <w:rsid w:val="00D17F6D"/>
    <w:rsid w:val="00D20127"/>
    <w:rsid w:val="00D202B9"/>
    <w:rsid w:val="00D20A77"/>
    <w:rsid w:val="00D2160C"/>
    <w:rsid w:val="00D23936"/>
    <w:rsid w:val="00D24D5D"/>
    <w:rsid w:val="00D25A2B"/>
    <w:rsid w:val="00D32D85"/>
    <w:rsid w:val="00D32FB2"/>
    <w:rsid w:val="00D3482E"/>
    <w:rsid w:val="00D34BCE"/>
    <w:rsid w:val="00D34D49"/>
    <w:rsid w:val="00D356CC"/>
    <w:rsid w:val="00D356F2"/>
    <w:rsid w:val="00D4208A"/>
    <w:rsid w:val="00D44738"/>
    <w:rsid w:val="00D44DBA"/>
    <w:rsid w:val="00D52025"/>
    <w:rsid w:val="00D52069"/>
    <w:rsid w:val="00D52B6A"/>
    <w:rsid w:val="00D54B02"/>
    <w:rsid w:val="00D551CA"/>
    <w:rsid w:val="00D560F2"/>
    <w:rsid w:val="00D601CC"/>
    <w:rsid w:val="00D6162D"/>
    <w:rsid w:val="00D62005"/>
    <w:rsid w:val="00D624C5"/>
    <w:rsid w:val="00D63195"/>
    <w:rsid w:val="00D64C60"/>
    <w:rsid w:val="00D659AF"/>
    <w:rsid w:val="00D65BB7"/>
    <w:rsid w:val="00D66508"/>
    <w:rsid w:val="00D67DB7"/>
    <w:rsid w:val="00D7021F"/>
    <w:rsid w:val="00D71C93"/>
    <w:rsid w:val="00D7224A"/>
    <w:rsid w:val="00D7348C"/>
    <w:rsid w:val="00D735FF"/>
    <w:rsid w:val="00D76A5B"/>
    <w:rsid w:val="00D76C01"/>
    <w:rsid w:val="00D77C80"/>
    <w:rsid w:val="00D80942"/>
    <w:rsid w:val="00D80AE1"/>
    <w:rsid w:val="00D81354"/>
    <w:rsid w:val="00D81990"/>
    <w:rsid w:val="00D83664"/>
    <w:rsid w:val="00D84B6C"/>
    <w:rsid w:val="00D84EFA"/>
    <w:rsid w:val="00D856AF"/>
    <w:rsid w:val="00D85EE2"/>
    <w:rsid w:val="00D903C0"/>
    <w:rsid w:val="00D90E02"/>
    <w:rsid w:val="00D94163"/>
    <w:rsid w:val="00D95A9F"/>
    <w:rsid w:val="00DA02F3"/>
    <w:rsid w:val="00DA1DBF"/>
    <w:rsid w:val="00DA2483"/>
    <w:rsid w:val="00DA62ED"/>
    <w:rsid w:val="00DA6B46"/>
    <w:rsid w:val="00DA7938"/>
    <w:rsid w:val="00DB00EE"/>
    <w:rsid w:val="00DB0274"/>
    <w:rsid w:val="00DB0530"/>
    <w:rsid w:val="00DB1B5B"/>
    <w:rsid w:val="00DB2018"/>
    <w:rsid w:val="00DB2E86"/>
    <w:rsid w:val="00DB4174"/>
    <w:rsid w:val="00DB4D99"/>
    <w:rsid w:val="00DB654B"/>
    <w:rsid w:val="00DB6923"/>
    <w:rsid w:val="00DC037D"/>
    <w:rsid w:val="00DC0CAB"/>
    <w:rsid w:val="00DC2B22"/>
    <w:rsid w:val="00DC2F7C"/>
    <w:rsid w:val="00DC5DB1"/>
    <w:rsid w:val="00DC6EC5"/>
    <w:rsid w:val="00DC725A"/>
    <w:rsid w:val="00DC7F62"/>
    <w:rsid w:val="00DD7EEC"/>
    <w:rsid w:val="00DE1DE9"/>
    <w:rsid w:val="00DE2B0D"/>
    <w:rsid w:val="00DE2FED"/>
    <w:rsid w:val="00DE301F"/>
    <w:rsid w:val="00DE36F6"/>
    <w:rsid w:val="00DE47FF"/>
    <w:rsid w:val="00DE53C4"/>
    <w:rsid w:val="00DE71AA"/>
    <w:rsid w:val="00DF039F"/>
    <w:rsid w:val="00DF3BBD"/>
    <w:rsid w:val="00DF47A3"/>
    <w:rsid w:val="00DF7538"/>
    <w:rsid w:val="00E01FE5"/>
    <w:rsid w:val="00E0586F"/>
    <w:rsid w:val="00E0737D"/>
    <w:rsid w:val="00E10435"/>
    <w:rsid w:val="00E10AFC"/>
    <w:rsid w:val="00E12DDD"/>
    <w:rsid w:val="00E14092"/>
    <w:rsid w:val="00E20554"/>
    <w:rsid w:val="00E20AC1"/>
    <w:rsid w:val="00E22BEE"/>
    <w:rsid w:val="00E265EC"/>
    <w:rsid w:val="00E265F7"/>
    <w:rsid w:val="00E272B9"/>
    <w:rsid w:val="00E278DA"/>
    <w:rsid w:val="00E301D8"/>
    <w:rsid w:val="00E30579"/>
    <w:rsid w:val="00E308DC"/>
    <w:rsid w:val="00E33BA3"/>
    <w:rsid w:val="00E34DDC"/>
    <w:rsid w:val="00E41158"/>
    <w:rsid w:val="00E41D65"/>
    <w:rsid w:val="00E4210C"/>
    <w:rsid w:val="00E423A3"/>
    <w:rsid w:val="00E43E37"/>
    <w:rsid w:val="00E4517A"/>
    <w:rsid w:val="00E459F4"/>
    <w:rsid w:val="00E45E85"/>
    <w:rsid w:val="00E45FC5"/>
    <w:rsid w:val="00E4703E"/>
    <w:rsid w:val="00E477CA"/>
    <w:rsid w:val="00E501B6"/>
    <w:rsid w:val="00E501D3"/>
    <w:rsid w:val="00E51986"/>
    <w:rsid w:val="00E55100"/>
    <w:rsid w:val="00E55D06"/>
    <w:rsid w:val="00E561BB"/>
    <w:rsid w:val="00E57D27"/>
    <w:rsid w:val="00E61AB5"/>
    <w:rsid w:val="00E62038"/>
    <w:rsid w:val="00E64CFA"/>
    <w:rsid w:val="00E667BB"/>
    <w:rsid w:val="00E667C1"/>
    <w:rsid w:val="00E671E6"/>
    <w:rsid w:val="00E67FF2"/>
    <w:rsid w:val="00E76C26"/>
    <w:rsid w:val="00E7744B"/>
    <w:rsid w:val="00E8019B"/>
    <w:rsid w:val="00E81C1F"/>
    <w:rsid w:val="00E84336"/>
    <w:rsid w:val="00E85B46"/>
    <w:rsid w:val="00E871D8"/>
    <w:rsid w:val="00E906E3"/>
    <w:rsid w:val="00E91341"/>
    <w:rsid w:val="00E92D88"/>
    <w:rsid w:val="00E94D27"/>
    <w:rsid w:val="00E96357"/>
    <w:rsid w:val="00E9667A"/>
    <w:rsid w:val="00E96C1C"/>
    <w:rsid w:val="00E97A38"/>
    <w:rsid w:val="00EA0356"/>
    <w:rsid w:val="00EA1827"/>
    <w:rsid w:val="00EA2B20"/>
    <w:rsid w:val="00EA432D"/>
    <w:rsid w:val="00EA459D"/>
    <w:rsid w:val="00EA6C71"/>
    <w:rsid w:val="00EB0840"/>
    <w:rsid w:val="00EB17E1"/>
    <w:rsid w:val="00EB1DA7"/>
    <w:rsid w:val="00EB1F2B"/>
    <w:rsid w:val="00EB2056"/>
    <w:rsid w:val="00EB22D1"/>
    <w:rsid w:val="00EB3D0E"/>
    <w:rsid w:val="00EB4037"/>
    <w:rsid w:val="00EB55E5"/>
    <w:rsid w:val="00EB7198"/>
    <w:rsid w:val="00EC16EB"/>
    <w:rsid w:val="00EC23E0"/>
    <w:rsid w:val="00EC3A41"/>
    <w:rsid w:val="00EC3D1C"/>
    <w:rsid w:val="00EC55B0"/>
    <w:rsid w:val="00ED04B7"/>
    <w:rsid w:val="00ED0F01"/>
    <w:rsid w:val="00ED0FAF"/>
    <w:rsid w:val="00ED1AF4"/>
    <w:rsid w:val="00ED34AC"/>
    <w:rsid w:val="00ED5A50"/>
    <w:rsid w:val="00ED6C2E"/>
    <w:rsid w:val="00ED7857"/>
    <w:rsid w:val="00ED7A7F"/>
    <w:rsid w:val="00EE1724"/>
    <w:rsid w:val="00EE22E5"/>
    <w:rsid w:val="00EE26D8"/>
    <w:rsid w:val="00EE62E7"/>
    <w:rsid w:val="00EE7A28"/>
    <w:rsid w:val="00EF09F1"/>
    <w:rsid w:val="00EF0A16"/>
    <w:rsid w:val="00EF4BDB"/>
    <w:rsid w:val="00EF5099"/>
    <w:rsid w:val="00EF5984"/>
    <w:rsid w:val="00EF79A1"/>
    <w:rsid w:val="00EF7F2D"/>
    <w:rsid w:val="00F0088E"/>
    <w:rsid w:val="00F00B7E"/>
    <w:rsid w:val="00F020A2"/>
    <w:rsid w:val="00F026F6"/>
    <w:rsid w:val="00F036C0"/>
    <w:rsid w:val="00F06A43"/>
    <w:rsid w:val="00F0752B"/>
    <w:rsid w:val="00F0784C"/>
    <w:rsid w:val="00F07A34"/>
    <w:rsid w:val="00F10A95"/>
    <w:rsid w:val="00F11463"/>
    <w:rsid w:val="00F116D7"/>
    <w:rsid w:val="00F11D63"/>
    <w:rsid w:val="00F122B9"/>
    <w:rsid w:val="00F12616"/>
    <w:rsid w:val="00F126BF"/>
    <w:rsid w:val="00F1712A"/>
    <w:rsid w:val="00F200AC"/>
    <w:rsid w:val="00F202D6"/>
    <w:rsid w:val="00F203BA"/>
    <w:rsid w:val="00F21960"/>
    <w:rsid w:val="00F22109"/>
    <w:rsid w:val="00F22238"/>
    <w:rsid w:val="00F25456"/>
    <w:rsid w:val="00F26235"/>
    <w:rsid w:val="00F2655F"/>
    <w:rsid w:val="00F26F4B"/>
    <w:rsid w:val="00F30BA0"/>
    <w:rsid w:val="00F317D3"/>
    <w:rsid w:val="00F3237F"/>
    <w:rsid w:val="00F327FB"/>
    <w:rsid w:val="00F40937"/>
    <w:rsid w:val="00F45280"/>
    <w:rsid w:val="00F47613"/>
    <w:rsid w:val="00F510D8"/>
    <w:rsid w:val="00F514A1"/>
    <w:rsid w:val="00F53AB2"/>
    <w:rsid w:val="00F55654"/>
    <w:rsid w:val="00F55EF3"/>
    <w:rsid w:val="00F5752D"/>
    <w:rsid w:val="00F609BD"/>
    <w:rsid w:val="00F6244E"/>
    <w:rsid w:val="00F62962"/>
    <w:rsid w:val="00F6323A"/>
    <w:rsid w:val="00F6366C"/>
    <w:rsid w:val="00F655F9"/>
    <w:rsid w:val="00F65621"/>
    <w:rsid w:val="00F66821"/>
    <w:rsid w:val="00F67A6E"/>
    <w:rsid w:val="00F710DC"/>
    <w:rsid w:val="00F72018"/>
    <w:rsid w:val="00F7295B"/>
    <w:rsid w:val="00F73FB8"/>
    <w:rsid w:val="00F7496C"/>
    <w:rsid w:val="00F7648F"/>
    <w:rsid w:val="00F80A73"/>
    <w:rsid w:val="00F81397"/>
    <w:rsid w:val="00F834DE"/>
    <w:rsid w:val="00F840E9"/>
    <w:rsid w:val="00F874BC"/>
    <w:rsid w:val="00F87511"/>
    <w:rsid w:val="00F914F2"/>
    <w:rsid w:val="00F91C37"/>
    <w:rsid w:val="00F91EEF"/>
    <w:rsid w:val="00F92A3D"/>
    <w:rsid w:val="00F93C4C"/>
    <w:rsid w:val="00F9512F"/>
    <w:rsid w:val="00FA1D19"/>
    <w:rsid w:val="00FA2E99"/>
    <w:rsid w:val="00FA3D48"/>
    <w:rsid w:val="00FA3E9E"/>
    <w:rsid w:val="00FA59BB"/>
    <w:rsid w:val="00FB127A"/>
    <w:rsid w:val="00FB1671"/>
    <w:rsid w:val="00FB1E83"/>
    <w:rsid w:val="00FB25C6"/>
    <w:rsid w:val="00FB3B51"/>
    <w:rsid w:val="00FB3D58"/>
    <w:rsid w:val="00FB724B"/>
    <w:rsid w:val="00FB78A3"/>
    <w:rsid w:val="00FC013F"/>
    <w:rsid w:val="00FC141A"/>
    <w:rsid w:val="00FC1F58"/>
    <w:rsid w:val="00FC251F"/>
    <w:rsid w:val="00FC2783"/>
    <w:rsid w:val="00FC3641"/>
    <w:rsid w:val="00FC3D88"/>
    <w:rsid w:val="00FC44EA"/>
    <w:rsid w:val="00FC6188"/>
    <w:rsid w:val="00FC6635"/>
    <w:rsid w:val="00FC7384"/>
    <w:rsid w:val="00FC769F"/>
    <w:rsid w:val="00FD0CEF"/>
    <w:rsid w:val="00FD1346"/>
    <w:rsid w:val="00FD1C85"/>
    <w:rsid w:val="00FD1E8C"/>
    <w:rsid w:val="00FD2556"/>
    <w:rsid w:val="00FD3072"/>
    <w:rsid w:val="00FD3707"/>
    <w:rsid w:val="00FD4520"/>
    <w:rsid w:val="00FD47CC"/>
    <w:rsid w:val="00FD7F4C"/>
    <w:rsid w:val="00FE2EF3"/>
    <w:rsid w:val="00FE30CC"/>
    <w:rsid w:val="00FE44BD"/>
    <w:rsid w:val="00FE47DC"/>
    <w:rsid w:val="00FE637E"/>
    <w:rsid w:val="00FE658E"/>
    <w:rsid w:val="00FF0719"/>
    <w:rsid w:val="00FF17CA"/>
    <w:rsid w:val="00FF1BF5"/>
    <w:rsid w:val="00FF203B"/>
    <w:rsid w:val="00FF2855"/>
    <w:rsid w:val="00FF55D1"/>
    <w:rsid w:val="00FF59C6"/>
    <w:rsid w:val="00FF7727"/>
    <w:rsid w:val="02689DE6"/>
    <w:rsid w:val="06215B06"/>
    <w:rsid w:val="07B1434A"/>
    <w:rsid w:val="08DBB0D5"/>
    <w:rsid w:val="092B40BF"/>
    <w:rsid w:val="0C1D973A"/>
    <w:rsid w:val="0EB86BB1"/>
    <w:rsid w:val="0EB9783B"/>
    <w:rsid w:val="0F65DD56"/>
    <w:rsid w:val="11758E80"/>
    <w:rsid w:val="12ECD834"/>
    <w:rsid w:val="12FFD01C"/>
    <w:rsid w:val="14812407"/>
    <w:rsid w:val="152FC5BF"/>
    <w:rsid w:val="15EB16B8"/>
    <w:rsid w:val="16DFAD79"/>
    <w:rsid w:val="17347347"/>
    <w:rsid w:val="1842A756"/>
    <w:rsid w:val="1CEE7830"/>
    <w:rsid w:val="1D25EF0A"/>
    <w:rsid w:val="1F75BD92"/>
    <w:rsid w:val="2020BBD6"/>
    <w:rsid w:val="20CAD30B"/>
    <w:rsid w:val="21017B89"/>
    <w:rsid w:val="21B06A0C"/>
    <w:rsid w:val="235F9186"/>
    <w:rsid w:val="256EE813"/>
    <w:rsid w:val="26000DB1"/>
    <w:rsid w:val="2734071F"/>
    <w:rsid w:val="28710924"/>
    <w:rsid w:val="2A035132"/>
    <w:rsid w:val="2A19F765"/>
    <w:rsid w:val="2A64BE91"/>
    <w:rsid w:val="2D660B05"/>
    <w:rsid w:val="2E73C22C"/>
    <w:rsid w:val="2EAA9FE2"/>
    <w:rsid w:val="2EFE30D1"/>
    <w:rsid w:val="3204FEFD"/>
    <w:rsid w:val="32D5A6A1"/>
    <w:rsid w:val="32F0F2C3"/>
    <w:rsid w:val="32FCFE64"/>
    <w:rsid w:val="33508E4C"/>
    <w:rsid w:val="352A5CA8"/>
    <w:rsid w:val="35F50EDD"/>
    <w:rsid w:val="37D6130B"/>
    <w:rsid w:val="3A335FB1"/>
    <w:rsid w:val="3BA88DD4"/>
    <w:rsid w:val="3BC5CF12"/>
    <w:rsid w:val="3D9FB09B"/>
    <w:rsid w:val="3E24D509"/>
    <w:rsid w:val="3FB48B2B"/>
    <w:rsid w:val="40D613E8"/>
    <w:rsid w:val="40D73A4A"/>
    <w:rsid w:val="42D9DDFC"/>
    <w:rsid w:val="4541023A"/>
    <w:rsid w:val="454E072D"/>
    <w:rsid w:val="47338146"/>
    <w:rsid w:val="47CA6507"/>
    <w:rsid w:val="47F66BF3"/>
    <w:rsid w:val="48466B57"/>
    <w:rsid w:val="48EC5121"/>
    <w:rsid w:val="491F8AF8"/>
    <w:rsid w:val="495D174E"/>
    <w:rsid w:val="4A0E2DAA"/>
    <w:rsid w:val="4ABC8666"/>
    <w:rsid w:val="4B874C6F"/>
    <w:rsid w:val="4BB79D82"/>
    <w:rsid w:val="4BD8A91D"/>
    <w:rsid w:val="4C240DA1"/>
    <w:rsid w:val="4CA894F7"/>
    <w:rsid w:val="4CDAACE7"/>
    <w:rsid w:val="4D4AD80F"/>
    <w:rsid w:val="4F1DB508"/>
    <w:rsid w:val="501E097E"/>
    <w:rsid w:val="5063A74A"/>
    <w:rsid w:val="5221600B"/>
    <w:rsid w:val="526164C8"/>
    <w:rsid w:val="527AFF3D"/>
    <w:rsid w:val="535314AA"/>
    <w:rsid w:val="546BA2F4"/>
    <w:rsid w:val="548FEDBB"/>
    <w:rsid w:val="5723B8CC"/>
    <w:rsid w:val="5827401B"/>
    <w:rsid w:val="58AB834C"/>
    <w:rsid w:val="5BB6412D"/>
    <w:rsid w:val="5D1D33FD"/>
    <w:rsid w:val="5D6C9DC8"/>
    <w:rsid w:val="5D6F7541"/>
    <w:rsid w:val="5D91636A"/>
    <w:rsid w:val="5DA6F52A"/>
    <w:rsid w:val="5EEF9744"/>
    <w:rsid w:val="6019AD5D"/>
    <w:rsid w:val="62450D52"/>
    <w:rsid w:val="634D6CFB"/>
    <w:rsid w:val="638D5D9E"/>
    <w:rsid w:val="647D88BA"/>
    <w:rsid w:val="6484477D"/>
    <w:rsid w:val="649547CB"/>
    <w:rsid w:val="6564AA7D"/>
    <w:rsid w:val="6594191E"/>
    <w:rsid w:val="65EEA49F"/>
    <w:rsid w:val="6600AA8C"/>
    <w:rsid w:val="6610BC8B"/>
    <w:rsid w:val="66D3162E"/>
    <w:rsid w:val="6725E289"/>
    <w:rsid w:val="6770F63A"/>
    <w:rsid w:val="6AD8192C"/>
    <w:rsid w:val="6CB903F7"/>
    <w:rsid w:val="6EC34139"/>
    <w:rsid w:val="710EF800"/>
    <w:rsid w:val="721682F3"/>
    <w:rsid w:val="73896A11"/>
    <w:rsid w:val="74065B49"/>
    <w:rsid w:val="747F8DA4"/>
    <w:rsid w:val="74E03F05"/>
    <w:rsid w:val="765F71C7"/>
    <w:rsid w:val="797C6F90"/>
    <w:rsid w:val="79FEFD4F"/>
    <w:rsid w:val="7A3B5E9F"/>
    <w:rsid w:val="7A966E52"/>
    <w:rsid w:val="7BF9D49F"/>
    <w:rsid w:val="7C11B778"/>
    <w:rsid w:val="7C5EC89C"/>
    <w:rsid w:val="7D0CC3BD"/>
    <w:rsid w:val="7DB255DC"/>
    <w:rsid w:val="7F130372"/>
    <w:rsid w:val="7FE58D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6420C0"/>
  <w14:defaultImageDpi w14:val="32767"/>
  <w15:chartTrackingRefBased/>
  <w15:docId w15:val="{A3838FCA-4978-4788-B90D-D9577644D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096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20961"/>
    <w:rPr>
      <w:sz w:val="16"/>
      <w:szCs w:val="16"/>
    </w:rPr>
  </w:style>
  <w:style w:type="table" w:styleId="TableGrid">
    <w:name w:val="Table Grid"/>
    <w:basedOn w:val="TableNormal"/>
    <w:uiPriority w:val="39"/>
    <w:rsid w:val="00720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D2B"/>
  </w:style>
  <w:style w:type="paragraph" w:styleId="Footer">
    <w:name w:val="footer"/>
    <w:basedOn w:val="Normal"/>
    <w:link w:val="FooterChar"/>
    <w:uiPriority w:val="99"/>
    <w:unhideWhenUsed/>
    <w:rsid w:val="007B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D2B"/>
  </w:style>
  <w:style w:type="character" w:styleId="PageNumber">
    <w:name w:val="page number"/>
    <w:basedOn w:val="DefaultParagraphFont"/>
    <w:uiPriority w:val="99"/>
    <w:semiHidden/>
    <w:unhideWhenUsed/>
    <w:rsid w:val="003258DF"/>
  </w:style>
  <w:style w:type="paragraph" w:styleId="CommentText">
    <w:name w:val="annotation text"/>
    <w:basedOn w:val="Normal"/>
    <w:link w:val="CommentTextChar"/>
    <w:uiPriority w:val="99"/>
    <w:unhideWhenUsed/>
    <w:rsid w:val="003258DF"/>
    <w:pPr>
      <w:spacing w:line="240" w:lineRule="auto"/>
    </w:pPr>
    <w:rPr>
      <w:sz w:val="20"/>
      <w:szCs w:val="20"/>
    </w:rPr>
  </w:style>
  <w:style w:type="character" w:customStyle="1" w:styleId="CommentTextChar">
    <w:name w:val="Comment Text Char"/>
    <w:basedOn w:val="DefaultParagraphFont"/>
    <w:link w:val="CommentText"/>
    <w:uiPriority w:val="99"/>
    <w:rsid w:val="003258DF"/>
    <w:rPr>
      <w:sz w:val="20"/>
      <w:szCs w:val="20"/>
    </w:rPr>
  </w:style>
  <w:style w:type="paragraph" w:styleId="CommentSubject">
    <w:name w:val="annotation subject"/>
    <w:basedOn w:val="CommentText"/>
    <w:next w:val="CommentText"/>
    <w:link w:val="CommentSubjectChar"/>
    <w:uiPriority w:val="99"/>
    <w:semiHidden/>
    <w:unhideWhenUsed/>
    <w:rsid w:val="003258DF"/>
    <w:rPr>
      <w:b/>
      <w:bCs/>
    </w:rPr>
  </w:style>
  <w:style w:type="character" w:customStyle="1" w:styleId="CommentSubjectChar">
    <w:name w:val="Comment Subject Char"/>
    <w:basedOn w:val="CommentTextChar"/>
    <w:link w:val="CommentSubject"/>
    <w:uiPriority w:val="99"/>
    <w:semiHidden/>
    <w:rsid w:val="003258DF"/>
    <w:rPr>
      <w:b/>
      <w:bCs/>
      <w:sz w:val="20"/>
      <w:szCs w:val="20"/>
    </w:rPr>
  </w:style>
  <w:style w:type="character" w:styleId="LineNumber">
    <w:name w:val="line number"/>
    <w:basedOn w:val="DefaultParagraphFont"/>
    <w:uiPriority w:val="99"/>
    <w:semiHidden/>
    <w:unhideWhenUsed/>
    <w:rsid w:val="003258DF"/>
  </w:style>
  <w:style w:type="paragraph" w:styleId="ListParagraph">
    <w:name w:val="List Paragraph"/>
    <w:basedOn w:val="Normal"/>
    <w:uiPriority w:val="34"/>
    <w:qFormat/>
    <w:rsid w:val="003E724C"/>
    <w:pPr>
      <w:ind w:left="720"/>
      <w:contextualSpacing/>
    </w:pPr>
  </w:style>
  <w:style w:type="paragraph" w:styleId="Revision">
    <w:name w:val="Revision"/>
    <w:hidden/>
    <w:uiPriority w:val="99"/>
    <w:semiHidden/>
    <w:rsid w:val="003E724C"/>
    <w:pPr>
      <w:spacing w:after="0" w:line="240" w:lineRule="auto"/>
    </w:pPr>
  </w:style>
  <w:style w:type="paragraph" w:styleId="BalloonText">
    <w:name w:val="Balloon Text"/>
    <w:basedOn w:val="Normal"/>
    <w:link w:val="BalloonTextChar"/>
    <w:uiPriority w:val="99"/>
    <w:semiHidden/>
    <w:unhideWhenUsed/>
    <w:rsid w:val="00246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41A"/>
    <w:rPr>
      <w:rFonts w:ascii="Segoe UI" w:hAnsi="Segoe UI" w:cs="Segoe UI"/>
      <w:sz w:val="18"/>
      <w:szCs w:val="18"/>
    </w:rPr>
  </w:style>
  <w:style w:type="character" w:styleId="Hyperlink">
    <w:name w:val="Hyperlink"/>
    <w:basedOn w:val="DefaultParagraphFont"/>
    <w:uiPriority w:val="99"/>
    <w:unhideWhenUsed/>
    <w:rsid w:val="00745E1E"/>
    <w:rPr>
      <w:color w:val="0563C1" w:themeColor="hyperlink"/>
      <w:u w:val="single"/>
    </w:rPr>
  </w:style>
  <w:style w:type="character" w:styleId="UnresolvedMention">
    <w:name w:val="Unresolved Mention"/>
    <w:basedOn w:val="DefaultParagraphFont"/>
    <w:uiPriority w:val="99"/>
    <w:semiHidden/>
    <w:unhideWhenUsed/>
    <w:rsid w:val="00861FF1"/>
    <w:rPr>
      <w:color w:val="605E5C"/>
      <w:shd w:val="clear" w:color="auto" w:fill="E1DFDD"/>
    </w:rPr>
  </w:style>
  <w:style w:type="character" w:styleId="FollowedHyperlink">
    <w:name w:val="FollowedHyperlink"/>
    <w:basedOn w:val="DefaultParagraphFont"/>
    <w:uiPriority w:val="99"/>
    <w:semiHidden/>
    <w:unhideWhenUsed/>
    <w:rsid w:val="00AA0708"/>
    <w:rPr>
      <w:color w:val="954F72" w:themeColor="followedHyperlink"/>
      <w:u w:val="single"/>
    </w:rPr>
  </w:style>
  <w:style w:type="paragraph" w:styleId="Bibliography">
    <w:name w:val="Bibliography"/>
    <w:basedOn w:val="Normal"/>
    <w:next w:val="Normal"/>
    <w:uiPriority w:val="37"/>
    <w:unhideWhenUsed/>
    <w:rsid w:val="0067298C"/>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8354">
      <w:bodyDiv w:val="1"/>
      <w:marLeft w:val="0"/>
      <w:marRight w:val="0"/>
      <w:marTop w:val="0"/>
      <w:marBottom w:val="0"/>
      <w:divBdr>
        <w:top w:val="none" w:sz="0" w:space="0" w:color="auto"/>
        <w:left w:val="none" w:sz="0" w:space="0" w:color="auto"/>
        <w:bottom w:val="none" w:sz="0" w:space="0" w:color="auto"/>
        <w:right w:val="none" w:sz="0" w:space="0" w:color="auto"/>
      </w:divBdr>
    </w:div>
    <w:div w:id="218708889">
      <w:bodyDiv w:val="1"/>
      <w:marLeft w:val="0"/>
      <w:marRight w:val="0"/>
      <w:marTop w:val="0"/>
      <w:marBottom w:val="0"/>
      <w:divBdr>
        <w:top w:val="none" w:sz="0" w:space="0" w:color="auto"/>
        <w:left w:val="none" w:sz="0" w:space="0" w:color="auto"/>
        <w:bottom w:val="none" w:sz="0" w:space="0" w:color="auto"/>
        <w:right w:val="none" w:sz="0" w:space="0" w:color="auto"/>
      </w:divBdr>
    </w:div>
    <w:div w:id="633751995">
      <w:bodyDiv w:val="1"/>
      <w:marLeft w:val="0"/>
      <w:marRight w:val="0"/>
      <w:marTop w:val="0"/>
      <w:marBottom w:val="0"/>
      <w:divBdr>
        <w:top w:val="none" w:sz="0" w:space="0" w:color="auto"/>
        <w:left w:val="none" w:sz="0" w:space="0" w:color="auto"/>
        <w:bottom w:val="none" w:sz="0" w:space="0" w:color="auto"/>
        <w:right w:val="none" w:sz="0" w:space="0" w:color="auto"/>
      </w:divBdr>
    </w:div>
    <w:div w:id="1014961013">
      <w:bodyDiv w:val="1"/>
      <w:marLeft w:val="0"/>
      <w:marRight w:val="0"/>
      <w:marTop w:val="0"/>
      <w:marBottom w:val="0"/>
      <w:divBdr>
        <w:top w:val="none" w:sz="0" w:space="0" w:color="auto"/>
        <w:left w:val="none" w:sz="0" w:space="0" w:color="auto"/>
        <w:bottom w:val="none" w:sz="0" w:space="0" w:color="auto"/>
        <w:right w:val="none" w:sz="0" w:space="0" w:color="auto"/>
      </w:divBdr>
    </w:div>
    <w:div w:id="1365448437">
      <w:bodyDiv w:val="1"/>
      <w:marLeft w:val="0"/>
      <w:marRight w:val="0"/>
      <w:marTop w:val="0"/>
      <w:marBottom w:val="0"/>
      <w:divBdr>
        <w:top w:val="none" w:sz="0" w:space="0" w:color="auto"/>
        <w:left w:val="none" w:sz="0" w:space="0" w:color="auto"/>
        <w:bottom w:val="none" w:sz="0" w:space="0" w:color="auto"/>
        <w:right w:val="none" w:sz="0" w:space="0" w:color="auto"/>
      </w:divBdr>
    </w:div>
    <w:div w:id="1434133717">
      <w:bodyDiv w:val="1"/>
      <w:marLeft w:val="0"/>
      <w:marRight w:val="0"/>
      <w:marTop w:val="0"/>
      <w:marBottom w:val="0"/>
      <w:divBdr>
        <w:top w:val="none" w:sz="0" w:space="0" w:color="auto"/>
        <w:left w:val="none" w:sz="0" w:space="0" w:color="auto"/>
        <w:bottom w:val="none" w:sz="0" w:space="0" w:color="auto"/>
        <w:right w:val="none" w:sz="0" w:space="0" w:color="auto"/>
      </w:divBdr>
    </w:div>
    <w:div w:id="1602253958">
      <w:bodyDiv w:val="1"/>
      <w:marLeft w:val="0"/>
      <w:marRight w:val="0"/>
      <w:marTop w:val="0"/>
      <w:marBottom w:val="0"/>
      <w:divBdr>
        <w:top w:val="none" w:sz="0" w:space="0" w:color="auto"/>
        <w:left w:val="none" w:sz="0" w:space="0" w:color="auto"/>
        <w:bottom w:val="none" w:sz="0" w:space="0" w:color="auto"/>
        <w:right w:val="none" w:sz="0" w:space="0" w:color="auto"/>
      </w:divBdr>
    </w:div>
    <w:div w:id="1636107899">
      <w:bodyDiv w:val="1"/>
      <w:marLeft w:val="0"/>
      <w:marRight w:val="0"/>
      <w:marTop w:val="0"/>
      <w:marBottom w:val="0"/>
      <w:divBdr>
        <w:top w:val="none" w:sz="0" w:space="0" w:color="auto"/>
        <w:left w:val="none" w:sz="0" w:space="0" w:color="auto"/>
        <w:bottom w:val="none" w:sz="0" w:space="0" w:color="auto"/>
        <w:right w:val="none" w:sz="0" w:space="0" w:color="auto"/>
      </w:divBdr>
    </w:div>
    <w:div w:id="1642688414">
      <w:bodyDiv w:val="1"/>
      <w:marLeft w:val="0"/>
      <w:marRight w:val="0"/>
      <w:marTop w:val="0"/>
      <w:marBottom w:val="0"/>
      <w:divBdr>
        <w:top w:val="none" w:sz="0" w:space="0" w:color="auto"/>
        <w:left w:val="none" w:sz="0" w:space="0" w:color="auto"/>
        <w:bottom w:val="none" w:sz="0" w:space="0" w:color="auto"/>
        <w:right w:val="none" w:sz="0" w:space="0" w:color="auto"/>
      </w:divBdr>
    </w:div>
    <w:div w:id="172552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BioRender.com/a51s41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058C9-622E-4EC7-9CC9-61220B1D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36897</Words>
  <Characters>210313</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
    </vt:vector>
  </TitlesOfParts>
  <Company>St Marys University</Company>
  <LinksUpToDate>false</LinksUpToDate>
  <CharactersWithSpaces>246717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Helder</dc:creator>
  <cp:keywords/>
  <dc:description/>
  <cp:lastModifiedBy>Charles Pedlar</cp:lastModifiedBy>
  <cp:revision>2</cp:revision>
  <cp:lastPrinted>2024-11-29T12:44:00Z</cp:lastPrinted>
  <dcterms:created xsi:type="dcterms:W3CDTF">2025-07-31T09:04:00Z</dcterms:created>
  <dcterms:modified xsi:type="dcterms:W3CDTF">2025-07-31T09:04:00Z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id="IUME5FP0"/&gt;&lt;style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